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i/>
          <w:outline/>
          <w:color w:val="FF0000"/>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华文中宋" w:hAnsi="华文中宋" w:eastAsia="华文中宋"/>
          <w:i/>
          <w:outline/>
          <w:color w:val="FF0000"/>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向日本学习预制混凝土PC构件制造与生产！</w:t>
      </w:r>
    </w:p>
    <w:p>
      <w:pPr>
        <w:jc w:val="center"/>
        <w:rPr>
          <w:rFonts w:ascii="华文中宋" w:hAnsi="华文中宋" w:eastAsia="华文中宋"/>
          <w:i/>
          <w:sz w:val="36"/>
          <w:szCs w:val="36"/>
        </w:rPr>
      </w:pPr>
      <w:r>
        <w:rPr>
          <w:rFonts w:ascii="华文中宋" w:hAnsi="华文中宋" w:eastAsia="华文中宋"/>
          <w:i/>
          <w:sz w:val="36"/>
          <w:szCs w:val="36"/>
        </w:rPr>
        <mc:AlternateContent>
          <mc:Choice Requires="wps">
            <w:drawing>
              <wp:anchor distT="0" distB="0" distL="114300" distR="114300" simplePos="0" relativeHeight="251658240" behindDoc="0" locked="0" layoutInCell="1" allowOverlap="1">
                <wp:simplePos x="0" y="0"/>
                <wp:positionH relativeFrom="column">
                  <wp:posOffset>-727710</wp:posOffset>
                </wp:positionH>
                <wp:positionV relativeFrom="paragraph">
                  <wp:posOffset>49530</wp:posOffset>
                </wp:positionV>
                <wp:extent cx="7576820" cy="1170305"/>
                <wp:effectExtent l="0" t="0" r="5080" b="10795"/>
                <wp:wrapNone/>
                <wp:docPr id="2" name="文本框 2"/>
                <wp:cNvGraphicFramePr/>
                <a:graphic xmlns:a="http://schemas.openxmlformats.org/drawingml/2006/main">
                  <a:graphicData uri="http://schemas.microsoft.com/office/word/2010/wordprocessingShape">
                    <wps:wsp>
                      <wps:cNvSpPr txBox="1"/>
                      <wps:spPr>
                        <a:xfrm>
                          <a:off x="0" y="0"/>
                          <a:ext cx="7576820" cy="1170305"/>
                        </a:xfrm>
                        <a:prstGeom prst="rect">
                          <a:avLst/>
                        </a:prstGeom>
                        <a:solidFill>
                          <a:schemeClr val="tx2">
                            <a:lumMod val="60000"/>
                            <a:lumOff val="40000"/>
                          </a:schemeClr>
                        </a:solidFill>
                        <a:ln w="9525">
                          <a:noFill/>
                        </a:ln>
                      </wps:spPr>
                      <wps:txbx>
                        <w:txbxContent>
                          <w:p>
                            <w:pPr>
                              <w:adjustRightInd w:val="0"/>
                              <w:snapToGrid w:val="0"/>
                              <w:jc w:val="center"/>
                              <w:rPr>
                                <w:rFonts w:ascii="华文中宋" w:hAnsi="华文中宋" w:eastAsia="华文中宋"/>
                                <w:b/>
                                <w:color w:val="FFFFFF" w:themeColor="background1"/>
                                <w:sz w:val="48"/>
                                <w:szCs w:val="48"/>
                              </w:rPr>
                            </w:pPr>
                            <w:r>
                              <w:rPr>
                                <w:rFonts w:hint="eastAsia" w:ascii="华文中宋" w:hAnsi="华文中宋" w:eastAsia="华文中宋"/>
                                <w:b/>
                                <w:color w:val="FFFFFF" w:themeColor="background1"/>
                                <w:sz w:val="48"/>
                                <w:szCs w:val="48"/>
                              </w:rPr>
                              <w:t>中日预制混凝土PC构件制造</w:t>
                            </w:r>
                          </w:p>
                          <w:p>
                            <w:pPr>
                              <w:adjustRightInd w:val="0"/>
                              <w:snapToGrid w:val="0"/>
                              <w:jc w:val="center"/>
                              <w:rPr>
                                <w:rFonts w:ascii="华文中宋" w:hAnsi="华文中宋" w:eastAsia="华文中宋"/>
                                <w:b/>
                                <w:color w:val="FFFFFF" w:themeColor="background1"/>
                                <w:sz w:val="48"/>
                                <w:szCs w:val="48"/>
                              </w:rPr>
                            </w:pPr>
                            <w:r>
                              <w:rPr>
                                <w:rFonts w:hint="eastAsia" w:ascii="华文中宋" w:hAnsi="华文中宋" w:eastAsia="华文中宋"/>
                                <w:b/>
                                <w:color w:val="FFFFFF" w:themeColor="background1"/>
                                <w:sz w:val="48"/>
                                <w:szCs w:val="48"/>
                              </w:rPr>
                              <w:t>与生产管理高级培训班</w:t>
                            </w:r>
                          </w:p>
                        </w:txbxContent>
                      </wps:txbx>
                      <wps:bodyPr anchor="ctr" upright="1"/>
                    </wps:wsp>
                  </a:graphicData>
                </a:graphic>
              </wp:anchor>
            </w:drawing>
          </mc:Choice>
          <mc:Fallback>
            <w:pict>
              <v:shape id="_x0000_s1026" o:spid="_x0000_s1026" o:spt="202" type="#_x0000_t202" style="position:absolute;left:0pt;margin-left:-57.3pt;margin-top:3.9pt;height:92.15pt;width:596.6pt;z-index:251658240;v-text-anchor:middle;mso-width-relative:page;mso-height-relative:page;" fillcolor="#558ED5 [1951]" filled="t" stroked="f" coordsize="21600,21600" o:gfxdata="UEsDBAoAAAAAAIdO4kAAAAAAAAAAAAAAAAAEAAAAZHJzL1BLAwQUAAAACACHTuJAKO176tkAAAAL&#10;AQAADwAAAGRycy9kb3ducmV2LnhtbE2PwU7DMBBE70j8g7VI3FrbAbUlxKkQEhI3IA09O7FJotrr&#10;ELtt+Hu2J7jt7oxm3xTb2Tt2slMcAiqQSwHMYhvMgJ2Cevey2ACLSaPRLqBV8GMjbMvrq0LnJpzx&#10;w56q1DEKwZhrBX1KY855bHvrdVyG0SJpX2HyOtE6ddxM+kzh3vFMiBX3ekD60OvRPve2PVRHr+D1&#10;e66crA9P72/pc1c3+/2drDKlbm+keASW7Jz+zHDBJ3QoiakJRzSROQULKe9X5FWwpgoXg1hv6NDQ&#10;9JBJ4GXB/3cofwFQSwMEFAAAAAgAh07iQLvii+/SAQAAeQMAAA4AAABkcnMvZTJvRG9jLnhtbK1T&#10;Ta7TMBDeI3EHy3uaNJC2RE2fBOWx4U96vAO4jpNYsj2W7TbpBeAGrNiw51w9B2On7XvADpGFY38z&#10;/mbmm/H6ZtSKHITzEkxN57OcEmE4NNJ0Nb3/fPtsRYkPzDRMgRE1PQpPbzZPn6wHW4kCelCNcARJ&#10;jK8GW9M+BFtlmee90MzPwAqDxhacZgGPrssaxwZk1yor8nyRDeAa64AL7xHdTka6SfxtK3j42LZe&#10;BKJqirmFtLq07uKabdas6hyzveTnNNg/ZKGZNBj0SrVlgZG9k39RackdeGjDjIPOoG0lF6kGrGae&#10;/1HNXc+sSLWgON5eZfL/j5Z/OHxyRDY1LSgxTGOLTt++nr7/PP34Qoooz2B9hV53Fv3C+ApGbPMF&#10;9wjGqsfW6fjHegjaUejjVVwxBsIRXJbLxapAE0fbfL7Mn+dl5Mkerlvnw1sBmsRNTR12L4nKDu98&#10;mFwvLjGaByWbW6lUOrhu91o5cmDY6bJcvdmW6a7a6/fQTPAix29qOcI4GBP84gJjKn6iSWn9xq8M&#10;GWr6siwmWgMx8JSTMugeZZrkiLsw7sazdjtojigdM7wHHDweHCV762TXY4lJyXQX+5uCnmcxDtDj&#10;c4rw8GI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7Xvq2QAAAAsBAAAPAAAAAAAAAAEAIAAA&#10;ACIAAABkcnMvZG93bnJldi54bWxQSwECFAAUAAAACACHTuJAu+KL79IBAAB5AwAADgAAAAAAAAAB&#10;ACAAAAAoAQAAZHJzL2Uyb0RvYy54bWxQSwUGAAAAAAYABgBZAQAAbAUAAAAA&#10;">
                <v:fill on="t" focussize="0,0"/>
                <v:stroke on="f"/>
                <v:imagedata o:title=""/>
                <o:lock v:ext="edit" aspectratio="f"/>
                <v:textbox>
                  <w:txbxContent>
                    <w:p>
                      <w:pPr>
                        <w:adjustRightInd w:val="0"/>
                        <w:snapToGrid w:val="0"/>
                        <w:jc w:val="center"/>
                        <w:rPr>
                          <w:rFonts w:ascii="华文中宋" w:hAnsi="华文中宋" w:eastAsia="华文中宋"/>
                          <w:b/>
                          <w:color w:val="FFFFFF" w:themeColor="background1"/>
                          <w:sz w:val="48"/>
                          <w:szCs w:val="48"/>
                        </w:rPr>
                      </w:pPr>
                      <w:r>
                        <w:rPr>
                          <w:rFonts w:hint="eastAsia" w:ascii="华文中宋" w:hAnsi="华文中宋" w:eastAsia="华文中宋"/>
                          <w:b/>
                          <w:color w:val="FFFFFF" w:themeColor="background1"/>
                          <w:sz w:val="48"/>
                          <w:szCs w:val="48"/>
                        </w:rPr>
                        <w:t>中日预制混凝土PC构件制造</w:t>
                      </w:r>
                    </w:p>
                    <w:p>
                      <w:pPr>
                        <w:adjustRightInd w:val="0"/>
                        <w:snapToGrid w:val="0"/>
                        <w:jc w:val="center"/>
                        <w:rPr>
                          <w:rFonts w:ascii="华文中宋" w:hAnsi="华文中宋" w:eastAsia="华文中宋"/>
                          <w:b/>
                          <w:color w:val="FFFFFF" w:themeColor="background1"/>
                          <w:sz w:val="48"/>
                          <w:szCs w:val="48"/>
                        </w:rPr>
                      </w:pPr>
                      <w:r>
                        <w:rPr>
                          <w:rFonts w:hint="eastAsia" w:ascii="华文中宋" w:hAnsi="华文中宋" w:eastAsia="华文中宋"/>
                          <w:b/>
                          <w:color w:val="FFFFFF" w:themeColor="background1"/>
                          <w:sz w:val="48"/>
                          <w:szCs w:val="48"/>
                        </w:rPr>
                        <w:t>与生产管理高级培训班</w:t>
                      </w:r>
                    </w:p>
                  </w:txbxContent>
                </v:textbox>
              </v:shape>
            </w:pict>
          </mc:Fallback>
        </mc:AlternateContent>
      </w:r>
    </w:p>
    <w:p>
      <w:pPr>
        <w:jc w:val="center"/>
        <w:rPr>
          <w:rFonts w:ascii="华文中宋" w:hAnsi="华文中宋" w:eastAsia="华文中宋"/>
          <w:i/>
          <w:sz w:val="36"/>
          <w:szCs w:val="36"/>
        </w:rPr>
      </w:pPr>
    </w:p>
    <w:p>
      <w:pPr>
        <w:adjustRightInd w:val="0"/>
        <w:snapToGrid w:val="0"/>
        <w:rPr>
          <w:rFonts w:ascii="华文中宋" w:hAnsi="华文中宋" w:eastAsia="华文中宋"/>
          <w:b/>
          <w:color w:val="FF0000"/>
          <w:sz w:val="48"/>
          <w:szCs w:val="48"/>
        </w:rPr>
      </w:pPr>
    </w:p>
    <w:p>
      <w:pPr>
        <w:adjustRightInd w:val="0"/>
        <w:snapToGrid w:val="0"/>
        <w:spacing w:line="420" w:lineRule="exact"/>
        <w:jc w:val="left"/>
        <w:rPr>
          <w:rFonts w:ascii="华文中宋" w:hAnsi="华文中宋" w:eastAsia="华文中宋"/>
          <w:sz w:val="24"/>
          <w:szCs w:val="24"/>
        </w:rPr>
      </w:pPr>
    </w:p>
    <w:p>
      <w:pPr>
        <w:adjustRightInd w:val="0"/>
        <w:snapToGrid w:val="0"/>
        <w:spacing w:line="420" w:lineRule="exact"/>
        <w:ind w:firstLine="360" w:firstLineChars="150"/>
        <w:jc w:val="left"/>
        <w:rPr>
          <w:rFonts w:ascii="华文中宋" w:hAnsi="华文中宋" w:eastAsia="华文中宋"/>
          <w:sz w:val="24"/>
          <w:szCs w:val="24"/>
        </w:rPr>
      </w:pPr>
      <w:r>
        <w:rPr>
          <w:rFonts w:hint="eastAsia" w:ascii="华文中宋" w:hAnsi="华文中宋" w:eastAsia="华文中宋"/>
          <w:sz w:val="24"/>
          <w:szCs w:val="24"/>
        </w:rPr>
        <w:t>近年来，建筑产业化、节能减排、质量安全、生态环保等种种建筑新理念为PC构件带来了发展契机，城镇化进程中的大量基础设施建设，大规模保障房急需标准化、快速建造高质量建筑，更为PC构件提供了广阔空间。PC构件产业化是中国建筑行业发展的必然趋势。高质量的PC构件对于提高建筑性能，加快施工进度具有非常重要的作用，也是开展装配式建筑建造过程中的关键环节。</w:t>
      </w:r>
    </w:p>
    <w:p>
      <w:pPr>
        <w:adjustRightInd w:val="0"/>
        <w:snapToGrid w:val="0"/>
        <w:spacing w:line="420" w:lineRule="exact"/>
        <w:ind w:firstLine="360" w:firstLineChars="150"/>
        <w:jc w:val="left"/>
        <w:rPr>
          <w:rFonts w:ascii="华文中宋" w:hAnsi="华文中宋" w:eastAsia="华文中宋"/>
          <w:sz w:val="24"/>
          <w:szCs w:val="24"/>
        </w:rPr>
      </w:pPr>
      <w:r>
        <w:rPr>
          <w:rFonts w:hint="eastAsia" w:ascii="华文中宋" w:hAnsi="华文中宋" w:eastAsia="华文中宋"/>
          <w:sz w:val="24"/>
          <w:szCs w:val="24"/>
        </w:rPr>
        <w:t>为了学习日本PC构件与生产管理经验，我们将于2018年11月8-9日在武汉举办“中日预制混凝土PC构件制造与生产管理高级培训班”。本次培训班特邀2名来自日本资深专家，对日本PC工厂生产管理、物料管理、成本管理、人员管理、各种PC构件制造、保养运输等方面进行深入的讲解和探讨。同时，本次培训也将与武汉本地知名PC构件生产企业合作，进行现场生产指导和观摩。希望通过培训，能够不断提高国内PC构件生产水平。</w:t>
      </w:r>
    </w:p>
    <w:p>
      <w:pPr>
        <w:adjustRightInd w:val="0"/>
        <w:snapToGrid w:val="0"/>
        <w:spacing w:line="420" w:lineRule="exact"/>
        <w:ind w:firstLine="360" w:firstLineChars="150"/>
        <w:jc w:val="left"/>
        <w:rPr>
          <w:rFonts w:ascii="华文中宋" w:hAnsi="华文中宋" w:eastAsia="华文中宋"/>
          <w:sz w:val="24"/>
          <w:szCs w:val="24"/>
        </w:rPr>
      </w:pPr>
      <w:r>
        <w:rPr>
          <w:rFonts w:hint="eastAsia" w:ascii="华文中宋" w:hAnsi="华文中宋" w:eastAsia="华文中宋"/>
          <w:sz w:val="24"/>
          <w:szCs w:val="24"/>
        </w:rPr>
        <w:t>现将具体安排通知如下：</w:t>
      </w:r>
    </w:p>
    <w:p>
      <w:pPr>
        <w:adjustRightInd w:val="0"/>
        <w:snapToGrid w:val="0"/>
        <w:spacing w:line="420" w:lineRule="exact"/>
        <w:ind w:firstLine="360" w:firstLineChars="150"/>
        <w:jc w:val="left"/>
        <w:rPr>
          <w:rFonts w:ascii="华文中宋" w:hAnsi="华文中宋" w:eastAsia="华文中宋"/>
          <w:sz w:val="24"/>
          <w:szCs w:val="24"/>
        </w:rPr>
      </w:pPr>
    </w:p>
    <w:p>
      <w:pPr>
        <w:pStyle w:val="13"/>
        <w:numPr>
          <w:ilvl w:val="0"/>
          <w:numId w:val="1"/>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课程安排与培训内容：</w:t>
      </w: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84" w:type="dxa"/>
            <w:shd w:val="clear" w:color="auto" w:fill="D8D8D8" w:themeFill="background1" w:themeFillShade="D9"/>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日期</w:t>
            </w:r>
          </w:p>
        </w:tc>
        <w:tc>
          <w:tcPr>
            <w:tcW w:w="2693" w:type="dxa"/>
            <w:shd w:val="clear" w:color="auto" w:fill="D8D8D8" w:themeFill="background1" w:themeFillShade="D9"/>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时间安排</w:t>
            </w:r>
          </w:p>
        </w:tc>
        <w:tc>
          <w:tcPr>
            <w:tcW w:w="5777" w:type="dxa"/>
            <w:shd w:val="clear" w:color="auto" w:fill="D8D8D8" w:themeFill="background1" w:themeFillShade="D9"/>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384" w:type="dxa"/>
            <w:vMerge w:val="restart"/>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11月8日</w:t>
            </w: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9:00～10:00</w:t>
            </w:r>
          </w:p>
        </w:tc>
        <w:tc>
          <w:tcPr>
            <w:tcW w:w="5777"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日本的PC工法的基本概要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84" w:type="dxa"/>
            <w:vMerge w:val="continue"/>
            <w:vAlign w:val="center"/>
          </w:tcPr>
          <w:p>
            <w:pPr>
              <w:adjustRightInd w:val="0"/>
              <w:snapToGrid w:val="0"/>
              <w:spacing w:line="420" w:lineRule="exact"/>
              <w:jc w:val="center"/>
              <w:rPr>
                <w:rFonts w:hint="eastAsia" w:ascii="华文中宋" w:hAnsi="华文中宋" w:eastAsia="华文中宋"/>
                <w:sz w:val="24"/>
                <w:szCs w:val="24"/>
              </w:rPr>
            </w:pP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10:00～12:00</w:t>
            </w:r>
          </w:p>
        </w:tc>
        <w:tc>
          <w:tcPr>
            <w:tcW w:w="5777" w:type="dxa"/>
            <w:vAlign w:val="center"/>
          </w:tcPr>
          <w:p>
            <w:pPr>
              <w:adjustRightInd w:val="0"/>
              <w:snapToGrid w:val="0"/>
              <w:spacing w:line="420" w:lineRule="exact"/>
              <w:jc w:val="center"/>
              <w:rPr>
                <w:rFonts w:hint="eastAsia" w:ascii="华文中宋" w:hAnsi="华文中宋" w:eastAsia="华文中宋"/>
                <w:sz w:val="24"/>
                <w:szCs w:val="24"/>
              </w:rPr>
            </w:pPr>
            <w:r>
              <w:rPr>
                <w:rFonts w:hint="eastAsia" w:ascii="华文中宋" w:hAnsi="华文中宋" w:eastAsia="华文中宋"/>
                <w:sz w:val="24"/>
                <w:szCs w:val="24"/>
              </w:rPr>
              <w:t>PC工厂生产管理，包括物料、设备、环境、人员、品质的管理。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384" w:type="dxa"/>
            <w:vMerge w:val="continue"/>
            <w:vAlign w:val="center"/>
          </w:tcPr>
          <w:p>
            <w:pPr>
              <w:adjustRightInd w:val="0"/>
              <w:snapToGrid w:val="0"/>
              <w:spacing w:line="420" w:lineRule="exact"/>
              <w:jc w:val="center"/>
              <w:rPr>
                <w:rFonts w:hint="eastAsia" w:ascii="华文中宋" w:hAnsi="华文中宋" w:eastAsia="华文中宋"/>
                <w:sz w:val="24"/>
                <w:szCs w:val="24"/>
              </w:rPr>
            </w:pP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14:00～16:00</w:t>
            </w:r>
          </w:p>
        </w:tc>
        <w:tc>
          <w:tcPr>
            <w:tcW w:w="5777" w:type="dxa"/>
            <w:vAlign w:val="center"/>
          </w:tcPr>
          <w:p>
            <w:pPr>
              <w:adjustRightInd w:val="0"/>
              <w:snapToGrid w:val="0"/>
              <w:spacing w:line="420" w:lineRule="exact"/>
              <w:jc w:val="center"/>
              <w:rPr>
                <w:rFonts w:hint="eastAsia" w:ascii="华文中宋" w:hAnsi="华文中宋" w:eastAsia="华文中宋"/>
                <w:sz w:val="24"/>
                <w:szCs w:val="24"/>
              </w:rPr>
            </w:pPr>
            <w:r>
              <w:rPr>
                <w:rFonts w:hint="eastAsia" w:ascii="华文中宋" w:hAnsi="华文中宋" w:eastAsia="华文中宋"/>
                <w:sz w:val="24"/>
                <w:szCs w:val="24"/>
              </w:rPr>
              <w:t>PC构件的制造管理，楼板、梁、柱、楼梯、墙板制造实例与精度控制，以及养护、存储、运输等内容。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84" w:type="dxa"/>
            <w:vMerge w:val="continue"/>
            <w:vAlign w:val="center"/>
          </w:tcPr>
          <w:p>
            <w:pPr>
              <w:adjustRightInd w:val="0"/>
              <w:snapToGrid w:val="0"/>
              <w:spacing w:line="420" w:lineRule="exact"/>
              <w:jc w:val="center"/>
              <w:rPr>
                <w:rFonts w:hint="eastAsia" w:ascii="华文中宋" w:hAnsi="华文中宋" w:eastAsia="华文中宋"/>
                <w:sz w:val="24"/>
                <w:szCs w:val="24"/>
              </w:rPr>
            </w:pP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16:00～17:00</w:t>
            </w:r>
          </w:p>
        </w:tc>
        <w:tc>
          <w:tcPr>
            <w:tcW w:w="5777" w:type="dxa"/>
            <w:vAlign w:val="center"/>
          </w:tcPr>
          <w:p>
            <w:pPr>
              <w:adjustRightInd w:val="0"/>
              <w:snapToGrid w:val="0"/>
              <w:spacing w:line="420" w:lineRule="exact"/>
              <w:jc w:val="center"/>
              <w:rPr>
                <w:rFonts w:hint="eastAsia" w:ascii="华文中宋" w:hAnsi="华文中宋" w:eastAsia="华文中宋"/>
                <w:sz w:val="24"/>
                <w:szCs w:val="24"/>
              </w:rPr>
            </w:pPr>
            <w:r>
              <w:rPr>
                <w:rFonts w:hint="eastAsia" w:ascii="华文中宋" w:hAnsi="华文中宋" w:eastAsia="华文中宋"/>
                <w:sz w:val="24"/>
                <w:szCs w:val="24"/>
              </w:rPr>
              <w:t>現場生产PC的实例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384"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11月9日</w:t>
            </w:r>
          </w:p>
        </w:tc>
        <w:tc>
          <w:tcPr>
            <w:tcW w:w="269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9:00～16:00</w:t>
            </w:r>
          </w:p>
        </w:tc>
        <w:tc>
          <w:tcPr>
            <w:tcW w:w="5777" w:type="dxa"/>
            <w:vAlign w:val="center"/>
          </w:tcPr>
          <w:p>
            <w:pPr>
              <w:adjustRightInd w:val="0"/>
              <w:snapToGrid w:val="0"/>
              <w:spacing w:line="420" w:lineRule="exact"/>
              <w:jc w:val="center"/>
              <w:rPr>
                <w:rFonts w:hint="eastAsia" w:ascii="华文中宋" w:hAnsi="华文中宋" w:eastAsia="华文中宋"/>
                <w:sz w:val="24"/>
                <w:szCs w:val="24"/>
              </w:rPr>
            </w:pPr>
            <w:r>
              <w:rPr>
                <w:rFonts w:hint="eastAsia" w:ascii="华文中宋" w:hAnsi="华文中宋" w:eastAsia="华文中宋"/>
                <w:sz w:val="24"/>
                <w:szCs w:val="24"/>
              </w:rPr>
              <w:t>全天PC工厂生产指导与观摩实践</w:t>
            </w:r>
          </w:p>
        </w:tc>
      </w:tr>
    </w:tbl>
    <w:p>
      <w:pPr>
        <w:adjustRightInd w:val="0"/>
        <w:snapToGrid w:val="0"/>
        <w:spacing w:line="420" w:lineRule="exact"/>
        <w:jc w:val="left"/>
        <w:rPr>
          <w:rFonts w:hint="eastAsia" w:ascii="华文中宋" w:hAnsi="华文中宋" w:eastAsia="华文中宋"/>
          <w:sz w:val="24"/>
          <w:szCs w:val="24"/>
        </w:rPr>
      </w:pPr>
    </w:p>
    <w:p>
      <w:pPr>
        <w:adjustRightInd w:val="0"/>
        <w:snapToGrid w:val="0"/>
        <w:spacing w:line="420" w:lineRule="exact"/>
        <w:jc w:val="left"/>
        <w:rPr>
          <w:rFonts w:hint="eastAsia" w:ascii="华文中宋" w:hAnsi="华文中宋" w:eastAsia="华文中宋"/>
          <w:sz w:val="24"/>
          <w:szCs w:val="24"/>
        </w:rPr>
      </w:pPr>
    </w:p>
    <w:p>
      <w:pPr>
        <w:adjustRightInd w:val="0"/>
        <w:snapToGrid w:val="0"/>
        <w:spacing w:line="420" w:lineRule="exact"/>
        <w:jc w:val="left"/>
        <w:rPr>
          <w:rFonts w:hint="eastAsia" w:ascii="华文中宋" w:hAnsi="华文中宋" w:eastAsia="华文中宋"/>
          <w:sz w:val="24"/>
          <w:szCs w:val="24"/>
        </w:rPr>
      </w:pPr>
    </w:p>
    <w:p>
      <w:pPr>
        <w:adjustRightInd w:val="0"/>
        <w:snapToGrid w:val="0"/>
        <w:spacing w:line="420" w:lineRule="exact"/>
        <w:jc w:val="left"/>
        <w:rPr>
          <w:rFonts w:ascii="华文中宋" w:hAnsi="华文中宋" w:eastAsia="华文中宋"/>
          <w:sz w:val="24"/>
          <w:szCs w:val="24"/>
        </w:rPr>
      </w:pPr>
    </w:p>
    <w:p>
      <w:pPr>
        <w:pStyle w:val="13"/>
        <w:numPr>
          <w:ilvl w:val="0"/>
          <w:numId w:val="1"/>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日方讲师简介</w:t>
      </w:r>
    </w:p>
    <w:tbl>
      <w:tblPr>
        <w:tblStyle w:val="10"/>
        <w:tblpPr w:leftFromText="180" w:rightFromText="180" w:vertAnchor="page" w:horzAnchor="margin" w:tblpY="170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1911" w:type="dxa"/>
          </w:tcPr>
          <w:p>
            <w:pPr>
              <w:pStyle w:val="13"/>
              <w:widowControl/>
              <w:spacing w:line="384" w:lineRule="atLeast"/>
              <w:ind w:firstLine="0" w:firstLineChars="0"/>
              <w:rPr>
                <w:rFonts w:ascii="微软雅黑" w:hAnsi="微软雅黑" w:eastAsia="微软雅黑" w:cs="宋体"/>
                <w:b/>
                <w:color w:val="3E3E3E"/>
                <w:kern w:val="0"/>
                <w:szCs w:val="21"/>
              </w:rPr>
            </w:pPr>
            <w:r>
              <w:rPr>
                <w:rFonts w:hint="eastAsia" w:ascii="微软雅黑" w:hAnsi="微软雅黑" w:eastAsia="微软雅黑" w:cs="宋体"/>
                <w:b/>
                <w:color w:val="3E3E3E"/>
                <w:kern w:val="0"/>
                <w:szCs w:val="21"/>
              </w:rPr>
              <w:drawing>
                <wp:anchor distT="0" distB="0" distL="114300" distR="114300" simplePos="0" relativeHeight="251664384" behindDoc="0" locked="0" layoutInCell="1" allowOverlap="1">
                  <wp:simplePos x="0" y="0"/>
                  <wp:positionH relativeFrom="column">
                    <wp:posOffset>-9525</wp:posOffset>
                  </wp:positionH>
                  <wp:positionV relativeFrom="paragraph">
                    <wp:posOffset>137160</wp:posOffset>
                  </wp:positionV>
                  <wp:extent cx="1028700" cy="1257300"/>
                  <wp:effectExtent l="19050" t="0" r="0" b="0"/>
                  <wp:wrapNone/>
                  <wp:docPr id="4" name="图片 5" descr="Goto IMG_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Goto IMG_1928"/>
                          <pic:cNvPicPr>
                            <a:picLocks noChangeAspect="1" noChangeArrowheads="1"/>
                          </pic:cNvPicPr>
                        </pic:nvPicPr>
                        <pic:blipFill>
                          <a:blip r:embed="rId5" cstate="print"/>
                          <a:srcRect/>
                          <a:stretch>
                            <a:fillRect/>
                          </a:stretch>
                        </pic:blipFill>
                        <pic:spPr>
                          <a:xfrm>
                            <a:off x="0" y="0"/>
                            <a:ext cx="1028700" cy="1257300"/>
                          </a:xfrm>
                          <a:prstGeom prst="rect">
                            <a:avLst/>
                          </a:prstGeom>
                          <a:noFill/>
                          <a:ln w="9525">
                            <a:noFill/>
                            <a:miter lim="800000"/>
                            <a:headEnd/>
                            <a:tailEnd/>
                          </a:ln>
                        </pic:spPr>
                      </pic:pic>
                    </a:graphicData>
                  </a:graphic>
                </wp:anchor>
              </w:drawing>
            </w:r>
          </w:p>
        </w:tc>
        <w:tc>
          <w:tcPr>
            <w:tcW w:w="7978" w:type="dxa"/>
          </w:tcPr>
          <w:p>
            <w:pPr>
              <w:pStyle w:val="13"/>
              <w:widowControl/>
              <w:spacing w:line="384" w:lineRule="atLeast"/>
              <w:ind w:firstLine="0" w:firstLineChars="0"/>
              <w:rPr>
                <w:rFonts w:cs="宋体" w:asciiTheme="majorEastAsia" w:hAnsiTheme="majorEastAsia" w:eastAsiaTheme="majorEastAsia"/>
                <w:color w:val="3E3E3E"/>
                <w:kern w:val="0"/>
                <w:szCs w:val="21"/>
              </w:rPr>
            </w:pPr>
            <w:r>
              <w:rPr>
                <w:rFonts w:hint="eastAsia" w:ascii="微软雅黑" w:hAnsi="微软雅黑" w:eastAsia="微软雅黑" w:cs="宋体"/>
                <w:b/>
                <w:color w:val="3E3E3E"/>
                <w:kern w:val="0"/>
                <w:szCs w:val="21"/>
              </w:rPr>
              <w:t>后藤 浩，</w:t>
            </w:r>
            <w:r>
              <w:rPr>
                <w:rFonts w:hint="eastAsia" w:cs="宋体" w:asciiTheme="majorEastAsia" w:hAnsiTheme="majorEastAsia" w:eastAsiaTheme="majorEastAsia"/>
                <w:color w:val="3E3E3E"/>
                <w:kern w:val="0"/>
                <w:szCs w:val="21"/>
              </w:rPr>
              <w:t>日本一级建筑士、一级建筑施工管理技士</w:t>
            </w:r>
          </w:p>
          <w:p>
            <w:pPr>
              <w:pStyle w:val="13"/>
              <w:widowControl/>
              <w:shd w:val="clear" w:color="auto" w:fill="FFFFFF"/>
              <w:spacing w:line="384" w:lineRule="atLeast"/>
              <w:ind w:left="36" w:leftChars="16" w:hanging="2" w:firstLineChars="0"/>
              <w:jc w:val="left"/>
              <w:rPr>
                <w:rFonts w:ascii="微软雅黑" w:hAnsi="微软雅黑" w:eastAsia="微软雅黑" w:cs="宋体"/>
                <w:b/>
                <w:color w:val="3E3E3E"/>
                <w:kern w:val="0"/>
                <w:szCs w:val="21"/>
              </w:rPr>
            </w:pPr>
            <w:r>
              <w:rPr>
                <w:rFonts w:hint="eastAsia" w:cs="宋体" w:asciiTheme="majorEastAsia" w:hAnsiTheme="majorEastAsia" w:eastAsiaTheme="majorEastAsia"/>
                <w:color w:val="3E3E3E"/>
                <w:kern w:val="0"/>
                <w:szCs w:val="21"/>
                <w:shd w:val="clear" w:color="auto" w:fill="FFFFFF"/>
              </w:rPr>
              <w:t>1941年出生于日本岐阜县，1964年毕业于名古屋工业大学建筑学科。曾先后在株式会社藤田、株式会社希望、台日国际工程有限公司、株式会社久米、藤田（中国）建设工程有限公司等单位任职。2017年10月至今 专职负责GOTO建筑研究所业务。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1911" w:type="dxa"/>
          </w:tcPr>
          <w:p>
            <w:pPr>
              <w:pStyle w:val="13"/>
              <w:widowControl/>
              <w:spacing w:line="384" w:lineRule="atLeast"/>
              <w:ind w:firstLine="0" w:firstLineChars="0"/>
              <w:rPr>
                <w:rFonts w:ascii="微软雅黑" w:hAnsi="微软雅黑" w:eastAsia="微软雅黑" w:cs="宋体"/>
                <w:b/>
                <w:color w:val="3E3E3E"/>
                <w:kern w:val="0"/>
                <w:szCs w:val="21"/>
              </w:rPr>
            </w:pPr>
            <w:r>
              <w:rPr>
                <w:rFonts w:hint="eastAsia" w:ascii="微软雅黑" w:hAnsi="微软雅黑" w:eastAsia="微软雅黑" w:cs="宋体"/>
                <w:b/>
                <w:color w:val="3E3E3E"/>
                <w:kern w:val="0"/>
                <w:szCs w:val="21"/>
              </w:rPr>
              <w:drawing>
                <wp:anchor distT="0" distB="0" distL="114300" distR="114300" simplePos="0" relativeHeight="251665408" behindDoc="0" locked="0" layoutInCell="1" allowOverlap="1">
                  <wp:simplePos x="0" y="0"/>
                  <wp:positionH relativeFrom="column">
                    <wp:posOffset>-5715</wp:posOffset>
                  </wp:positionH>
                  <wp:positionV relativeFrom="paragraph">
                    <wp:posOffset>212090</wp:posOffset>
                  </wp:positionV>
                  <wp:extent cx="1008380" cy="1390650"/>
                  <wp:effectExtent l="19050" t="0" r="1270" b="0"/>
                  <wp:wrapNone/>
                  <wp:docPr id="5" name="图片 6" descr="Nakano IMG_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Nakano IMG_1932"/>
                          <pic:cNvPicPr>
                            <a:picLocks noChangeAspect="1" noChangeArrowheads="1"/>
                          </pic:cNvPicPr>
                        </pic:nvPicPr>
                        <pic:blipFill>
                          <a:blip r:embed="rId6" cstate="print"/>
                          <a:srcRect l="11736" t="3275" r="16626" b="14410"/>
                          <a:stretch>
                            <a:fillRect/>
                          </a:stretch>
                        </pic:blipFill>
                        <pic:spPr>
                          <a:xfrm>
                            <a:off x="0" y="0"/>
                            <a:ext cx="1008380" cy="1390650"/>
                          </a:xfrm>
                          <a:prstGeom prst="rect">
                            <a:avLst/>
                          </a:prstGeom>
                          <a:noFill/>
                          <a:ln w="9525">
                            <a:noFill/>
                            <a:miter lim="800000"/>
                            <a:headEnd/>
                            <a:tailEnd/>
                          </a:ln>
                        </pic:spPr>
                      </pic:pic>
                    </a:graphicData>
                  </a:graphic>
                </wp:anchor>
              </w:drawing>
            </w:r>
          </w:p>
        </w:tc>
        <w:tc>
          <w:tcPr>
            <w:tcW w:w="7978" w:type="dxa"/>
          </w:tcPr>
          <w:p>
            <w:pPr>
              <w:pStyle w:val="13"/>
              <w:widowControl/>
              <w:spacing w:line="384" w:lineRule="atLeast"/>
              <w:ind w:firstLine="0" w:firstLineChars="0"/>
              <w:rPr>
                <w:rFonts w:cs="宋体" w:asciiTheme="majorEastAsia" w:hAnsiTheme="majorEastAsia" w:eastAsiaTheme="majorEastAsia"/>
                <w:color w:val="3E3E3E"/>
                <w:kern w:val="0"/>
                <w:szCs w:val="21"/>
              </w:rPr>
            </w:pPr>
            <w:r>
              <w:rPr>
                <w:rFonts w:hint="eastAsia" w:ascii="微软雅黑" w:hAnsi="微软雅黑" w:eastAsia="微软雅黑" w:cs="宋体"/>
                <w:b/>
                <w:color w:val="3E3E3E"/>
                <w:kern w:val="0"/>
                <w:szCs w:val="21"/>
              </w:rPr>
              <w:t>中野 章，</w:t>
            </w:r>
            <w:r>
              <w:rPr>
                <w:rFonts w:hint="eastAsia" w:cs="宋体" w:asciiTheme="majorEastAsia" w:hAnsiTheme="majorEastAsia" w:eastAsiaTheme="majorEastAsia"/>
                <w:color w:val="3E3E3E"/>
                <w:kern w:val="0"/>
                <w:szCs w:val="21"/>
              </w:rPr>
              <w:t xml:space="preserve"> 日本PC工厂生产运营专家、技术顾问</w:t>
            </w:r>
          </w:p>
          <w:p>
            <w:pPr>
              <w:pStyle w:val="13"/>
              <w:widowControl/>
              <w:shd w:val="clear" w:color="auto" w:fill="FFFFFF"/>
              <w:spacing w:line="384" w:lineRule="atLeast"/>
              <w:ind w:left="36" w:leftChars="16" w:hanging="2" w:firstLineChars="0"/>
              <w:jc w:val="left"/>
              <w:rPr>
                <w:rFonts w:ascii="微软雅黑" w:hAnsi="微软雅黑" w:eastAsia="微软雅黑" w:cs="宋体"/>
                <w:b/>
                <w:color w:val="3E3E3E"/>
                <w:kern w:val="0"/>
                <w:szCs w:val="21"/>
              </w:rPr>
            </w:pPr>
            <w:r>
              <w:rPr>
                <w:rFonts w:hint="eastAsia" w:cs="宋体" w:asciiTheme="majorEastAsia" w:hAnsiTheme="majorEastAsia" w:eastAsiaTheme="majorEastAsia"/>
                <w:color w:val="3E3E3E"/>
                <w:kern w:val="0"/>
                <w:szCs w:val="21"/>
                <w:shd w:val="clear" w:color="auto" w:fill="FFFFFF"/>
              </w:rPr>
              <w:t>1971年3月 毕业于日本大学理工学部建筑学专业。从1971年至2013年，先后供职于株式会社藤田、株式会社Techno Material，负责参与了东京都狛江高层公寓（H-PC）、埼玉县越谷市千间台集合住宅（W-PC）、千叶县习志野市住宅（H-PC）、东京都丰岛区池袋北的sunshine city（PC-CW）等项目，负责包括现场施工计划、施工管理、施工预算等一系列工作。之后工作调动至株式会社Techno Material千叶工厂，负责造价预算、生产管理、产品品质管理、施工指导等工作。之后，调动至营业部门从事营业销售（营业对象为鹿岛建设、大成建设、大林组、三井住友建设，五洋建设，奥村组，熊谷组等）。</w:t>
            </w:r>
          </w:p>
        </w:tc>
      </w:tr>
    </w:tbl>
    <w:p>
      <w:pPr>
        <w:adjustRightInd w:val="0"/>
        <w:snapToGrid w:val="0"/>
        <w:spacing w:line="420" w:lineRule="exact"/>
        <w:jc w:val="left"/>
        <w:rPr>
          <w:rFonts w:ascii="华文中宋" w:hAnsi="华文中宋" w:eastAsia="华文中宋"/>
          <w:sz w:val="24"/>
          <w:szCs w:val="24"/>
        </w:rPr>
      </w:pPr>
      <w:r>
        <w:rPr>
          <w:rFonts w:hint="eastAsia" w:ascii="微软雅黑" w:hAnsi="微软雅黑" w:eastAsia="微软雅黑" w:cs="宋体"/>
          <w:b/>
          <w:color w:val="3E3E3E"/>
          <w:kern w:val="0"/>
          <w:szCs w:val="21"/>
        </w:rPr>
        <w:br w:type="textWrapping"/>
      </w:r>
      <w:r>
        <w:rPr>
          <w:rFonts w:hint="eastAsia" w:ascii="华文中宋" w:hAnsi="华文中宋" w:eastAsia="华文中宋"/>
          <w:sz w:val="24"/>
          <w:szCs w:val="24"/>
        </w:rPr>
        <w:t>四、培训费用：￥3800元/人；</w:t>
      </w:r>
      <w:r>
        <w:rPr>
          <w:rFonts w:ascii="华文中宋" w:hAnsi="华文中宋" w:eastAsia="华文中宋"/>
          <w:sz w:val="24"/>
          <w:szCs w:val="24"/>
        </w:rPr>
        <w:t xml:space="preserve"> </w:t>
      </w:r>
    </w:p>
    <w:p>
      <w:pPr>
        <w:pStyle w:val="13"/>
        <w:adjustRightInd w:val="0"/>
        <w:snapToGrid w:val="0"/>
        <w:spacing w:line="420" w:lineRule="exact"/>
        <w:ind w:left="426" w:leftChars="203" w:firstLine="0" w:firstLineChars="0"/>
        <w:jc w:val="left"/>
        <w:rPr>
          <w:rFonts w:ascii="华文中宋" w:hAnsi="华文中宋" w:eastAsia="华文中宋"/>
          <w:sz w:val="24"/>
          <w:szCs w:val="24"/>
        </w:rPr>
      </w:pPr>
      <w:r>
        <w:rPr>
          <w:rFonts w:hint="eastAsia" w:ascii="华文中宋" w:hAnsi="华文中宋" w:eastAsia="华文中宋"/>
          <w:sz w:val="24"/>
          <w:szCs w:val="24"/>
        </w:rPr>
        <w:t>※费用包括：午餐费用、资料费、翻译费、场地费、现场观摩费、税金等。</w:t>
      </w:r>
    </w:p>
    <w:p>
      <w:pPr>
        <w:pStyle w:val="13"/>
        <w:adjustRightInd w:val="0"/>
        <w:snapToGrid w:val="0"/>
        <w:spacing w:line="420" w:lineRule="exact"/>
        <w:ind w:left="426" w:leftChars="203" w:firstLine="0" w:firstLineChars="0"/>
        <w:jc w:val="left"/>
        <w:rPr>
          <w:rFonts w:ascii="华文中宋" w:hAnsi="华文中宋" w:eastAsia="华文中宋"/>
          <w:sz w:val="24"/>
          <w:szCs w:val="24"/>
        </w:rPr>
      </w:pPr>
      <w:r>
        <w:rPr>
          <w:rFonts w:hint="eastAsia" w:ascii="华文中宋" w:hAnsi="华文中宋" w:eastAsia="华文中宋"/>
          <w:sz w:val="24"/>
          <w:szCs w:val="24"/>
        </w:rPr>
        <w:t>※费用不包括培训期间的住宿费和晚餐费用。</w:t>
      </w:r>
    </w:p>
    <w:p>
      <w:pPr>
        <w:pStyle w:val="13"/>
        <w:adjustRightInd w:val="0"/>
        <w:snapToGrid w:val="0"/>
        <w:spacing w:line="420" w:lineRule="exact"/>
        <w:ind w:left="143" w:leftChars="1" w:hanging="141" w:hangingChars="59"/>
        <w:jc w:val="left"/>
        <w:rPr>
          <w:rFonts w:ascii="华文中宋" w:hAnsi="华文中宋" w:eastAsia="华文中宋"/>
          <w:sz w:val="24"/>
          <w:szCs w:val="24"/>
        </w:rPr>
      </w:pPr>
      <w:r>
        <w:rPr>
          <w:rFonts w:hint="eastAsia" w:ascii="华文中宋" w:hAnsi="华文中宋" w:eastAsia="华文中宋"/>
          <w:sz w:val="24"/>
          <w:szCs w:val="24"/>
        </w:rPr>
        <w:t>五、</w:t>
      </w:r>
      <w:r>
        <w:rPr>
          <w:rFonts w:ascii="华文中宋" w:hAnsi="华文中宋" w:eastAsia="华文中宋"/>
          <w:sz w:val="24"/>
          <w:szCs w:val="24"/>
        </w:rPr>
        <w:t>培训对象</w:t>
      </w:r>
    </w:p>
    <w:p>
      <w:pPr>
        <w:pStyle w:val="13"/>
        <w:adjustRightInd w:val="0"/>
        <w:snapToGrid w:val="0"/>
        <w:spacing w:line="420" w:lineRule="exact"/>
        <w:ind w:left="2" w:firstLine="360" w:firstLineChars="150"/>
        <w:jc w:val="left"/>
        <w:rPr>
          <w:rFonts w:ascii="华文中宋" w:hAnsi="华文中宋" w:eastAsia="华文中宋"/>
          <w:sz w:val="24"/>
          <w:szCs w:val="24"/>
        </w:rPr>
      </w:pPr>
      <w:r>
        <w:rPr>
          <w:rFonts w:hint="eastAsia" w:ascii="华文中宋" w:hAnsi="华文中宋" w:eastAsia="华文中宋"/>
          <w:sz w:val="24"/>
          <w:szCs w:val="24"/>
        </w:rPr>
        <w:t>混凝土PC生产企业、预制PC构件设计与研发企业。</w:t>
      </w:r>
    </w:p>
    <w:p>
      <w:pPr>
        <w:pStyle w:val="13"/>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六、</w:t>
      </w:r>
      <w:r>
        <w:rPr>
          <w:rStyle w:val="7"/>
          <w:rFonts w:hint="eastAsia"/>
          <w:color w:val="252525"/>
          <w:shd w:val="clear" w:color="auto" w:fill="FFFFFF"/>
        </w:rPr>
        <w:t>培训形式</w:t>
      </w:r>
    </w:p>
    <w:p>
      <w:pPr>
        <w:pStyle w:val="13"/>
        <w:adjustRightInd w:val="0"/>
        <w:snapToGrid w:val="0"/>
        <w:spacing w:line="420" w:lineRule="exact"/>
        <w:ind w:left="426" w:firstLine="0" w:firstLineChars="0"/>
        <w:jc w:val="left"/>
        <w:rPr>
          <w:rFonts w:ascii="华文中宋" w:hAnsi="华文中宋" w:eastAsia="华文中宋"/>
          <w:sz w:val="24"/>
          <w:szCs w:val="24"/>
        </w:rPr>
      </w:pPr>
      <w:r>
        <w:rPr>
          <w:rFonts w:hint="eastAsia" w:ascii="华文中宋" w:hAnsi="华文中宋" w:eastAsia="华文中宋"/>
          <w:sz w:val="24"/>
          <w:szCs w:val="24"/>
        </w:rPr>
        <w:t>本培训将采取课堂授课、现场教学与观摩相结合的形式，为学员进行规范解读、技术解析、案例精讲和工程实操。</w:t>
      </w:r>
    </w:p>
    <w:p>
      <w:pPr>
        <w:pStyle w:val="13"/>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七、其他事项</w:t>
      </w:r>
    </w:p>
    <w:p>
      <w:pPr>
        <w:pStyle w:val="13"/>
        <w:adjustRightInd w:val="0"/>
        <w:snapToGrid w:val="0"/>
        <w:spacing w:line="420" w:lineRule="exact"/>
        <w:ind w:left="565" w:leftChars="203" w:hanging="139" w:hangingChars="58"/>
        <w:jc w:val="left"/>
        <w:rPr>
          <w:rFonts w:ascii="华文中宋" w:hAnsi="华文中宋" w:eastAsia="华文中宋"/>
          <w:sz w:val="24"/>
          <w:szCs w:val="24"/>
        </w:rPr>
      </w:pPr>
      <w:r>
        <w:rPr>
          <w:rFonts w:hint="eastAsia" w:ascii="华文中宋" w:hAnsi="华文中宋" w:eastAsia="华文中宋"/>
          <w:sz w:val="24"/>
          <w:szCs w:val="24"/>
        </w:rPr>
        <w:t>1、主办方会在开班前5天发送培训报到通知，通知会注明培训地点、报到时间、住宿费用等事项；</w:t>
      </w:r>
    </w:p>
    <w:p>
      <w:pPr>
        <w:pStyle w:val="13"/>
        <w:adjustRightInd w:val="0"/>
        <w:snapToGrid w:val="0"/>
        <w:spacing w:line="420" w:lineRule="exact"/>
        <w:ind w:left="565" w:leftChars="203" w:hanging="139" w:hangingChars="58"/>
        <w:jc w:val="left"/>
        <w:rPr>
          <w:rFonts w:ascii="华文中宋" w:hAnsi="华文中宋" w:eastAsia="华文中宋"/>
          <w:sz w:val="24"/>
          <w:szCs w:val="24"/>
        </w:rPr>
      </w:pPr>
      <w:r>
        <w:rPr>
          <w:rFonts w:hint="eastAsia" w:ascii="华文中宋" w:hAnsi="华文中宋" w:eastAsia="华文中宋"/>
          <w:sz w:val="24"/>
          <w:szCs w:val="24"/>
        </w:rPr>
        <w:t>2、主办方将为参加培训的企业开具国税增值税专用发票或国税普通发票，请在培训开始前提供开票信息；</w:t>
      </w:r>
    </w:p>
    <w:p>
      <w:pPr>
        <w:pStyle w:val="13"/>
        <w:adjustRightInd w:val="0"/>
        <w:snapToGrid w:val="0"/>
        <w:spacing w:line="420" w:lineRule="exact"/>
        <w:ind w:left="565" w:leftChars="203" w:hanging="139" w:hangingChars="58"/>
        <w:jc w:val="left"/>
        <w:rPr>
          <w:rFonts w:ascii="华文中宋" w:hAnsi="华文中宋" w:eastAsia="华文中宋"/>
          <w:sz w:val="24"/>
          <w:szCs w:val="24"/>
        </w:rPr>
      </w:pPr>
      <w:r>
        <w:rPr>
          <w:rFonts w:hint="eastAsia" w:ascii="华文中宋" w:hAnsi="华文中宋" w:eastAsia="华文中宋"/>
          <w:sz w:val="24"/>
          <w:szCs w:val="24"/>
        </w:rPr>
        <w:drawing>
          <wp:anchor distT="0" distB="0" distL="114300" distR="114300" simplePos="0" relativeHeight="251662336" behindDoc="1" locked="0" layoutInCell="1" allowOverlap="1">
            <wp:simplePos x="0" y="0"/>
            <wp:positionH relativeFrom="column">
              <wp:posOffset>4629150</wp:posOffset>
            </wp:positionH>
            <wp:positionV relativeFrom="paragraph">
              <wp:posOffset>146685</wp:posOffset>
            </wp:positionV>
            <wp:extent cx="1722120" cy="2023110"/>
            <wp:effectExtent l="19050" t="0" r="0" b="0"/>
            <wp:wrapNone/>
            <wp:docPr id="1" name="图片 0" descr="套红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套红章.jpg"/>
                    <pic:cNvPicPr>
                      <a:picLocks noChangeAspect="1"/>
                    </pic:cNvPicPr>
                  </pic:nvPicPr>
                  <pic:blipFill>
                    <a:blip r:embed="rId7" cstate="print"/>
                    <a:stretch>
                      <a:fillRect/>
                    </a:stretch>
                  </pic:blipFill>
                  <pic:spPr>
                    <a:xfrm>
                      <a:off x="0" y="0"/>
                      <a:ext cx="1722201" cy="2023353"/>
                    </a:xfrm>
                    <a:prstGeom prst="rect">
                      <a:avLst/>
                    </a:prstGeom>
                  </pic:spPr>
                </pic:pic>
              </a:graphicData>
            </a:graphic>
          </wp:anchor>
        </w:drawing>
      </w:r>
      <w:r>
        <w:rPr>
          <w:rFonts w:hint="eastAsia" w:ascii="华文中宋" w:hAnsi="华文中宋" w:eastAsia="华文中宋"/>
          <w:sz w:val="24"/>
          <w:szCs w:val="24"/>
        </w:rPr>
        <w:t>3、参加培训的企业需填写“培训报名表”（见附件）。填好后，</w:t>
      </w:r>
      <w:r>
        <w:fldChar w:fldCharType="begin"/>
      </w:r>
      <w:r>
        <w:instrText xml:space="preserve"> HYPERLINK "mailto:将报名表回发致554056455@qq.com" </w:instrText>
      </w:r>
      <w:r>
        <w:fldChar w:fldCharType="separate"/>
      </w:r>
      <w:r>
        <w:rPr>
          <w:rStyle w:val="8"/>
          <w:rFonts w:hint="eastAsia" w:ascii="华文中宋" w:hAnsi="华文中宋" w:eastAsia="华文中宋"/>
          <w:sz w:val="24"/>
          <w:szCs w:val="24"/>
        </w:rPr>
        <w:t>将报名表回发致</w:t>
      </w:r>
      <w:r>
        <w:rPr>
          <w:rStyle w:val="8"/>
          <w:rFonts w:hint="eastAsia" w:ascii="华文中宋" w:hAnsi="华文中宋" w:eastAsia="华文中宋"/>
          <w:sz w:val="24"/>
          <w:szCs w:val="24"/>
          <w:lang w:val="en-US" w:eastAsia="zh-CN"/>
        </w:rPr>
        <w:t>z</w:t>
      </w:r>
      <w:r>
        <w:rPr>
          <w:rStyle w:val="8"/>
          <w:rFonts w:hint="eastAsia" w:ascii="华文中宋" w:hAnsi="华文中宋" w:eastAsia="华文中宋"/>
          <w:sz w:val="24"/>
          <w:szCs w:val="24"/>
        </w:rPr>
        <w:fldChar w:fldCharType="end"/>
      </w:r>
      <w:r>
        <w:rPr>
          <w:rStyle w:val="8"/>
          <w:rFonts w:hint="eastAsia" w:ascii="华文中宋" w:hAnsi="华文中宋" w:eastAsia="华文中宋"/>
          <w:sz w:val="24"/>
          <w:szCs w:val="24"/>
          <w:lang w:val="en-US" w:eastAsia="zh-CN"/>
        </w:rPr>
        <w:t>qgphwz@126.com</w:t>
      </w:r>
      <w:r>
        <w:rPr>
          <w:rFonts w:hint="eastAsia" w:ascii="华文中宋" w:hAnsi="华文中宋" w:eastAsia="华文中宋"/>
          <w:sz w:val="24"/>
          <w:szCs w:val="24"/>
        </w:rPr>
        <w:t xml:space="preserve">. </w:t>
      </w:r>
    </w:p>
    <w:p>
      <w:pPr>
        <w:pStyle w:val="13"/>
        <w:adjustRightInd w:val="0"/>
        <w:snapToGrid w:val="0"/>
        <w:spacing w:line="420" w:lineRule="exact"/>
        <w:ind w:left="565" w:leftChars="203" w:hanging="139" w:hangingChars="58"/>
        <w:jc w:val="left"/>
        <w:rPr>
          <w:rFonts w:ascii="宋体"/>
          <w:sz w:val="24"/>
        </w:rPr>
      </w:pPr>
      <w:r>
        <w:rPr>
          <w:rFonts w:hint="eastAsia" w:ascii="华文中宋" w:hAnsi="华文中宋" w:eastAsia="华文中宋"/>
          <w:sz w:val="24"/>
          <w:szCs w:val="24"/>
        </w:rPr>
        <w:t>4、报名咨询：</w:t>
      </w:r>
      <w:r>
        <w:rPr>
          <w:rFonts w:hint="eastAsia" w:ascii="宋体" w:hAnsi="宋体"/>
          <w:bCs/>
          <w:sz w:val="24"/>
        </w:rPr>
        <w:t>010-</w:t>
      </w:r>
      <w:r>
        <w:rPr>
          <w:rFonts w:hint="eastAsia" w:ascii="宋体" w:hAnsi="宋体"/>
          <w:bCs/>
          <w:sz w:val="24"/>
          <w:lang w:val="en-US" w:eastAsia="zh-CN"/>
        </w:rPr>
        <w:t>87697580</w:t>
      </w:r>
      <w:r>
        <w:rPr>
          <w:rFonts w:hint="eastAsia" w:ascii="宋体" w:hAnsi="宋体"/>
          <w:bCs/>
          <w:sz w:val="24"/>
        </w:rPr>
        <w:t xml:space="preserve"> 、</w:t>
      </w:r>
      <w:r>
        <w:rPr>
          <w:rFonts w:hint="eastAsia" w:ascii="宋体" w:hAnsi="宋体"/>
          <w:bCs/>
          <w:sz w:val="24"/>
          <w:lang w:val="en-US" w:eastAsia="zh-CN"/>
        </w:rPr>
        <w:t>18211071700</w:t>
      </w:r>
      <w:r>
        <w:rPr>
          <w:rFonts w:hint="eastAsia" w:ascii="宋体"/>
          <w:sz w:val="24"/>
        </w:rPr>
        <w:t xml:space="preserve"> </w:t>
      </w:r>
    </w:p>
    <w:p>
      <w:pPr>
        <w:pStyle w:val="13"/>
        <w:adjustRightInd w:val="0"/>
        <w:snapToGrid w:val="0"/>
        <w:spacing w:line="420" w:lineRule="exact"/>
        <w:ind w:left="2" w:firstLine="6240" w:firstLineChars="2600"/>
        <w:jc w:val="left"/>
        <w:rPr>
          <w:rFonts w:ascii="华文中宋" w:hAnsi="华文中宋" w:eastAsia="华文中宋"/>
          <w:sz w:val="24"/>
          <w:szCs w:val="24"/>
        </w:rPr>
      </w:pPr>
      <w:r>
        <w:rPr>
          <w:rFonts w:hint="eastAsia" w:ascii="华文中宋" w:hAnsi="华文中宋" w:eastAsia="华文中宋"/>
          <w:sz w:val="24"/>
          <w:szCs w:val="24"/>
        </w:rPr>
        <w:t>北京中外友联建筑文化交流中心</w:t>
      </w:r>
    </w:p>
    <w:p>
      <w:pPr>
        <w:pStyle w:val="13"/>
        <w:adjustRightInd w:val="0"/>
        <w:snapToGrid w:val="0"/>
        <w:spacing w:line="420" w:lineRule="exact"/>
        <w:ind w:left="2" w:firstLine="5640" w:firstLineChars="2350"/>
        <w:jc w:val="left"/>
        <w:rPr>
          <w:rFonts w:ascii="华文中宋" w:hAnsi="华文中宋" w:eastAsia="华文中宋"/>
          <w:sz w:val="24"/>
          <w:szCs w:val="24"/>
        </w:rPr>
      </w:pPr>
      <w:r>
        <w:rPr>
          <w:rFonts w:hint="eastAsia" w:ascii="华文中宋" w:hAnsi="华文中宋" w:eastAsia="华文中宋"/>
          <w:sz w:val="24"/>
          <w:szCs w:val="24"/>
        </w:rPr>
        <w:t xml:space="preserve">              2018年9月</w:t>
      </w:r>
    </w:p>
    <w:p>
      <w:pPr>
        <w:pStyle w:val="13"/>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附：《培训报名表》</w:t>
      </w:r>
    </w:p>
    <w:p>
      <w:pPr>
        <w:shd w:val="clear" w:color="auto" w:fill="FFFFFF"/>
        <w:spacing w:line="360" w:lineRule="auto"/>
        <w:ind w:right="-1009"/>
        <w:jc w:val="center"/>
        <w:rPr>
          <w:rFonts w:ascii="微软雅黑" w:hAnsi="微软雅黑" w:eastAsia="微软雅黑" w:cs="黑体"/>
          <w:spacing w:val="-2"/>
          <w:sz w:val="36"/>
          <w:szCs w:val="36"/>
        </w:rPr>
      </w:pPr>
      <w:r>
        <w:rPr>
          <w:rFonts w:hint="eastAsia" w:ascii="微软雅黑" w:hAnsi="微软雅黑" w:eastAsia="微软雅黑" w:cs="黑体"/>
          <w:spacing w:val="-2"/>
          <w:sz w:val="36"/>
          <w:szCs w:val="36"/>
        </w:rPr>
        <w:t>培 训 报 名 回 执 表</w:t>
      </w:r>
    </w:p>
    <w:tbl>
      <w:tblPr>
        <w:tblStyle w:val="9"/>
        <w:tblpPr w:leftFromText="180" w:rightFromText="180" w:vertAnchor="text" w:tblpXSpec="center" w:tblpY="1"/>
        <w:tblOverlap w:val="never"/>
        <w:tblW w:w="9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560"/>
        <w:gridCol w:w="992"/>
        <w:gridCol w:w="1417"/>
        <w:gridCol w:w="567"/>
        <w:gridCol w:w="3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单位名称</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ind w:firstLine="240" w:firstLineChars="1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通讯地址</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经办人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E-mail/QQ</w:t>
            </w:r>
          </w:p>
        </w:tc>
        <w:tc>
          <w:tcPr>
            <w:tcW w:w="34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电    话</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传  真</w:t>
            </w:r>
          </w:p>
        </w:tc>
        <w:tc>
          <w:tcPr>
            <w:tcW w:w="34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参会人员姓名</w:t>
            </w: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性 别</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职务／职称</w:t>
            </w: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9"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费用合计</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left"/>
              <w:rPr>
                <w:rFonts w:ascii="宋体" w:hAnsi="宋体"/>
                <w:b/>
                <w:bCs/>
                <w:sz w:val="24"/>
              </w:rPr>
            </w:pPr>
            <w:r>
              <w:rPr>
                <w:rFonts w:hint="eastAsia" w:ascii="宋体" w:hAnsi="宋体"/>
                <w:b/>
                <w:bCs/>
                <w:sz w:val="24"/>
              </w:rPr>
              <w:t>(大写人民币)</w:t>
            </w:r>
            <w:r>
              <w:rPr>
                <w:rFonts w:ascii="宋体" w:hAnsi="宋体"/>
                <w:b/>
                <w:bCs/>
                <w:sz w:val="24"/>
              </w:rPr>
              <w:t xml:space="preserve">  </w:t>
            </w:r>
            <w:r>
              <w:rPr>
                <w:rFonts w:hint="eastAsia" w:ascii="宋体" w:hAnsi="宋体"/>
                <w:b/>
                <w:bCs/>
                <w:sz w:val="24"/>
              </w:rPr>
              <w:t xml:space="preserve"> 万</w:t>
            </w:r>
            <w:r>
              <w:rPr>
                <w:rFonts w:ascii="宋体" w:hAnsi="宋体"/>
                <w:b/>
                <w:bCs/>
                <w:sz w:val="24"/>
              </w:rPr>
              <w:t xml:space="preserve"> </w:t>
            </w:r>
            <w:r>
              <w:rPr>
                <w:rFonts w:hint="eastAsia" w:ascii="宋体" w:hAnsi="宋体"/>
                <w:b/>
                <w:bCs/>
                <w:sz w:val="24"/>
              </w:rPr>
              <w:t xml:space="preserve">  仟</w:t>
            </w:r>
            <w:r>
              <w:rPr>
                <w:rFonts w:ascii="宋体" w:hAnsi="宋体"/>
                <w:b/>
                <w:bCs/>
                <w:sz w:val="24"/>
              </w:rPr>
              <w:t xml:space="preserve"> </w:t>
            </w:r>
            <w:r>
              <w:rPr>
                <w:rFonts w:hint="eastAsia" w:ascii="宋体" w:hAnsi="宋体"/>
                <w:b/>
                <w:bCs/>
                <w:sz w:val="24"/>
              </w:rPr>
              <w:t xml:space="preserve">  陆</w:t>
            </w:r>
            <w:r>
              <w:rPr>
                <w:rFonts w:ascii="宋体" w:hAnsi="宋体"/>
                <w:b/>
                <w:bCs/>
                <w:sz w:val="24"/>
              </w:rPr>
              <w:t xml:space="preserve"> </w:t>
            </w:r>
            <w:r>
              <w:rPr>
                <w:rFonts w:hint="eastAsia" w:ascii="宋体" w:hAnsi="宋体"/>
                <w:b/>
                <w:bCs/>
                <w:sz w:val="24"/>
              </w:rPr>
              <w:t xml:space="preserve"> 佰 </w:t>
            </w:r>
            <w:r>
              <w:rPr>
                <w:rFonts w:ascii="宋体" w:hAnsi="宋体"/>
                <w:b/>
                <w:bCs/>
                <w:sz w:val="24"/>
              </w:rPr>
              <w:t xml:space="preserve"> </w:t>
            </w:r>
            <w:r>
              <w:rPr>
                <w:rFonts w:hint="eastAsia" w:ascii="宋体" w:hAnsi="宋体"/>
                <w:b/>
                <w:bCs/>
                <w:sz w:val="24"/>
              </w:rPr>
              <w:t>元整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会务账户</w:t>
            </w:r>
          </w:p>
        </w:tc>
        <w:tc>
          <w:tcPr>
            <w:tcW w:w="8028" w:type="dxa"/>
            <w:gridSpan w:val="5"/>
            <w:tcBorders>
              <w:top w:val="single" w:color="auto" w:sz="4" w:space="0"/>
              <w:bottom w:val="single" w:color="auto" w:sz="4" w:space="0"/>
              <w:right w:val="single" w:color="auto" w:sz="4" w:space="0"/>
            </w:tcBorders>
            <w:vAlign w:val="center"/>
          </w:tcPr>
          <w:p>
            <w:pPr>
              <w:shd w:val="clear" w:color="auto" w:fill="FFFFFF"/>
              <w:spacing w:line="400" w:lineRule="exact"/>
              <w:jc w:val="left"/>
              <w:rPr>
                <w:rFonts w:ascii="宋体" w:hAnsi="宋体"/>
                <w:b/>
                <w:bCs/>
                <w:sz w:val="24"/>
              </w:rPr>
            </w:pPr>
            <w:r>
              <w:rPr>
                <w:rFonts w:hint="eastAsia" w:ascii="宋体" w:hAnsi="宋体"/>
                <w:b/>
                <w:bCs/>
                <w:sz w:val="24"/>
              </w:rPr>
              <w:t>收款单位：北京中外友联建筑文化交流中心有限公司</w:t>
            </w:r>
          </w:p>
          <w:p>
            <w:pPr>
              <w:shd w:val="clear" w:color="auto" w:fill="FFFFFF"/>
              <w:spacing w:line="400" w:lineRule="exact"/>
              <w:jc w:val="left"/>
              <w:rPr>
                <w:rFonts w:ascii="宋体" w:hAnsi="宋体"/>
                <w:b/>
                <w:bCs/>
                <w:sz w:val="24"/>
              </w:rPr>
            </w:pPr>
            <w:r>
              <w:rPr>
                <w:rFonts w:hint="eastAsia" w:ascii="宋体" w:hAnsi="宋体"/>
                <w:b/>
                <w:bCs/>
                <w:sz w:val="24"/>
              </w:rPr>
              <w:t>开</w:t>
            </w:r>
            <w:r>
              <w:rPr>
                <w:rFonts w:ascii="宋体" w:hAnsi="宋体"/>
                <w:b/>
                <w:bCs/>
                <w:sz w:val="24"/>
              </w:rPr>
              <w:t xml:space="preserve"> </w:t>
            </w:r>
            <w:r>
              <w:rPr>
                <w:rFonts w:hint="eastAsia" w:ascii="宋体" w:hAnsi="宋体"/>
                <w:b/>
                <w:bCs/>
                <w:sz w:val="24"/>
              </w:rPr>
              <w:t>户</w:t>
            </w:r>
            <w:r>
              <w:rPr>
                <w:rFonts w:ascii="宋体" w:hAnsi="宋体"/>
                <w:b/>
                <w:bCs/>
                <w:sz w:val="24"/>
              </w:rPr>
              <w:t xml:space="preserve"> </w:t>
            </w:r>
            <w:r>
              <w:rPr>
                <w:rFonts w:hint="eastAsia" w:ascii="宋体" w:hAnsi="宋体"/>
                <w:b/>
                <w:bCs/>
                <w:sz w:val="24"/>
              </w:rPr>
              <w:t>行：中国工商银行北京安贞支行</w:t>
            </w:r>
          </w:p>
          <w:p>
            <w:pPr>
              <w:shd w:val="clear" w:color="auto" w:fill="FFFFFF"/>
              <w:spacing w:line="400" w:lineRule="exact"/>
              <w:jc w:val="left"/>
              <w:rPr>
                <w:rFonts w:ascii="宋体" w:hAnsi="宋体"/>
                <w:b/>
                <w:bCs/>
                <w:sz w:val="24"/>
              </w:rPr>
            </w:pPr>
            <w:r>
              <w:rPr>
                <w:rFonts w:hint="eastAsia" w:ascii="宋体" w:hAnsi="宋体"/>
                <w:b/>
                <w:bCs/>
                <w:sz w:val="24"/>
              </w:rPr>
              <w:t>账    号：0200064809024563981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809" w:type="dxa"/>
            <w:vMerge w:val="restart"/>
            <w:tcBorders>
              <w:top w:val="single" w:color="auto" w:sz="4" w:space="0"/>
              <w:left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发票类型</w:t>
            </w:r>
          </w:p>
        </w:tc>
        <w:tc>
          <w:tcPr>
            <w:tcW w:w="8028" w:type="dxa"/>
            <w:gridSpan w:val="5"/>
            <w:tcBorders>
              <w:top w:val="single" w:color="auto" w:sz="4" w:space="0"/>
              <w:right w:val="single" w:color="auto" w:sz="4" w:space="0"/>
            </w:tcBorders>
            <w:vAlign w:val="center"/>
          </w:tcPr>
          <w:p>
            <w:pPr>
              <w:spacing w:line="400" w:lineRule="exact"/>
              <w:jc w:val="center"/>
              <w:rPr>
                <w:rFonts w:ascii="宋体" w:hAnsi="宋体" w:cs="宋体"/>
                <w:b/>
                <w:bCs/>
                <w:kern w:val="0"/>
                <w:sz w:val="24"/>
              </w:rPr>
            </w:pPr>
            <w:r>
              <w:rPr>
                <w:rFonts w:hint="eastAsia" w:ascii="宋体" w:hAnsi="宋体"/>
                <w:b/>
                <w:bCs/>
                <w:sz w:val="24"/>
              </w:rPr>
              <w:t>□国税普通发票           □国税增值税专用发票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809" w:type="dxa"/>
            <w:vMerge w:val="continue"/>
            <w:tcBorders>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8028" w:type="dxa"/>
            <w:gridSpan w:val="5"/>
            <w:tcBorders>
              <w:top w:val="single" w:color="auto" w:sz="4" w:space="0"/>
              <w:bottom w:val="single" w:color="auto" w:sz="4" w:space="0"/>
              <w:right w:val="single" w:color="auto" w:sz="4" w:space="0"/>
            </w:tcBorders>
            <w:vAlign w:val="center"/>
          </w:tcPr>
          <w:p>
            <w:pPr>
              <w:spacing w:line="400" w:lineRule="exact"/>
              <w:jc w:val="left"/>
              <w:rPr>
                <w:rFonts w:ascii="宋体" w:hAnsi="宋体"/>
                <w:b/>
                <w:bCs/>
                <w:sz w:val="24"/>
              </w:rPr>
            </w:pPr>
            <w:r>
              <w:rPr>
                <w:rFonts w:hint="eastAsia" w:ascii="宋体" w:hAnsi="宋体" w:cs="宋体"/>
                <w:b/>
                <w:bCs/>
                <w:spacing w:val="-2"/>
                <w:kern w:val="0"/>
                <w:sz w:val="24"/>
              </w:rPr>
              <w:t>注：要求开增值税专用发票的单位，请提前向会务组提供税务登记号码、开户银行信息、开票信息等资料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atLeast"/>
        </w:trPr>
        <w:tc>
          <w:tcPr>
            <w:tcW w:w="1809" w:type="dxa"/>
            <w:tcBorders>
              <w:top w:val="single" w:color="auto" w:sz="4" w:space="0"/>
              <w:left w:val="single" w:color="auto" w:sz="4" w:space="0"/>
              <w:bottom w:val="single" w:color="auto" w:sz="4" w:space="0"/>
              <w:right w:val="nil"/>
            </w:tcBorders>
            <w:vAlign w:val="center"/>
          </w:tcPr>
          <w:p>
            <w:pPr>
              <w:shd w:val="clear" w:color="auto" w:fill="FFFFFF"/>
              <w:spacing w:line="400" w:lineRule="exact"/>
              <w:jc w:val="center"/>
              <w:rPr>
                <w:rFonts w:ascii="宋体" w:hAnsi="宋体"/>
                <w:sz w:val="24"/>
              </w:rPr>
            </w:pPr>
            <w:r>
              <w:rPr>
                <w:rFonts w:hint="eastAsia" w:ascii="宋体" w:hAnsi="宋体"/>
                <w:sz w:val="24"/>
              </w:rPr>
              <w:t>参会住宿</w:t>
            </w:r>
          </w:p>
        </w:tc>
        <w:tc>
          <w:tcPr>
            <w:tcW w:w="802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b/>
                <w:bCs/>
                <w:spacing w:val="-2"/>
                <w:kern w:val="0"/>
                <w:sz w:val="24"/>
              </w:rPr>
            </w:pPr>
            <w:r>
              <w:rPr>
                <w:rFonts w:hint="eastAsia" w:ascii="宋体" w:hAnsi="宋体" w:eastAsia="宋体" w:cs="宋体"/>
                <w:b/>
                <w:bCs/>
                <w:spacing w:val="-2"/>
                <w:kern w:val="0"/>
                <w:sz w:val="24"/>
              </w:rPr>
              <w:t>所需房间数量：</w:t>
            </w:r>
          </w:p>
          <w:p>
            <w:pPr>
              <w:spacing w:line="400" w:lineRule="exact"/>
              <w:jc w:val="center"/>
              <w:rPr>
                <w:rFonts w:ascii="宋体" w:hAnsi="宋体" w:cs="宋体"/>
                <w:b/>
                <w:bCs/>
                <w:spacing w:val="-2"/>
                <w:kern w:val="0"/>
                <w:sz w:val="24"/>
              </w:rPr>
            </w:pPr>
            <w:r>
              <w:rPr>
                <w:rFonts w:hint="eastAsia" w:ascii="宋体" w:hAnsi="宋体" w:eastAsia="宋体" w:cs="宋体"/>
                <w:b/>
                <w:bCs/>
                <w:spacing w:val="-2"/>
                <w:kern w:val="0"/>
                <w:sz w:val="24"/>
              </w:rPr>
              <w:t>单间：（</w:t>
            </w:r>
            <w:r>
              <w:rPr>
                <w:rFonts w:ascii="宋体" w:hAnsi="宋体" w:eastAsia="宋体" w:cs="宋体"/>
                <w:b/>
                <w:bCs/>
                <w:spacing w:val="-2"/>
                <w:kern w:val="0"/>
                <w:sz w:val="24"/>
              </w:rPr>
              <w:t xml:space="preserve">  </w:t>
            </w:r>
            <w:r>
              <w:rPr>
                <w:rFonts w:hint="eastAsia" w:ascii="宋体" w:hAnsi="宋体" w:eastAsia="宋体" w:cs="宋体"/>
                <w:b/>
                <w:bCs/>
                <w:spacing w:val="-2"/>
                <w:kern w:val="0"/>
                <w:sz w:val="24"/>
              </w:rPr>
              <w:t>）间</w:t>
            </w:r>
            <w:r>
              <w:rPr>
                <w:rFonts w:hint="eastAsia" w:ascii="宋体" w:hAnsi="宋体" w:cs="宋体"/>
                <w:b/>
                <w:bCs/>
                <w:spacing w:val="-2"/>
                <w:kern w:val="0"/>
                <w:sz w:val="24"/>
              </w:rPr>
              <w:t xml:space="preserve">       </w:t>
            </w:r>
            <w:r>
              <w:rPr>
                <w:rFonts w:hint="eastAsia" w:ascii="宋体" w:hAnsi="宋体" w:eastAsia="宋体" w:cs="宋体"/>
                <w:b/>
                <w:bCs/>
                <w:spacing w:val="-2"/>
                <w:kern w:val="0"/>
                <w:sz w:val="24"/>
              </w:rPr>
              <w:t>标间：（</w:t>
            </w:r>
            <w:r>
              <w:rPr>
                <w:rFonts w:ascii="宋体" w:hAnsi="宋体" w:eastAsia="宋体" w:cs="宋体"/>
                <w:b/>
                <w:bCs/>
                <w:spacing w:val="-2"/>
                <w:kern w:val="0"/>
                <w:sz w:val="24"/>
              </w:rPr>
              <w:t xml:space="preserve">  </w:t>
            </w:r>
            <w:r>
              <w:rPr>
                <w:rFonts w:hint="eastAsia" w:ascii="宋体" w:hAnsi="宋体" w:eastAsia="宋体" w:cs="宋体"/>
                <w:b/>
                <w:bCs/>
                <w:spacing w:val="-2"/>
                <w:kern w:val="0"/>
                <w:sz w:val="24"/>
              </w:rPr>
              <w:t>）间</w:t>
            </w:r>
          </w:p>
        </w:tc>
      </w:tr>
    </w:tbl>
    <w:p>
      <w:pPr>
        <w:shd w:val="clear" w:color="auto" w:fill="FFFFFF"/>
        <w:wordWrap w:val="0"/>
        <w:spacing w:line="400" w:lineRule="exact"/>
        <w:ind w:right="810"/>
        <w:rPr>
          <w:rFonts w:ascii="新宋体" w:hAnsi="新宋体" w:eastAsia="新宋体"/>
          <w:spacing w:val="30"/>
          <w:sz w:val="24"/>
          <w:szCs w:val="24"/>
        </w:rPr>
      </w:pPr>
    </w:p>
    <w:p>
      <w:pPr>
        <w:spacing w:line="340" w:lineRule="exact"/>
        <w:rPr>
          <w:rFonts w:hint="eastAsia" w:ascii="宋体" w:hAnsi="宋体"/>
          <w:b/>
          <w:color w:val="000000"/>
          <w:sz w:val="24"/>
        </w:rPr>
      </w:pPr>
      <w:bookmarkStart w:id="0" w:name="_GoBack"/>
      <w:bookmarkEnd w:id="0"/>
      <w:r>
        <w:rPr>
          <w:rFonts w:hint="eastAsia" w:ascii="宋体" w:hAnsi="宋体"/>
          <w:b/>
          <w:color w:val="000000"/>
          <w:sz w:val="24"/>
        </w:rPr>
        <w:t xml:space="preserve">联系人：聂红军 </w:t>
      </w:r>
      <w:r>
        <w:rPr>
          <w:rFonts w:hint="eastAsia" w:ascii="宋体" w:hAnsi="宋体"/>
          <w:b/>
          <w:color w:val="000000"/>
          <w:sz w:val="24"/>
          <w:lang w:eastAsia="zh-CN"/>
        </w:rPr>
        <w:t>主任</w:t>
      </w:r>
      <w:r>
        <w:rPr>
          <w:rFonts w:hint="eastAsia" w:ascii="宋体" w:hAnsi="宋体"/>
          <w:b/>
          <w:color w:val="000000"/>
          <w:sz w:val="24"/>
        </w:rPr>
        <w:t xml:space="preserve"> 18211071700（微信）         邮  箱：zqgphwz@126.com</w:t>
      </w:r>
    </w:p>
    <w:p>
      <w:pPr>
        <w:shd w:val="clear" w:color="auto" w:fill="FFFFFF"/>
        <w:wordWrap w:val="0"/>
        <w:spacing w:line="400" w:lineRule="exact"/>
        <w:ind w:right="810"/>
        <w:rPr>
          <w:rFonts w:ascii="新宋体" w:hAnsi="新宋体" w:eastAsia="新宋体"/>
          <w:spacing w:val="30"/>
          <w:sz w:val="24"/>
          <w:szCs w:val="24"/>
        </w:rPr>
      </w:pPr>
      <w:r>
        <w:rPr>
          <w:rFonts w:hint="eastAsia" w:ascii="宋体" w:hAnsi="宋体"/>
          <w:b/>
          <w:color w:val="000000"/>
          <w:sz w:val="24"/>
        </w:rPr>
        <w:t xml:space="preserve">电话（传真）：010-87697580                      qq咨询：3177524020  </w:t>
      </w: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9469"/>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575AB"/>
    <w:multiLevelType w:val="multilevel"/>
    <w:tmpl w:val="600575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F5"/>
    <w:rsid w:val="000572AE"/>
    <w:rsid w:val="000A085D"/>
    <w:rsid w:val="000F3EF5"/>
    <w:rsid w:val="00102478"/>
    <w:rsid w:val="00127579"/>
    <w:rsid w:val="00201992"/>
    <w:rsid w:val="00230FAB"/>
    <w:rsid w:val="00237087"/>
    <w:rsid w:val="002412DC"/>
    <w:rsid w:val="00274EFD"/>
    <w:rsid w:val="0028430E"/>
    <w:rsid w:val="00286DCF"/>
    <w:rsid w:val="002A1418"/>
    <w:rsid w:val="002B3E47"/>
    <w:rsid w:val="002D342D"/>
    <w:rsid w:val="002E6D0C"/>
    <w:rsid w:val="003015BE"/>
    <w:rsid w:val="00324A44"/>
    <w:rsid w:val="003303E9"/>
    <w:rsid w:val="003D1D44"/>
    <w:rsid w:val="003E7DA7"/>
    <w:rsid w:val="0041012E"/>
    <w:rsid w:val="00411F9A"/>
    <w:rsid w:val="00415F49"/>
    <w:rsid w:val="004358E6"/>
    <w:rsid w:val="004459FB"/>
    <w:rsid w:val="004702C6"/>
    <w:rsid w:val="00477A3A"/>
    <w:rsid w:val="00486F71"/>
    <w:rsid w:val="004A6CB4"/>
    <w:rsid w:val="004C7176"/>
    <w:rsid w:val="004E250E"/>
    <w:rsid w:val="004F7D2A"/>
    <w:rsid w:val="005019A5"/>
    <w:rsid w:val="005131F0"/>
    <w:rsid w:val="00531E9C"/>
    <w:rsid w:val="005476ED"/>
    <w:rsid w:val="00595F42"/>
    <w:rsid w:val="00606683"/>
    <w:rsid w:val="00610C78"/>
    <w:rsid w:val="00626957"/>
    <w:rsid w:val="006449B7"/>
    <w:rsid w:val="00654856"/>
    <w:rsid w:val="0069421E"/>
    <w:rsid w:val="00716E00"/>
    <w:rsid w:val="00730314"/>
    <w:rsid w:val="00744FAD"/>
    <w:rsid w:val="00762849"/>
    <w:rsid w:val="007A0C2E"/>
    <w:rsid w:val="007B078D"/>
    <w:rsid w:val="007B6B70"/>
    <w:rsid w:val="007C55FF"/>
    <w:rsid w:val="007C5C15"/>
    <w:rsid w:val="00822362"/>
    <w:rsid w:val="008252DA"/>
    <w:rsid w:val="00827665"/>
    <w:rsid w:val="0085520F"/>
    <w:rsid w:val="00871A88"/>
    <w:rsid w:val="00872535"/>
    <w:rsid w:val="00895859"/>
    <w:rsid w:val="008F6C2E"/>
    <w:rsid w:val="009102A2"/>
    <w:rsid w:val="0093416A"/>
    <w:rsid w:val="00963D1B"/>
    <w:rsid w:val="00972EE2"/>
    <w:rsid w:val="00994DFB"/>
    <w:rsid w:val="009B1667"/>
    <w:rsid w:val="009D3150"/>
    <w:rsid w:val="009D5ACC"/>
    <w:rsid w:val="009F5540"/>
    <w:rsid w:val="00A36DBB"/>
    <w:rsid w:val="00A8574B"/>
    <w:rsid w:val="00A937C8"/>
    <w:rsid w:val="00AC1D98"/>
    <w:rsid w:val="00AC3710"/>
    <w:rsid w:val="00AD5F24"/>
    <w:rsid w:val="00AD6B5F"/>
    <w:rsid w:val="00B15E77"/>
    <w:rsid w:val="00B356AB"/>
    <w:rsid w:val="00B40E35"/>
    <w:rsid w:val="00BB0659"/>
    <w:rsid w:val="00BF2F95"/>
    <w:rsid w:val="00C00B3E"/>
    <w:rsid w:val="00C22835"/>
    <w:rsid w:val="00CA11AE"/>
    <w:rsid w:val="00CD2CD3"/>
    <w:rsid w:val="00CF01A1"/>
    <w:rsid w:val="00D710D5"/>
    <w:rsid w:val="00D9488F"/>
    <w:rsid w:val="00D95814"/>
    <w:rsid w:val="00DA28D7"/>
    <w:rsid w:val="00DE0A57"/>
    <w:rsid w:val="00DF463D"/>
    <w:rsid w:val="00E1241F"/>
    <w:rsid w:val="00E306BA"/>
    <w:rsid w:val="00E46B59"/>
    <w:rsid w:val="00E760F2"/>
    <w:rsid w:val="00E87D61"/>
    <w:rsid w:val="00E94399"/>
    <w:rsid w:val="00EF6549"/>
    <w:rsid w:val="00F04345"/>
    <w:rsid w:val="00F17C84"/>
    <w:rsid w:val="00F2747B"/>
    <w:rsid w:val="00F45264"/>
    <w:rsid w:val="00F72561"/>
    <w:rsid w:val="00F94634"/>
    <w:rsid w:val="00FE4789"/>
    <w:rsid w:val="133A3294"/>
    <w:rsid w:val="2C5F2F1E"/>
    <w:rsid w:val="3C7F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semiHidden/>
    <w:uiPriority w:val="99"/>
    <w:rPr>
      <w:sz w:val="18"/>
      <w:szCs w:val="18"/>
    </w:rPr>
  </w:style>
  <w:style w:type="character" w:customStyle="1" w:styleId="12">
    <w:name w:val="页脚 Char"/>
    <w:basedOn w:val="6"/>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302</Words>
  <Characters>1728</Characters>
  <Lines>14</Lines>
  <Paragraphs>4</Paragraphs>
  <TotalTime>1</TotalTime>
  <ScaleCrop>false</ScaleCrop>
  <LinksUpToDate>false</LinksUpToDate>
  <CharactersWithSpaces>2026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2018-09-25T03:22:00Z</dcterms:created>
  <dc:creator>Users</dc:creator>
  <cp:lastModifiedBy>Administrator</cp:lastModifiedBy>
  <dcterms:modified xsi:type="dcterms:W3CDTF">2018-10-11T06:02:21Z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