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0" w:line="2000" w:lineRule="exact"/>
        <w:jc w:val="center"/>
        <w:rPr>
          <w:rFonts w:eastAsiaTheme="minorEastAsia"/>
          <w:b/>
          <w:color w:val="FF0000"/>
          <w:spacing w:val="400"/>
          <w:w w:val="80"/>
          <w:sz w:val="96"/>
          <w:szCs w:val="96"/>
        </w:rPr>
      </w:pPr>
      <w:r>
        <w:rPr>
          <w:rFonts w:hint="eastAsia" w:eastAsiaTheme="minorEastAsia"/>
          <w:b/>
          <w:color w:val="FF0000"/>
          <w:spacing w:val="403"/>
          <w:w w:val="80"/>
          <w:sz w:val="96"/>
          <w:szCs w:val="96"/>
        </w:rPr>
        <w:t>中国投资协会</w:t>
      </w:r>
    </w:p>
    <w:p>
      <w:pPr>
        <w:jc w:val="distribute"/>
        <w:rPr>
          <w:b/>
          <w:spacing w:val="-50"/>
          <w:sz w:val="96"/>
          <w:szCs w:val="96"/>
        </w:rPr>
      </w:pPr>
      <w:r>
        <w:rPr>
          <w:rFonts w:hint="eastAsia"/>
          <w:b/>
          <w:color w:val="FF0000"/>
          <w:spacing w:val="-50"/>
          <w:w w:val="65"/>
          <w:sz w:val="96"/>
          <w:szCs w:val="96"/>
        </w:rPr>
        <w:t>项目投融资专业委员会文件</w:t>
      </w:r>
    </w:p>
    <w:p>
      <w:pPr>
        <w:pStyle w:val="8"/>
        <w:shd w:val="clear" w:color="auto" w:fill="FFFFFF"/>
        <w:spacing w:beforeLines="200" w:beforeAutospacing="0" w:after="0" w:afterAutospacing="0" w:line="240" w:lineRule="auto"/>
        <w:jc w:val="center"/>
        <w:rPr>
          <w:rFonts w:ascii="楷体" w:eastAsia="楷体"/>
          <w:sz w:val="32"/>
          <w:szCs w:val="32"/>
        </w:rPr>
      </w:pPr>
      <w:r>
        <w:rPr>
          <w:rFonts w:hint="eastAsia" w:ascii="楷体" w:eastAsia="楷体"/>
          <w:sz w:val="32"/>
          <w:szCs w:val="32"/>
        </w:rPr>
        <w:t>投融字〔2019〕</w:t>
      </w:r>
      <w:r>
        <w:rPr>
          <w:rFonts w:hint="eastAsia" w:ascii="楷体" w:eastAsia="楷体"/>
          <w:sz w:val="32"/>
          <w:szCs w:val="32"/>
          <w:lang w:val="en-US" w:eastAsia="zh-CN"/>
        </w:rPr>
        <w:t>4</w:t>
      </w:r>
      <w:r>
        <w:rPr>
          <w:rFonts w:hint="eastAsia" w:ascii="楷体" w:eastAsia="楷体"/>
          <w:sz w:val="32"/>
          <w:szCs w:val="32"/>
        </w:rPr>
        <w:t>号</w:t>
      </w:r>
    </w:p>
    <w:p>
      <w:pPr>
        <w:spacing w:line="420" w:lineRule="exact"/>
        <w:jc w:val="center"/>
        <w:outlineLvl w:val="0"/>
        <w:rPr>
          <w:rFonts w:ascii="宋体" w:hAnsi="宋体" w:eastAsia="宋体" w:cs="Times New Roman"/>
          <w:b/>
          <w:sz w:val="24"/>
          <w:szCs w:val="24"/>
        </w:rPr>
      </w:pPr>
      <w: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7620</wp:posOffset>
                </wp:positionV>
                <wp:extent cx="6339840" cy="18415"/>
                <wp:effectExtent l="0" t="0" r="22860" b="19685"/>
                <wp:wrapNone/>
                <wp:docPr id="1" name="线条1"/>
                <wp:cNvGraphicFramePr/>
                <a:graphic xmlns:a="http://schemas.openxmlformats.org/drawingml/2006/main">
                  <a:graphicData uri="http://schemas.microsoft.com/office/word/2010/wordprocessingShape">
                    <wps:wsp>
                      <wps:cNvCnPr>
                        <a:cxnSpLocks noChangeShapeType="1"/>
                      </wps:cNvCnPr>
                      <wps:spPr bwMode="auto">
                        <a:xfrm flipV="1">
                          <a:off x="0" y="0"/>
                          <a:ext cx="6339840" cy="18415"/>
                        </a:xfrm>
                        <a:prstGeom prst="line">
                          <a:avLst/>
                        </a:prstGeom>
                        <a:noFill/>
                        <a:ln w="9525" cmpd="thickThin">
                          <a:solidFill>
                            <a:srgbClr val="FF0000"/>
                          </a:solidFill>
                          <a:round/>
                        </a:ln>
                      </wps:spPr>
                      <wps:bodyPr/>
                    </wps:wsp>
                  </a:graphicData>
                </a:graphic>
              </wp:anchor>
            </w:drawing>
          </mc:Choice>
          <mc:Fallback>
            <w:pict>
              <v:line id="线条1" o:spid="_x0000_s1026" o:spt="20" style="position:absolute;left:0pt;flip:y;margin-left:-6.6pt;margin-top:0.6pt;height:1.45pt;width:499.2pt;z-index:251659264;mso-width-relative:page;mso-height-relative:page;" filled="f" stroked="t" coordsize="21600,21600" o:gfxdata="UEsDBAoAAAAAAIdO4kAAAAAAAAAAAAAAAAAEAAAAZHJzL1BLAwQUAAAACACHTuJAhmJm3tMAAAAH&#10;AQAADwAAAGRycy9kb3ducmV2LnhtbE2OwU7DMAyG70i8Q2QkbluarUyja7oDUsWFywrcvca0HU1S&#10;NWnXvT3mBCfb+n79/vLjYnsx0xg67zSodQKCXO1N5xoNH+/lag8iRHQGe+9Iw40CHIv7uxwz46/u&#10;RHMVG8ElLmSooY1xyKQMdUsWw9oP5Jh9+dFi5HNspBnxyuW2l5sk2UmLneMPLQ700lL9XU1Wg7n4&#10;T8I4p2V1W9S0K1/fTulW68cHlRxARFriXxh+9VkdCnY6+8mZIHoNK7XdcJQBD+bP+ydezhpSBbLI&#10;5X//4gdQSwMEFAAAAAgAh07iQFliwvzUAQAAcQMAAA4AAABkcnMvZTJvRG9jLnhtbK1Ty47TMBTd&#10;I/EPlvc0SWc66kRNZ9FR2QxQaQp713YSa2xfy3ab9GNY8Bts+Bv4Da7dTmFgh+jCqu/j+NxzbhZ3&#10;o9HkIH1QYBtaTUpKpOUglO0a+nG7fjOnJERmBdNgZUOPMtC75etXi8HVcgo9aCE9QRAb6sE1tI/R&#10;1UUReC8NCxNw0mKyBW9YxKvvCuHZgOhGF9OyvCkG8MJ54DIEjN6fknSZ8dtW8vihbYOMRDcUucV8&#10;+nzu0lksF6zuPHO94mca7B9YGKYsPnqBumeRkb1Xf0EZxT0EaOOEgymgbRWXeQacpir/mOaxZ07m&#10;WVCc4C4yhf8Hy98fNp4ogd5RYplBi358/fb985cqSTO4UGPFym58Go6P9tE9AH8KxMKqZ7aTmeL2&#10;6LAvdxQvWtIlOHxgN7wDgTVsHyHrNLbekFYr9yk1JnDUgozZmOPFGDlGwjF4c3V1O79G/zjmqvl1&#10;NUvsClYnmNTsfIhvJRiS/jRUK5t0YzU7PIR4Kn0uSWELa6V19l5bMjT0djadIbpxKETEVXja9mdD&#10;A2glUnXqC77brbQnB4brtF6X+DsTeVHmYW/F6VVtkeezDCdBdyCOG5/SKY6+5knOO5gW5/d7rvr1&#10;pS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ZiZt7TAAAABwEAAA8AAAAAAAAAAQAgAAAAIgAA&#10;AGRycy9kb3ducmV2LnhtbFBLAQIUABQAAAAIAIdO4kBZYsL81AEAAHEDAAAOAAAAAAAAAAEAIAAA&#10;ACIBAABkcnMvZTJvRG9jLnhtbFBLBQYAAAAABgAGAFkBAABoBQAAAAA=&#10;">
                <v:fill on="f" focussize="0,0"/>
                <v:stroke color="#FF0000" linestyle="thickThin" joinstyle="round"/>
                <v:imagedata o:title=""/>
                <o:lock v:ext="edit" aspectratio="f"/>
              </v:line>
            </w:pict>
          </mc:Fallback>
        </mc:AlternateContent>
      </w:r>
      <w:r>
        <w:rPr>
          <w:rFonts w:hint="eastAsia" w:ascii="仿宋_GB2312" w:hAnsi="Times New Roman" w:eastAsia="仿宋_GB2312" w:cs="Times New Roman"/>
          <w:b/>
          <w:kern w:val="0"/>
          <w:sz w:val="32"/>
          <w:szCs w:val="32"/>
        </w:rPr>
        <w:t>关于举办“地方政府隐性债务处置、专项债发行及推进平台公司市场化转型指导与投融资创新实务”专题培训班的通知</w:t>
      </w:r>
    </w:p>
    <w:p>
      <w:pPr>
        <w:spacing w:line="240" w:lineRule="exact"/>
        <w:rPr>
          <w:rFonts w:ascii="仿宋_GB2312" w:hAnsi="Times New Roman" w:eastAsia="仿宋_GB2312" w:cs="Times New Roman"/>
          <w:kern w:val="0"/>
          <w:sz w:val="28"/>
          <w:szCs w:val="28"/>
        </w:rPr>
      </w:pP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各有关单位：</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当前，控制地方政府债务以及防范金融风险已成为中央经济工作的首要任务。</w:t>
      </w:r>
      <w:r>
        <w:rPr>
          <w:rFonts w:ascii="仿宋_GB2312" w:hAnsi="Times New Roman" w:eastAsia="仿宋_GB2312" w:cs="Times New Roman"/>
          <w:kern w:val="0"/>
          <w:sz w:val="28"/>
          <w:szCs w:val="28"/>
        </w:rPr>
        <w:t>防范和化解地方政府债务风险取决于政府债务治理能力，关键是要将债务风险真正关进制度的笼子</w:t>
      </w:r>
      <w:r>
        <w:rPr>
          <w:rFonts w:hint="eastAsia" w:ascii="仿宋_GB2312" w:hAnsi="Times New Roman" w:eastAsia="仿宋_GB2312" w:cs="Times New Roman"/>
          <w:kern w:val="0"/>
          <w:sz w:val="28"/>
          <w:szCs w:val="28"/>
        </w:rPr>
        <w:t>。</w:t>
      </w:r>
      <w:r>
        <w:rPr>
          <w:rFonts w:ascii="仿宋" w:hAnsi="仿宋" w:eastAsia="仿宋"/>
          <w:sz w:val="28"/>
          <w:szCs w:val="28"/>
        </w:rPr>
        <w:t>去年底《财政部关于坚决制止地方政府违法违规举债遏制隐性债务增量情况的报告》就表示，坚持中央不救助原则，做到"谁家的孩子谁抱"，坚决打消地方政府认为中央政府会"买单"的"幻觉"，坚决打消金融机构认为政府会兜底的"幻觉"。</w:t>
      </w:r>
      <w:r>
        <w:rPr>
          <w:rFonts w:ascii="仿宋_GB2312" w:hAnsi="Times New Roman" w:eastAsia="仿宋_GB2312" w:cs="Times New Roman"/>
          <w:kern w:val="0"/>
          <w:sz w:val="28"/>
          <w:szCs w:val="28"/>
        </w:rPr>
        <w:t>财政</w:t>
      </w:r>
      <w:r>
        <w:rPr>
          <w:rFonts w:hint="eastAsia" w:ascii="仿宋_GB2312" w:hAnsi="Times New Roman" w:eastAsia="仿宋_GB2312" w:cs="Times New Roman"/>
          <w:kern w:val="0"/>
          <w:sz w:val="28"/>
          <w:szCs w:val="28"/>
        </w:rPr>
        <w:t>部</w:t>
      </w:r>
      <w:r>
        <w:rPr>
          <w:rFonts w:ascii="仿宋_GB2312" w:hAnsi="Times New Roman" w:eastAsia="仿宋_GB2312" w:cs="Times New Roman"/>
          <w:kern w:val="0"/>
          <w:sz w:val="28"/>
          <w:szCs w:val="28"/>
        </w:rPr>
        <w:t>作为主管部门责无旁贷</w:t>
      </w:r>
      <w:r>
        <w:rPr>
          <w:rFonts w:hint="eastAsia" w:ascii="仿宋_GB2312" w:hAnsi="Times New Roman" w:eastAsia="仿宋_GB2312" w:cs="Times New Roman"/>
          <w:kern w:val="0"/>
          <w:sz w:val="28"/>
          <w:szCs w:val="28"/>
        </w:rPr>
        <w:t>，接连发布严厉监管新规，</w:t>
      </w:r>
      <w:r>
        <w:rPr>
          <w:rFonts w:ascii="仿宋_GB2312" w:hAnsi="Times New Roman" w:eastAsia="仿宋_GB2312" w:cs="Times New Roman"/>
          <w:kern w:val="0"/>
          <w:sz w:val="28"/>
          <w:szCs w:val="28"/>
        </w:rPr>
        <w:t>城投融资越扎越紧、政府债务管理</w:t>
      </w:r>
      <w:r>
        <w:rPr>
          <w:rFonts w:hint="eastAsia" w:ascii="仿宋_GB2312" w:hAnsi="Times New Roman" w:eastAsia="仿宋_GB2312" w:cs="Times New Roman"/>
          <w:kern w:val="0"/>
          <w:sz w:val="28"/>
          <w:szCs w:val="28"/>
        </w:rPr>
        <w:t>再</w:t>
      </w:r>
      <w:r>
        <w:rPr>
          <w:rFonts w:ascii="仿宋_GB2312" w:hAnsi="Times New Roman" w:eastAsia="仿宋_GB2312" w:cs="Times New Roman"/>
          <w:kern w:val="0"/>
          <w:sz w:val="28"/>
          <w:szCs w:val="28"/>
        </w:rPr>
        <w:t>成焦点。</w:t>
      </w:r>
      <w:r>
        <w:rPr>
          <w:rFonts w:hint="eastAsia" w:ascii="仿宋_GB2312" w:hAnsi="Times New Roman" w:eastAsia="仿宋_GB2312" w:cs="Times New Roman"/>
          <w:kern w:val="0"/>
          <w:sz w:val="28"/>
          <w:szCs w:val="28"/>
        </w:rPr>
        <w:t>2018年7月29日，中共中央国务院下发《关于防范化解地方政府隐性债务风险的意见》，9月13日，</w:t>
      </w:r>
      <w:r>
        <w:rPr>
          <w:rFonts w:ascii="仿宋" w:hAnsi="仿宋" w:eastAsia="仿宋" w:cs="Arial"/>
          <w:bCs/>
          <w:kern w:val="36"/>
          <w:sz w:val="28"/>
          <w:szCs w:val="28"/>
        </w:rPr>
        <w:t>中共中央办公厅国务院办公厅</w:t>
      </w:r>
      <w:r>
        <w:rPr>
          <w:rFonts w:hint="eastAsia" w:ascii="仿宋" w:hAnsi="仿宋" w:eastAsia="仿宋" w:cs="Arial"/>
          <w:bCs/>
          <w:kern w:val="36"/>
          <w:sz w:val="28"/>
          <w:szCs w:val="28"/>
        </w:rPr>
        <w:t>下发</w:t>
      </w:r>
      <w:r>
        <w:rPr>
          <w:rFonts w:ascii="仿宋" w:hAnsi="仿宋" w:eastAsia="仿宋" w:cs="Arial"/>
          <w:bCs/>
          <w:kern w:val="36"/>
          <w:sz w:val="28"/>
          <w:szCs w:val="28"/>
        </w:rPr>
        <w:t>《关于加强国有企业资产负债约束的指导意见》</w:t>
      </w:r>
      <w:r>
        <w:rPr>
          <w:rFonts w:hint="eastAsia" w:ascii="仿宋" w:hAnsi="仿宋" w:eastAsia="仿宋" w:cs="Arial"/>
          <w:bCs/>
          <w:kern w:val="36"/>
          <w:sz w:val="28"/>
          <w:szCs w:val="28"/>
        </w:rPr>
        <w:t>，</w:t>
      </w:r>
      <w:r>
        <w:rPr>
          <w:rFonts w:hint="eastAsia" w:ascii="仿宋_GB2312" w:hAnsi="Times New Roman" w:eastAsia="仿宋_GB2312" w:cs="Times New Roman"/>
          <w:kern w:val="0"/>
          <w:sz w:val="28"/>
          <w:szCs w:val="28"/>
        </w:rPr>
        <w:t>主要针对政府存量隐性债务的处置、融资平台转型、国企负债约束机制和突破融资瓶颈等问题进行深入指导。</w:t>
      </w:r>
      <w:r>
        <w:rPr>
          <w:rFonts w:ascii="仿宋" w:hAnsi="仿宋" w:eastAsia="仿宋"/>
          <w:sz w:val="28"/>
          <w:szCs w:val="28"/>
        </w:rPr>
        <w:t>隐性债务审计后是否会再次开展一轮置换</w:t>
      </w:r>
      <w:r>
        <w:rPr>
          <w:rFonts w:hint="eastAsia" w:ascii="仿宋" w:hAnsi="仿宋" w:eastAsia="仿宋"/>
          <w:sz w:val="28"/>
          <w:szCs w:val="28"/>
        </w:rPr>
        <w:t>成为市场争议的焦点，平台公司的市场化转型已无悬念。开前门堵后门，2018年</w:t>
      </w:r>
      <w:r>
        <w:rPr>
          <w:rFonts w:hint="eastAsia" w:ascii="仿宋_GB2312" w:hAnsi="Times New Roman" w:eastAsia="仿宋_GB2312" w:cs="Times New Roman"/>
          <w:kern w:val="0"/>
          <w:sz w:val="28"/>
          <w:szCs w:val="28"/>
        </w:rPr>
        <w:t>财预〔2018〕34号文、财预〔2018〕35号文、财金〔2018〕23号文和财库〔2018〕72号文的发布，要求加快地方政府专项债券发行进度。</w:t>
      </w:r>
    </w:p>
    <w:p>
      <w:pPr>
        <w:spacing w:line="320" w:lineRule="exact"/>
        <w:ind w:firstLine="560" w:firstLineChars="200"/>
        <w:rPr>
          <w:rFonts w:ascii="仿宋" w:hAnsi="仿宋" w:eastAsia="仿宋"/>
          <w:sz w:val="28"/>
          <w:szCs w:val="28"/>
        </w:rPr>
      </w:pPr>
      <w:r>
        <w:rPr>
          <w:rFonts w:hint="eastAsia" w:ascii="仿宋_GB2312" w:hAnsi="Times New Roman" w:eastAsia="仿宋_GB2312" w:cs="Times New Roman"/>
          <w:sz w:val="28"/>
          <w:szCs w:val="28"/>
        </w:rPr>
        <w:t>2018年</w:t>
      </w:r>
      <w:r>
        <w:rPr>
          <w:rFonts w:hint="eastAsia" w:ascii="仿宋_GB2312" w:hAnsi="Times New Roman" w:eastAsia="仿宋_GB2312" w:cs="Times New Roman"/>
          <w:kern w:val="0"/>
          <w:sz w:val="28"/>
          <w:szCs w:val="28"/>
        </w:rPr>
        <w:t>7月23日国务院总理李克强主持召开国务院常务会议，要求保持宏观政策稳定，积极财政政策要更加积极。</w:t>
      </w:r>
      <w:r>
        <w:rPr>
          <w:rFonts w:hint="eastAsia" w:ascii="仿宋" w:hAnsi="仿宋" w:eastAsia="仿宋"/>
          <w:kern w:val="24"/>
          <w:sz w:val="28"/>
          <w:szCs w:val="28"/>
        </w:rPr>
        <w:t>2018年10月11日，</w:t>
      </w:r>
      <w:r>
        <w:rPr>
          <w:rFonts w:hint="eastAsia" w:ascii="仿宋" w:hAnsi="仿宋" w:eastAsia="仿宋" w:cstheme="majorBidi"/>
          <w:kern w:val="24"/>
          <w:sz w:val="28"/>
          <w:szCs w:val="28"/>
        </w:rPr>
        <w:t>国务院办公厅出台《关于保持基础设施领域补短板力度的指导意见》（国办发〔2018〕101号）要求：</w:t>
      </w:r>
      <w:r>
        <w:rPr>
          <w:rFonts w:hint="eastAsia" w:ascii="仿宋" w:hAnsi="仿宋" w:eastAsia="仿宋"/>
          <w:bCs/>
          <w:kern w:val="24"/>
          <w:sz w:val="28"/>
          <w:szCs w:val="28"/>
        </w:rPr>
        <w:t>按照一般企业标准对被划分为“退出为一般公司类”的融资平台公司审核放贷。</w:t>
      </w:r>
      <w:r>
        <w:rPr>
          <w:rFonts w:hint="eastAsia" w:ascii="仿宋_GB2312" w:hAnsi="Times New Roman" w:eastAsia="仿宋_GB2312" w:cs="Times New Roman"/>
          <w:kern w:val="0"/>
          <w:sz w:val="28"/>
          <w:szCs w:val="28"/>
        </w:rPr>
        <w:t>地方政府也加紧出台相关指导实施意见，湖南省、陕西省相继发布的融资平台公司转型的指导意见，引起了全国各地关注。《意见》的出台，为地方政府化解地方债务风险、全面清理规范各级政府融资平台、推进融资平台市场化转型、支持融资平台转型后做大做强、构建适应转型后融资平台发展政策环境等方面提供了务实可行的方向建议。</w:t>
      </w:r>
    </w:p>
    <w:p>
      <w:pPr>
        <w:spacing w:line="320" w:lineRule="exact"/>
        <w:ind w:firstLine="560" w:firstLineChars="200"/>
        <w:rPr>
          <w:rFonts w:ascii="仿宋_GB2312" w:hAnsi="Times New Roman" w:eastAsia="仿宋_GB2312" w:cs="Times New Roman"/>
          <w:kern w:val="0"/>
          <w:sz w:val="28"/>
          <w:szCs w:val="28"/>
        </w:rPr>
      </w:pPr>
      <w:r>
        <w:rPr>
          <w:rFonts w:hint="eastAsia" w:ascii="仿宋" w:hAnsi="仿宋" w:eastAsia="仿宋" w:cs="Times New Roman"/>
          <w:sz w:val="28"/>
          <w:szCs w:val="28"/>
        </w:rPr>
        <w:t>为了帮助政府有关部门、企业、各金融机构及投资类企业系统学习掌握地方政府融资体制机制、融资平台转型等相关的政策法规及投融资实务，熟悉现有监管框架体系下地方政府投融资在操作层面的管理、运作及风险防范，学习地方政府债务融资的新政策法规和业务知识，创新投融资平台公司转型发展方向，提高可持续融资能力水平</w:t>
      </w:r>
      <w:r>
        <w:rPr>
          <w:rFonts w:hint="eastAsia" w:ascii="仿宋_GB2312" w:hAnsi="Times New Roman" w:eastAsia="仿宋_GB2312" w:cs="Times New Roman"/>
          <w:kern w:val="0"/>
          <w:sz w:val="28"/>
          <w:szCs w:val="28"/>
        </w:rPr>
        <w:t>。特举办专题培训班。现将具体事项通知如下：</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一、课程内容：</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（一）背景解读</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1、中共中央国务院《关于防范化解地方政府隐性债务风险的意见》解读</w:t>
      </w:r>
    </w:p>
    <w:p>
      <w:pPr>
        <w:spacing w:line="320" w:lineRule="exact"/>
        <w:ind w:firstLine="560" w:firstLineChars="200"/>
        <w:rPr>
          <w:rFonts w:ascii="仿宋" w:hAnsi="仿宋" w:eastAsia="仿宋" w:cs="Arial"/>
          <w:bCs/>
          <w:kern w:val="36"/>
          <w:sz w:val="28"/>
          <w:szCs w:val="28"/>
        </w:rPr>
      </w:pPr>
      <w:r>
        <w:rPr>
          <w:rFonts w:hint="eastAsia" w:ascii="仿宋_GB2312" w:hAnsi="Times New Roman" w:eastAsia="仿宋_GB2312" w:cs="Times New Roman"/>
          <w:kern w:val="0"/>
          <w:sz w:val="28"/>
          <w:szCs w:val="28"/>
        </w:rPr>
        <w:t>2、</w:t>
      </w:r>
      <w:r>
        <w:rPr>
          <w:rFonts w:hint="eastAsia" w:ascii="仿宋" w:hAnsi="仿宋" w:eastAsia="仿宋" w:cstheme="majorBidi"/>
          <w:kern w:val="24"/>
          <w:sz w:val="28"/>
          <w:szCs w:val="28"/>
        </w:rPr>
        <w:t>国务院办公厅《关于保持基础设施领域补短板力度的指导意见》（国办发〔2018〕101号）解读</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3、国务院2016（88）号文《关于印发地方政府性债务风险应急处置预案的通知》及152号文解析</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4、债务规范宏观经济背景及当前我国政府债务风险情况</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5、如何切实加强融资平台公司融资管理</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6、如何规范政府与社会资本方的合作行为</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7、如何进一步健全规范的地方政府举债融资机制</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8、财库〔2018〕72号《关于做好地方政府专项债券发行工作的意见与政策》解读</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9、陕西省财政厅《关于推荐省融资平台公司转型发展的意见》及地方出台政策的重要意义解读。</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10、发改财金〔2018〕1135号文《关于2018年降低企业杠杆率工作要点》的通知解析</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（二）地方政府性债务监管政策分析及债务处置</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1、经济新常态下地方财政运行情况（税收收入增长状况、土地出让收入增长状况、重点地区的财政运行、营改增对地方财政运行的影响、中央对地方财政体制调整等）</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2、新预算法下的地方政府债务监管</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3、地方政府专项债券发行与监管政策解读</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4、地方政府专项债券与地方政府性基金预算的衔接改革</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5、地方政府投融资机制及资金平衡计划的构建</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6、从审计署审计结论及财政部的处罚决定看地方政府债务监管的思路和方向</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7、地方政府隐性债务概念及表现形式</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8、地方政府存量债务、隐性债务、需要关注的债务、平台公司自身债务处置的思路和方式</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9、综合运用</w:t>
      </w:r>
      <w:r>
        <w:rPr>
          <w:rFonts w:hint="eastAsia" w:ascii="仿宋" w:hAnsi="仿宋" w:eastAsia="仿宋"/>
          <w:bCs/>
          <w:kern w:val="24"/>
          <w:sz w:val="28"/>
          <w:szCs w:val="28"/>
        </w:rPr>
        <w:t>资本注入、经营性资产置换、债转股、资产重组、PPP及混改等多种方式处置</w:t>
      </w:r>
      <w:r>
        <w:rPr>
          <w:rFonts w:hint="eastAsia" w:ascii="仿宋_GB2312" w:hAnsi="Times New Roman" w:eastAsia="仿宋_GB2312" w:cs="Times New Roman"/>
          <w:kern w:val="0"/>
          <w:sz w:val="28"/>
          <w:szCs w:val="28"/>
        </w:rPr>
        <w:t>地方政府隐性债务</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10、</w:t>
      </w:r>
      <w:r>
        <w:rPr>
          <w:rFonts w:hint="eastAsia" w:ascii="仿宋" w:hAnsi="仿宋" w:eastAsia="仿宋"/>
          <w:bCs/>
          <w:kern w:val="24"/>
          <w:sz w:val="28"/>
          <w:szCs w:val="28"/>
        </w:rPr>
        <w:t>平台公司公益性资产剥离的方式和路径</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（三）</w:t>
      </w:r>
      <w:r>
        <w:rPr>
          <w:rFonts w:ascii="仿宋_GB2312" w:hAnsi="Times New Roman" w:eastAsia="仿宋_GB2312" w:cs="Times New Roman"/>
          <w:b/>
          <w:kern w:val="0"/>
          <w:sz w:val="28"/>
          <w:szCs w:val="28"/>
        </w:rPr>
        <w:t>2017</w:t>
      </w:r>
      <w:r>
        <w:rPr>
          <w:rFonts w:hint="eastAsia" w:ascii="仿宋_GB2312" w:hAnsi="Times New Roman" w:eastAsia="仿宋_GB2312" w:cs="Times New Roman"/>
          <w:b/>
          <w:kern w:val="0"/>
          <w:sz w:val="28"/>
          <w:szCs w:val="28"/>
        </w:rPr>
        <w:t>年新政后对地方融资的影响及模式</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w:t>
      </w:r>
      <w:r>
        <w:rPr>
          <w:rFonts w:ascii="仿宋_GB2312" w:hAnsi="Times New Roman" w:eastAsia="仿宋_GB2312" w:cs="Times New Roman"/>
          <w:kern w:val="0"/>
          <w:sz w:val="28"/>
          <w:szCs w:val="28"/>
        </w:rPr>
        <w:t>2017</w:t>
      </w:r>
      <w:r>
        <w:rPr>
          <w:rFonts w:hint="eastAsia" w:ascii="仿宋_GB2312" w:hAnsi="Times New Roman" w:eastAsia="仿宋_GB2312" w:cs="Times New Roman"/>
          <w:kern w:val="0"/>
          <w:sz w:val="28"/>
          <w:szCs w:val="28"/>
        </w:rPr>
        <w:t>年后重要新政梳理</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ascii="仿宋_GB2312" w:hAnsi="Times New Roman" w:eastAsia="仿宋_GB2312" w:cs="Times New Roman"/>
          <w:kern w:val="0"/>
          <w:sz w:val="28"/>
          <w:szCs w:val="28"/>
        </w:rPr>
        <w:t>50</w:t>
      </w:r>
      <w:r>
        <w:rPr>
          <w:rFonts w:hint="eastAsia" w:ascii="仿宋_GB2312" w:hAnsi="Times New Roman" w:eastAsia="仿宋_GB2312" w:cs="Times New Roman"/>
          <w:kern w:val="0"/>
          <w:sz w:val="28"/>
          <w:szCs w:val="28"/>
        </w:rPr>
        <w:t>号文对政府融资的影响</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ascii="仿宋_GB2312" w:hAnsi="Times New Roman" w:eastAsia="仿宋_GB2312" w:cs="Times New Roman"/>
          <w:kern w:val="0"/>
          <w:sz w:val="28"/>
          <w:szCs w:val="28"/>
        </w:rPr>
        <w:t>87</w:t>
      </w:r>
      <w:r>
        <w:rPr>
          <w:rFonts w:hint="eastAsia" w:ascii="仿宋_GB2312" w:hAnsi="Times New Roman" w:eastAsia="仿宋_GB2312" w:cs="Times New Roman"/>
          <w:kern w:val="0"/>
          <w:sz w:val="28"/>
          <w:szCs w:val="28"/>
        </w:rPr>
        <w:t>号文对政府融资的影响</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ascii="仿宋_GB2312" w:hAnsi="Times New Roman" w:eastAsia="仿宋_GB2312" w:cs="Times New Roman"/>
          <w:kern w:val="0"/>
          <w:sz w:val="28"/>
          <w:szCs w:val="28"/>
        </w:rPr>
        <w:t>194</w:t>
      </w:r>
      <w:r>
        <w:rPr>
          <w:rFonts w:hint="eastAsia" w:ascii="仿宋_GB2312" w:hAnsi="Times New Roman" w:eastAsia="仿宋_GB2312" w:cs="Times New Roman"/>
          <w:kern w:val="0"/>
          <w:sz w:val="28"/>
          <w:szCs w:val="28"/>
        </w:rPr>
        <w:t>号文对政府融资的影响</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银监发〔2017〕55号、保监发〔2018〕6号等文对政府融资的影响</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2）资管新规，金融机构对平台的配资进入寒冬</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打破刚性兑付监管要求；</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规范资金池</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限制期限错配（及刚性兑付）</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3）私募新规，向资管看齐</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明确股权投资</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私募基金最新动向</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w:t>
      </w:r>
      <w:r>
        <w:rPr>
          <w:rFonts w:ascii="仿宋_GB2312" w:hAnsi="Times New Roman" w:eastAsia="仿宋_GB2312" w:cs="Times New Roman"/>
          <w:kern w:val="0"/>
          <w:sz w:val="28"/>
          <w:szCs w:val="28"/>
        </w:rPr>
        <w:t>23</w:t>
      </w:r>
      <w:r>
        <w:rPr>
          <w:rFonts w:hint="eastAsia" w:ascii="仿宋_GB2312" w:hAnsi="Times New Roman" w:eastAsia="仿宋_GB2312" w:cs="Times New Roman"/>
          <w:kern w:val="0"/>
          <w:sz w:val="28"/>
          <w:szCs w:val="28"/>
        </w:rPr>
        <w:t>号文解读</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总体要求</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资本金审查；</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“债务性资金”的理解</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、还款能力评估；</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5</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投资基金</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6</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资产管理业务</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7</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ascii="仿宋_GB2312" w:hAnsi="Times New Roman" w:eastAsia="仿宋_GB2312" w:cs="Times New Roman"/>
          <w:kern w:val="0"/>
          <w:sz w:val="28"/>
          <w:szCs w:val="28"/>
        </w:rPr>
        <w:t>PPP</w:t>
      </w:r>
      <w:r>
        <w:rPr>
          <w:rFonts w:hint="eastAsia" w:ascii="仿宋_GB2312" w:hAnsi="Times New Roman" w:eastAsia="仿宋_GB2312" w:cs="Times New Roman"/>
          <w:kern w:val="0"/>
          <w:sz w:val="28"/>
          <w:szCs w:val="28"/>
        </w:rPr>
        <w:t>融资</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5）各种新规对地方债的管控</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（四）平台公司背景解读</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1、平台公司的界定2、投融资平台的阶段、类别、发展；</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3、融资平台转型的必然性4、政策解读；</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（五）平台公司转型背景、模式及实践</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1、新形势下平台公司的挑战与机遇</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2、未来地方政府投融资体制及投融资模式走向，包括；</w:t>
      </w:r>
    </w:p>
    <w:p>
      <w:pPr>
        <w:spacing w:line="320" w:lineRule="exact"/>
        <w:ind w:firstLine="280" w:firstLineChars="100"/>
        <w:rPr>
          <w:rFonts w:hint="eastAsia"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地方政府的项目建设融资路在何方？</w:t>
      </w:r>
    </w:p>
    <w:p>
      <w:pPr>
        <w:spacing w:line="320" w:lineRule="exact"/>
        <w:ind w:firstLine="140" w:firstLineChars="5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 xml:space="preserve"> </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对于城市运营类项目如何合规设计投融资模式</w:t>
      </w:r>
    </w:p>
    <w:p>
      <w:pPr>
        <w:spacing w:line="320" w:lineRule="exact"/>
        <w:ind w:firstLine="140" w:firstLineChars="50"/>
        <w:rPr>
          <w:rFonts w:ascii="仿宋_GB2312" w:hAnsi="Times New Roman" w:eastAsia="仿宋_GB2312" w:cs="Times New Roman"/>
          <w:kern w:val="0"/>
          <w:sz w:val="28"/>
          <w:szCs w:val="28"/>
        </w:rPr>
      </w:pP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国家投融资政策导向与地方融资模式转型总体思路</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3、平台公司转型的模式、定位和方向</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1）城市运营商</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转型城市运营商意义</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参与城市管理运营的类型</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运营内容分类及参与方式的模式设计</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典型案例</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2）产业地产商</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市场机遇分析</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产业地产开发环境</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地产开发模式及典型案例</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产业新城开发模式</w:t>
      </w:r>
      <w:r>
        <w:rPr>
          <w:rFonts w:ascii="仿宋_GB2312" w:hAnsi="Times New Roman" w:eastAsia="仿宋_GB2312" w:cs="Times New Roman"/>
          <w:kern w:val="0"/>
          <w:sz w:val="28"/>
          <w:szCs w:val="28"/>
        </w:rPr>
        <w:t>及典型案例；</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5</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产业基金投资模式及典型案例</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3）金融业务</w:t>
      </w:r>
    </w:p>
    <w:p>
      <w:pPr>
        <w:spacing w:line="320" w:lineRule="exact"/>
        <w:ind w:firstLine="280" w:firstLineChars="100"/>
        <w:rPr>
          <w:rFonts w:hint="eastAsia"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副省级政府平台的金融业务发展思路；</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金融控股的优势；</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金控平台案例；</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中小城市平台金融业务发展思路；</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4）转型平台如何参与当地优势及特色产业</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4、平台公司核心业务体系的构建及盈利模式的设计（基础设施投融资、国资经营、产业引导、金融等）</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5、委托代建、融资代建、购买服务、“基金+建设”、PPP等模式的对比解读及合规运作</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6、投融资平台公司转型路径解读</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政企关系转变</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资产整合与盘活，注入“四资”做大做强平台</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项目运作模式构建</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投融资模式构建</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5</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债务处置方式及建议</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6</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集团管控及组织运作模式的重构</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7、人力资源体系建设及机制创新</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（六）新政下政府平台投融资模式创新路径选择</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1、PPP助力政府融资和平台转型</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2、PPP政策与认知有助于平台明确转型方向</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3、PPP制度与立法问题为平台规范融资创造了条件</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4、PPP的三层面优化有利解决政府融资问题</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5、政府平台公司转型前参与模式</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6、政府平台公司转型后参与项目的方式</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7、平台参与</w:t>
      </w:r>
      <w:r>
        <w:rPr>
          <w:rFonts w:ascii="仿宋_GB2312" w:hAnsi="Times New Roman" w:eastAsia="仿宋_GB2312" w:cs="Times New Roman"/>
          <w:kern w:val="0"/>
          <w:sz w:val="28"/>
          <w:szCs w:val="28"/>
        </w:rPr>
        <w:t>PPP</w:t>
      </w:r>
      <w:r>
        <w:rPr>
          <w:rFonts w:hint="eastAsia" w:ascii="仿宋_GB2312" w:hAnsi="Times New Roman" w:eastAsia="仿宋_GB2312" w:cs="Times New Roman"/>
          <w:kern w:val="0"/>
          <w:sz w:val="28"/>
          <w:szCs w:val="28"/>
        </w:rPr>
        <w:t>模式的应用范围及操作要点分析</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（七）转型后平台公司投融资模式探析</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1）平台投资项目类型及融资分析</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1、融资平台以政府信用为基础的债务融资模式与前景分析</w:t>
      </w:r>
    </w:p>
    <w:p>
      <w:pPr>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2、在监管新规下以项目价值为基础的资本运作模式解析</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3、如何重构政府基建项目的信用体系</w:t>
      </w:r>
    </w:p>
    <w:p>
      <w:pPr>
        <w:spacing w:line="320" w:lineRule="exact"/>
        <w:ind w:firstLine="560" w:firstLineChars="200"/>
        <w:rPr>
          <w:rFonts w:ascii="仿宋" w:hAnsi="仿宋" w:eastAsia="仿宋" w:cs="仿宋"/>
          <w:sz w:val="28"/>
          <w:szCs w:val="28"/>
        </w:rPr>
      </w:pPr>
      <w:r>
        <w:rPr>
          <w:rFonts w:hint="eastAsia" w:ascii="仿宋" w:hAnsi="仿宋" w:eastAsia="仿宋" w:cs="仿宋"/>
          <w:sz w:val="28"/>
          <w:szCs w:val="28"/>
        </w:rPr>
        <w:t>4、不同项目收益交易结构的可融资性分析及应用</w:t>
      </w:r>
    </w:p>
    <w:p>
      <w:pPr>
        <w:spacing w:line="320" w:lineRule="exact"/>
        <w:ind w:firstLine="560" w:firstLineChars="2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5、资源补偿型项目合规性基础及关注要点</w:t>
      </w:r>
    </w:p>
    <w:p>
      <w:pPr>
        <w:spacing w:line="320" w:lineRule="exact"/>
        <w:ind w:firstLine="560" w:firstLineChars="200"/>
        <w:rPr>
          <w:rFonts w:ascii="仿宋" w:hAnsi="仿宋" w:eastAsia="仿宋"/>
          <w:bCs/>
          <w:sz w:val="28"/>
          <w:szCs w:val="28"/>
        </w:rPr>
      </w:pPr>
      <w:r>
        <w:rPr>
          <w:rFonts w:hint="eastAsia" w:ascii="仿宋" w:hAnsi="仿宋" w:eastAsia="仿宋"/>
          <w:bCs/>
          <w:sz w:val="28"/>
          <w:szCs w:val="28"/>
        </w:rPr>
        <w:t>5、土储新政（财综[2016]4号、87号文）后，融资平台参与土地一级开发项目的创新模式实务及案例分析</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2）项目资本金</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1、项目投融资基本结构及项目资本金的重要性</w:t>
      </w:r>
    </w:p>
    <w:p>
      <w:pPr>
        <w:spacing w:line="320" w:lineRule="exact"/>
        <w:ind w:firstLine="280" w:firstLineChars="10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2、资本金融资的难点及其建议</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困境一：不得以“债务性资金”充当资本金</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困境二：投资期限错配</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困境三：资金成本偏高</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困境四</w:t>
      </w:r>
      <w:r>
        <w:rPr>
          <w:rFonts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rPr>
        <w:t>合作方出资比例的冲突</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5</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困境五：明股实债观念根深蒂固，增信主体缺失</w:t>
      </w:r>
      <w:r>
        <w:rPr>
          <w:rFonts w:ascii="仿宋_GB2312" w:hAnsi="Times New Roman" w:eastAsia="仿宋_GB2312" w:cs="Times New Roman"/>
          <w:kern w:val="0"/>
          <w:sz w:val="28"/>
          <w:szCs w:val="28"/>
        </w:rPr>
        <w:fldChar w:fldCharType="begin"/>
      </w:r>
      <w:r>
        <w:rPr>
          <w:rFonts w:ascii="仿宋_GB2312" w:hAnsi="Times New Roman" w:eastAsia="仿宋_GB2312" w:cs="Times New Roman"/>
          <w:kern w:val="0"/>
          <w:sz w:val="28"/>
          <w:szCs w:val="28"/>
        </w:rPr>
        <w:instrText xml:space="preserve"> </w:instrText>
      </w:r>
      <w:r>
        <w:rPr>
          <w:rFonts w:hint="eastAsia" w:ascii="仿宋_GB2312" w:hAnsi="Times New Roman" w:eastAsia="仿宋_GB2312" w:cs="Times New Roman"/>
          <w:kern w:val="0"/>
          <w:sz w:val="28"/>
          <w:szCs w:val="28"/>
        </w:rPr>
        <w:instrText xml:space="preserve">= 6 \* GB3</w:instrText>
      </w:r>
      <w:r>
        <w:rPr>
          <w:rFonts w:ascii="仿宋_GB2312" w:hAnsi="Times New Roman" w:eastAsia="仿宋_GB2312" w:cs="Times New Roman"/>
          <w:kern w:val="0"/>
          <w:sz w:val="28"/>
          <w:szCs w:val="28"/>
        </w:rPr>
        <w:instrText xml:space="preserve"> </w:instrText>
      </w:r>
      <w:r>
        <w:rPr>
          <w:rFonts w:ascii="仿宋_GB2312" w:hAnsi="Times New Roman" w:eastAsia="仿宋_GB2312" w:cs="Times New Roman"/>
          <w:kern w:val="0"/>
          <w:sz w:val="28"/>
          <w:szCs w:val="28"/>
        </w:rPr>
        <w:fldChar w:fldCharType="separate"/>
      </w:r>
      <w:r>
        <w:rPr>
          <w:rFonts w:hint="eastAsia" w:ascii="仿宋_GB2312" w:hAnsi="Times New Roman" w:eastAsia="仿宋_GB2312" w:cs="Times New Roman"/>
          <w:kern w:val="0"/>
          <w:sz w:val="28"/>
          <w:szCs w:val="28"/>
        </w:rPr>
        <w:t>⑥</w: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资本金配资模式的建议</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3）资本金的投资方式</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rPr>
        <w:t>、自有资本金的投入</w:t>
      </w: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、资金方平行出资</w:t>
      </w:r>
      <w:r>
        <w:rPr>
          <w:rFonts w:ascii="仿宋_GB2312" w:hAnsi="Times New Roman" w:eastAsia="仿宋_GB2312" w:cs="Times New Roman"/>
          <w:kern w:val="0"/>
          <w:sz w:val="28"/>
          <w:szCs w:val="28"/>
        </w:rPr>
        <w:t>3</w:t>
      </w:r>
      <w:r>
        <w:rPr>
          <w:rFonts w:hint="eastAsia" w:ascii="仿宋_GB2312" w:hAnsi="Times New Roman" w:eastAsia="仿宋_GB2312" w:cs="Times New Roman"/>
          <w:kern w:val="0"/>
          <w:sz w:val="28"/>
          <w:szCs w:val="28"/>
        </w:rPr>
        <w:t>、投资人出资</w:t>
      </w:r>
      <w:r>
        <w:rPr>
          <w:rFonts w:ascii="仿宋_GB2312" w:hAnsi="Times New Roman" w:eastAsia="仿宋_GB2312" w:cs="Times New Roman"/>
          <w:kern w:val="0"/>
          <w:sz w:val="28"/>
          <w:szCs w:val="28"/>
        </w:rPr>
        <w:t>4</w:t>
      </w:r>
      <w:r>
        <w:rPr>
          <w:rFonts w:hint="eastAsia" w:ascii="仿宋_GB2312" w:hAnsi="Times New Roman" w:eastAsia="仿宋_GB2312" w:cs="Times New Roman"/>
          <w:kern w:val="0"/>
          <w:sz w:val="28"/>
          <w:szCs w:val="28"/>
        </w:rPr>
        <w:t>、基金形式出资</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4）产业基金助力平台转型</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rPr>
        <w:t>、城市（产业）发展基金、</w:t>
      </w:r>
      <w:r>
        <w:rPr>
          <w:rFonts w:ascii="仿宋_GB2312" w:hAnsi="Times New Roman" w:eastAsia="仿宋_GB2312" w:cs="Times New Roman"/>
          <w:kern w:val="0"/>
          <w:sz w:val="28"/>
          <w:szCs w:val="28"/>
        </w:rPr>
        <w:t>PPP</w:t>
      </w:r>
      <w:r>
        <w:rPr>
          <w:rFonts w:hint="eastAsia" w:ascii="仿宋_GB2312" w:hAnsi="Times New Roman" w:eastAsia="仿宋_GB2312" w:cs="Times New Roman"/>
          <w:kern w:val="0"/>
          <w:sz w:val="28"/>
          <w:szCs w:val="28"/>
        </w:rPr>
        <w:t>基金概述</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、引导基金性质及相关支持政策</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3</w:t>
      </w:r>
      <w:r>
        <w:rPr>
          <w:rFonts w:hint="eastAsia" w:ascii="仿宋_GB2312" w:hAnsi="Times New Roman" w:eastAsia="仿宋_GB2312" w:cs="Times New Roman"/>
          <w:kern w:val="0"/>
          <w:sz w:val="28"/>
          <w:szCs w:val="28"/>
        </w:rPr>
        <w:t>、传统城市（产业）发展引导基金</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1</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交易结构</w:t>
      </w: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2</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城市</w:t>
      </w:r>
      <w:r>
        <w:rPr>
          <w:rFonts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rPr>
        <w:t>产业</w:t>
      </w:r>
      <w:r>
        <w:rPr>
          <w:rFonts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rPr>
        <w:t>发展基金发起设立中的关键问题</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3</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城市（产业）发展基金中的创新实务运用及案例解析</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fldChar w:fldCharType="begin"/>
      </w:r>
      <w:r>
        <w:rPr>
          <w:rFonts w:hint="eastAsia" w:ascii="仿宋_GB2312" w:hAnsi="Times New Roman" w:eastAsia="仿宋_GB2312" w:cs="Times New Roman"/>
          <w:kern w:val="0"/>
          <w:sz w:val="28"/>
          <w:szCs w:val="28"/>
        </w:rPr>
        <w:instrText xml:space="preserve">eq \o\ac(○,</w:instrText>
      </w:r>
      <w:r>
        <w:rPr>
          <w:rFonts w:hint="eastAsia" w:ascii="Times New Roman" w:hAnsi="Times New Roman" w:eastAsia="仿宋_GB2312" w:cs="Times New Roman"/>
          <w:kern w:val="0"/>
          <w:position w:val="3"/>
          <w:sz w:val="19"/>
          <w:szCs w:val="28"/>
        </w:rPr>
        <w:instrText xml:space="preserve">4</w:instrText>
      </w:r>
      <w:r>
        <w:rPr>
          <w:rFonts w:hint="eastAsia" w:ascii="仿宋_GB2312" w:hAnsi="Times New Roman" w:eastAsia="仿宋_GB2312" w:cs="Times New Roman"/>
          <w:kern w:val="0"/>
          <w:sz w:val="28"/>
          <w:szCs w:val="28"/>
        </w:rPr>
        <w:instrText xml:space="preserve">)</w:instrText>
      </w:r>
      <w:r>
        <w:rPr>
          <w:rFonts w:ascii="仿宋_GB2312" w:hAnsi="Times New Roman" w:eastAsia="仿宋_GB2312" w:cs="Times New Roman"/>
          <w:kern w:val="0"/>
          <w:sz w:val="28"/>
          <w:szCs w:val="28"/>
        </w:rPr>
        <w:fldChar w:fldCharType="end"/>
      </w:r>
      <w:r>
        <w:rPr>
          <w:rFonts w:hint="eastAsia" w:ascii="仿宋_GB2312" w:hAnsi="Times New Roman" w:eastAsia="仿宋_GB2312" w:cs="Times New Roman"/>
          <w:kern w:val="0"/>
          <w:sz w:val="28"/>
          <w:szCs w:val="28"/>
        </w:rPr>
        <w:t>转型平台公司发起产业基金投资项目的模式</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4</w:t>
      </w:r>
      <w:r>
        <w:rPr>
          <w:rFonts w:hint="eastAsia" w:ascii="仿宋_GB2312" w:hAnsi="Times New Roman" w:eastAsia="仿宋_GB2312" w:cs="Times New Roman"/>
          <w:kern w:val="0"/>
          <w:sz w:val="28"/>
          <w:szCs w:val="28"/>
        </w:rPr>
        <w:t>、</w:t>
      </w:r>
      <w:r>
        <w:rPr>
          <w:rFonts w:ascii="仿宋_GB2312" w:hAnsi="Times New Roman" w:eastAsia="仿宋_GB2312" w:cs="Times New Roman"/>
          <w:kern w:val="0"/>
          <w:sz w:val="28"/>
          <w:szCs w:val="28"/>
        </w:rPr>
        <w:t>PPP</w:t>
      </w:r>
      <w:r>
        <w:rPr>
          <w:rFonts w:hint="eastAsia" w:ascii="仿宋_GB2312" w:hAnsi="Times New Roman" w:eastAsia="仿宋_GB2312" w:cs="Times New Roman"/>
          <w:kern w:val="0"/>
          <w:sz w:val="28"/>
          <w:szCs w:val="28"/>
        </w:rPr>
        <w:t>基金结构化安排及创新实务案例</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5）产业基金的增信</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rPr>
        <w:t xml:space="preserve">、明基实贷、明股实债及对赌的区别； </w:t>
      </w: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、以业绩为核心的对赌的操作模式</w:t>
      </w:r>
    </w:p>
    <w:p>
      <w:pPr>
        <w:spacing w:line="320" w:lineRule="exact"/>
        <w:ind w:firstLine="140" w:firstLineChars="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6）产业基金归结</w:t>
      </w:r>
    </w:p>
    <w:p>
      <w:pPr>
        <w:spacing w:line="320" w:lineRule="exact"/>
        <w:ind w:firstLine="280" w:firstLineChars="100"/>
        <w:rPr>
          <w:rFonts w:ascii="仿宋_GB2312" w:hAnsi="Times New Roman" w:eastAsia="仿宋_GB2312" w:cs="Times New Roman"/>
          <w:kern w:val="0"/>
          <w:sz w:val="28"/>
          <w:szCs w:val="28"/>
        </w:rPr>
      </w:pPr>
      <w:r>
        <w:rPr>
          <w:rFonts w:ascii="仿宋_GB2312" w:hAnsi="Times New Roman" w:eastAsia="仿宋_GB2312" w:cs="Times New Roman"/>
          <w:kern w:val="0"/>
          <w:sz w:val="28"/>
          <w:szCs w:val="28"/>
        </w:rPr>
        <w:t>1</w:t>
      </w:r>
      <w:r>
        <w:rPr>
          <w:rFonts w:hint="eastAsia" w:ascii="仿宋_GB2312" w:hAnsi="Times New Roman" w:eastAsia="仿宋_GB2312" w:cs="Times New Roman"/>
          <w:kern w:val="0"/>
          <w:sz w:val="28"/>
          <w:szCs w:val="28"/>
        </w:rPr>
        <w:t>、整合社会出资人</w:t>
      </w:r>
      <w:r>
        <w:rPr>
          <w:rFonts w:ascii="仿宋_GB2312" w:hAnsi="Times New Roman" w:eastAsia="仿宋_GB2312" w:cs="Times New Roman"/>
          <w:kern w:val="0"/>
          <w:sz w:val="28"/>
          <w:szCs w:val="28"/>
        </w:rPr>
        <w:t>2</w:t>
      </w:r>
      <w:r>
        <w:rPr>
          <w:rFonts w:hint="eastAsia" w:ascii="仿宋_GB2312" w:hAnsi="Times New Roman" w:eastAsia="仿宋_GB2312" w:cs="Times New Roman"/>
          <w:kern w:val="0"/>
          <w:sz w:val="28"/>
          <w:szCs w:val="28"/>
        </w:rPr>
        <w:t>、做大与做强平台公司；</w:t>
      </w:r>
      <w:r>
        <w:rPr>
          <w:rFonts w:ascii="仿宋_GB2312" w:hAnsi="Times New Roman" w:eastAsia="仿宋_GB2312" w:cs="Times New Roman"/>
          <w:kern w:val="0"/>
          <w:sz w:val="28"/>
          <w:szCs w:val="28"/>
        </w:rPr>
        <w:t>3</w:t>
      </w:r>
      <w:r>
        <w:rPr>
          <w:rFonts w:hint="eastAsia" w:ascii="仿宋_GB2312" w:hAnsi="Times New Roman" w:eastAsia="仿宋_GB2312" w:cs="Times New Roman"/>
          <w:kern w:val="0"/>
          <w:sz w:val="28"/>
          <w:szCs w:val="28"/>
        </w:rPr>
        <w:t>、合理设计基金存续期</w:t>
      </w:r>
      <w:r>
        <w:rPr>
          <w:rFonts w:ascii="仿宋_GB2312" w:hAnsi="Times New Roman" w:eastAsia="仿宋_GB2312" w:cs="Times New Roman"/>
          <w:kern w:val="0"/>
          <w:sz w:val="28"/>
          <w:szCs w:val="28"/>
        </w:rPr>
        <w:t>4</w:t>
      </w:r>
      <w:r>
        <w:rPr>
          <w:rFonts w:hint="eastAsia" w:ascii="仿宋_GB2312" w:hAnsi="Times New Roman" w:eastAsia="仿宋_GB2312" w:cs="Times New Roman"/>
          <w:kern w:val="0"/>
          <w:sz w:val="28"/>
          <w:szCs w:val="28"/>
        </w:rPr>
        <w:t>、未来操作模式汇总</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二、参会人员</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政府：各地方政府部门（财政、发改、金融、建设、市政、水务、交通、环保、农业、产业园区等部门）相关负责人；</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企业：地方政府性融资平台公司（城投公司、投资公司、国有资产运营公司、国有资本经营中心、水利投资公司、交通投资公司）等；</w:t>
      </w:r>
    </w:p>
    <w:p>
      <w:pPr>
        <w:spacing w:line="320" w:lineRule="exact"/>
        <w:rPr>
          <w:rFonts w:hint="eastAsia" w:ascii="仿宋_GB2312" w:hAnsi="Times New Roman" w:eastAsia="仿宋_GB2312" w:cs="Times New Roman"/>
          <w:b/>
          <w:kern w:val="0"/>
          <w:sz w:val="28"/>
          <w:szCs w:val="28"/>
        </w:rPr>
      </w:pPr>
    </w:p>
    <w:p>
      <w:pPr>
        <w:spacing w:line="320" w:lineRule="exact"/>
        <w:rPr>
          <w:rFonts w:hint="eastAsia" w:ascii="仿宋_GB2312" w:hAnsi="Times New Roman" w:eastAsia="仿宋_GB2312" w:cs="Times New Roman"/>
          <w:b/>
          <w:kern w:val="0"/>
          <w:sz w:val="28"/>
          <w:szCs w:val="28"/>
        </w:rPr>
      </w:pP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三、拟邀请专家</w:t>
      </w: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 xml:space="preserve">    培训班拟邀请国家发展改革委、财政部、国家开发银行等专家讲课，并安排交流研讨。</w:t>
      </w:r>
    </w:p>
    <w:p>
      <w:pPr>
        <w:numPr>
          <w:ilvl w:val="0"/>
          <w:numId w:val="1"/>
        </w:numPr>
        <w:spacing w:line="320" w:lineRule="exact"/>
        <w:rPr>
          <w:rFonts w:hint="eastAsia"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时间、地点</w:t>
      </w:r>
    </w:p>
    <w:p>
      <w:pPr>
        <w:numPr>
          <w:ilvl w:val="0"/>
          <w:numId w:val="0"/>
        </w:numPr>
        <w:spacing w:line="320" w:lineRule="exact"/>
        <w:ind w:firstLine="562" w:firstLineChars="200"/>
        <w:rPr>
          <w:rFonts w:hint="eastAsia" w:ascii="仿宋_GB2312" w:hAnsi="Times New Roman" w:eastAsia="仿宋_GB2312" w:cs="Times New Roman"/>
          <w:b/>
          <w:bCs/>
          <w:kern w:val="0"/>
          <w:sz w:val="28"/>
          <w:szCs w:val="28"/>
        </w:rPr>
      </w:pPr>
      <w:r>
        <w:rPr>
          <w:rFonts w:hint="eastAsia" w:asciiTheme="majorEastAsia" w:hAnsiTheme="majorEastAsia" w:eastAsiaTheme="majorEastAsia" w:cstheme="majorEastAsia"/>
          <w:b/>
          <w:bCs/>
          <w:kern w:val="0"/>
          <w:sz w:val="28"/>
          <w:szCs w:val="28"/>
        </w:rPr>
        <w:t>2019年04月19日—4月23日（19日全天报到）长沙市</w:t>
      </w:r>
    </w:p>
    <w:p>
      <w:pPr>
        <w:spacing w:line="320" w:lineRule="exact"/>
        <w:ind w:firstLine="536" w:firstLineChars="200"/>
        <w:jc w:val="left"/>
        <w:rPr>
          <w:rFonts w:hint="eastAsia" w:ascii="仿宋" w:hAnsi="仿宋" w:eastAsia="仿宋"/>
          <w:spacing w:val="-6"/>
          <w:sz w:val="28"/>
          <w:szCs w:val="28"/>
          <w:lang w:eastAsia="zh-CN"/>
        </w:rPr>
      </w:pPr>
      <w:r>
        <w:rPr>
          <w:rFonts w:hint="eastAsia" w:ascii="仿宋" w:hAnsi="仿宋" w:eastAsia="仿宋"/>
          <w:spacing w:val="-6"/>
          <w:sz w:val="28"/>
          <w:szCs w:val="28"/>
        </w:rPr>
        <w:t>2019年04月</w:t>
      </w:r>
      <w:r>
        <w:rPr>
          <w:rFonts w:hint="eastAsia" w:ascii="仿宋" w:hAnsi="仿宋" w:eastAsia="仿宋"/>
          <w:spacing w:val="-6"/>
          <w:sz w:val="28"/>
          <w:szCs w:val="28"/>
          <w:lang w:val="en-US" w:eastAsia="zh-CN"/>
        </w:rPr>
        <w:t>26</w:t>
      </w:r>
      <w:r>
        <w:rPr>
          <w:rFonts w:hint="eastAsia" w:ascii="仿宋" w:hAnsi="仿宋" w:eastAsia="仿宋"/>
          <w:spacing w:val="-6"/>
          <w:sz w:val="28"/>
          <w:szCs w:val="28"/>
        </w:rPr>
        <w:t>日—4月</w:t>
      </w:r>
      <w:r>
        <w:rPr>
          <w:rFonts w:hint="eastAsia" w:ascii="仿宋" w:hAnsi="仿宋" w:eastAsia="仿宋"/>
          <w:spacing w:val="-6"/>
          <w:sz w:val="28"/>
          <w:szCs w:val="28"/>
          <w:lang w:val="en-US" w:eastAsia="zh-CN"/>
        </w:rPr>
        <w:t>30</w:t>
      </w:r>
      <w:r>
        <w:rPr>
          <w:rFonts w:hint="eastAsia" w:ascii="仿宋" w:hAnsi="仿宋" w:eastAsia="仿宋"/>
          <w:spacing w:val="-6"/>
          <w:sz w:val="28"/>
          <w:szCs w:val="28"/>
        </w:rPr>
        <w:t>日（</w:t>
      </w:r>
      <w:r>
        <w:rPr>
          <w:rFonts w:hint="eastAsia" w:ascii="仿宋" w:hAnsi="仿宋" w:eastAsia="仿宋"/>
          <w:spacing w:val="-6"/>
          <w:sz w:val="28"/>
          <w:szCs w:val="28"/>
          <w:lang w:val="en-US" w:eastAsia="zh-CN"/>
        </w:rPr>
        <w:t>26</w:t>
      </w:r>
      <w:r>
        <w:rPr>
          <w:rFonts w:hint="eastAsia" w:ascii="仿宋" w:hAnsi="仿宋" w:eastAsia="仿宋"/>
          <w:spacing w:val="-6"/>
          <w:sz w:val="28"/>
          <w:szCs w:val="28"/>
        </w:rPr>
        <w:t>日全天报到）</w:t>
      </w:r>
      <w:r>
        <w:rPr>
          <w:rFonts w:hint="eastAsia" w:ascii="仿宋" w:hAnsi="仿宋" w:eastAsia="仿宋"/>
          <w:spacing w:val="-6"/>
          <w:sz w:val="28"/>
          <w:szCs w:val="28"/>
          <w:lang w:val="en-US" w:eastAsia="zh-CN"/>
        </w:rPr>
        <w:t xml:space="preserve">  </w:t>
      </w:r>
      <w:r>
        <w:rPr>
          <w:rFonts w:hint="eastAsia" w:ascii="仿宋" w:hAnsi="仿宋" w:eastAsia="仿宋"/>
          <w:spacing w:val="-6"/>
          <w:sz w:val="28"/>
          <w:szCs w:val="28"/>
          <w:lang w:eastAsia="zh-CN"/>
        </w:rPr>
        <w:t>济南市</w:t>
      </w:r>
    </w:p>
    <w:p>
      <w:pPr>
        <w:spacing w:line="320" w:lineRule="exact"/>
        <w:ind w:firstLine="536" w:firstLineChars="200"/>
        <w:jc w:val="left"/>
        <w:rPr>
          <w:rFonts w:hint="eastAsia" w:ascii="仿宋" w:hAnsi="仿宋" w:eastAsia="仿宋"/>
          <w:spacing w:val="-6"/>
          <w:sz w:val="28"/>
          <w:szCs w:val="28"/>
          <w:lang w:val="en-US" w:eastAsia="zh-CN"/>
        </w:rPr>
      </w:pPr>
      <w:r>
        <w:rPr>
          <w:rFonts w:hint="eastAsia" w:ascii="仿宋" w:hAnsi="仿宋" w:eastAsia="仿宋"/>
          <w:spacing w:val="-6"/>
          <w:sz w:val="28"/>
          <w:szCs w:val="28"/>
          <w:lang w:val="en-US" w:eastAsia="zh-CN"/>
        </w:rPr>
        <w:t>2019年05月09日—5月13日（09日全天报到）  武汉市</w:t>
      </w:r>
    </w:p>
    <w:p>
      <w:pPr>
        <w:spacing w:line="380" w:lineRule="exact"/>
        <w:ind w:firstLine="536" w:firstLineChars="200"/>
        <w:rPr>
          <w:rFonts w:hint="eastAsia" w:ascii="仿宋" w:hAnsi="仿宋" w:eastAsia="仿宋"/>
          <w:spacing w:val="-6"/>
          <w:sz w:val="28"/>
          <w:szCs w:val="28"/>
          <w:lang w:eastAsia="zh-CN"/>
        </w:rPr>
      </w:pPr>
      <w:r>
        <w:rPr>
          <w:rFonts w:hint="eastAsia" w:ascii="仿宋" w:hAnsi="仿宋" w:eastAsia="仿宋"/>
          <w:spacing w:val="-6"/>
          <w:sz w:val="28"/>
          <w:szCs w:val="28"/>
        </w:rPr>
        <w:t>2019年05月</w:t>
      </w:r>
      <w:r>
        <w:rPr>
          <w:rFonts w:hint="eastAsia" w:ascii="仿宋" w:hAnsi="仿宋" w:eastAsia="仿宋"/>
          <w:spacing w:val="-6"/>
          <w:sz w:val="28"/>
          <w:szCs w:val="28"/>
          <w:lang w:val="en-US" w:eastAsia="zh-CN"/>
        </w:rPr>
        <w:t>17</w:t>
      </w:r>
      <w:r>
        <w:rPr>
          <w:rFonts w:hint="eastAsia" w:ascii="仿宋" w:hAnsi="仿宋" w:eastAsia="仿宋"/>
          <w:spacing w:val="-6"/>
          <w:sz w:val="28"/>
          <w:szCs w:val="28"/>
        </w:rPr>
        <w:t>日—5月</w:t>
      </w:r>
      <w:r>
        <w:rPr>
          <w:rFonts w:hint="eastAsia" w:ascii="仿宋" w:hAnsi="仿宋" w:eastAsia="仿宋"/>
          <w:spacing w:val="-6"/>
          <w:sz w:val="28"/>
          <w:szCs w:val="28"/>
          <w:lang w:val="en-US" w:eastAsia="zh-CN"/>
        </w:rPr>
        <w:t>21</w:t>
      </w:r>
      <w:bookmarkStart w:id="35" w:name="_GoBack"/>
      <w:bookmarkEnd w:id="35"/>
      <w:r>
        <w:rPr>
          <w:rFonts w:hint="eastAsia" w:ascii="仿宋" w:hAnsi="仿宋" w:eastAsia="仿宋"/>
          <w:spacing w:val="-6"/>
          <w:sz w:val="28"/>
          <w:szCs w:val="28"/>
        </w:rPr>
        <w:t>日（</w:t>
      </w:r>
      <w:r>
        <w:rPr>
          <w:rFonts w:hint="eastAsia" w:ascii="仿宋" w:hAnsi="仿宋" w:eastAsia="仿宋"/>
          <w:spacing w:val="-6"/>
          <w:sz w:val="28"/>
          <w:szCs w:val="28"/>
          <w:lang w:val="en-US" w:eastAsia="zh-CN"/>
        </w:rPr>
        <w:t>17</w:t>
      </w:r>
      <w:r>
        <w:rPr>
          <w:rFonts w:hint="eastAsia" w:ascii="仿宋" w:hAnsi="仿宋" w:eastAsia="仿宋"/>
          <w:spacing w:val="-6"/>
          <w:sz w:val="28"/>
          <w:szCs w:val="28"/>
        </w:rPr>
        <w:t>日全天报到）</w:t>
      </w:r>
      <w:r>
        <w:rPr>
          <w:rFonts w:hint="eastAsia" w:ascii="仿宋" w:hAnsi="仿宋" w:eastAsia="仿宋"/>
          <w:spacing w:val="-6"/>
          <w:sz w:val="28"/>
          <w:szCs w:val="28"/>
          <w:lang w:val="en-US" w:eastAsia="zh-CN"/>
        </w:rPr>
        <w:t xml:space="preserve">  </w:t>
      </w:r>
      <w:r>
        <w:rPr>
          <w:rFonts w:hint="eastAsia" w:ascii="仿宋" w:hAnsi="仿宋" w:eastAsia="仿宋"/>
          <w:spacing w:val="-6"/>
          <w:sz w:val="28"/>
          <w:szCs w:val="28"/>
          <w:lang w:eastAsia="zh-CN"/>
        </w:rPr>
        <w:t>西安市</w:t>
      </w:r>
    </w:p>
    <w:p>
      <w:pPr>
        <w:spacing w:line="380" w:lineRule="exact"/>
        <w:ind w:firstLine="536" w:firstLineChars="200"/>
        <w:rPr>
          <w:rFonts w:hint="eastAsia" w:ascii="仿宋" w:hAnsi="仿宋" w:eastAsia="仿宋"/>
          <w:spacing w:val="-6"/>
          <w:sz w:val="28"/>
          <w:szCs w:val="28"/>
          <w:lang w:eastAsia="zh-CN"/>
        </w:rPr>
      </w:pPr>
      <w:r>
        <w:rPr>
          <w:rFonts w:hint="eastAsia" w:ascii="仿宋" w:hAnsi="仿宋" w:eastAsia="仿宋"/>
          <w:spacing w:val="-6"/>
          <w:sz w:val="28"/>
          <w:szCs w:val="28"/>
        </w:rPr>
        <w:t>2019年05月24日—5月28日（24日全天报到）</w:t>
      </w:r>
      <w:r>
        <w:rPr>
          <w:rFonts w:hint="eastAsia" w:ascii="仿宋" w:hAnsi="仿宋" w:eastAsia="仿宋"/>
          <w:spacing w:val="-6"/>
          <w:sz w:val="28"/>
          <w:szCs w:val="28"/>
          <w:lang w:val="en-US" w:eastAsia="zh-CN"/>
        </w:rPr>
        <w:t xml:space="preserve">  </w:t>
      </w:r>
      <w:r>
        <w:rPr>
          <w:rFonts w:hint="eastAsia" w:ascii="仿宋" w:hAnsi="仿宋" w:eastAsia="仿宋"/>
          <w:spacing w:val="-6"/>
          <w:sz w:val="28"/>
          <w:szCs w:val="28"/>
          <w:lang w:eastAsia="zh-CN"/>
        </w:rPr>
        <w:t>贵阳市</w:t>
      </w:r>
    </w:p>
    <w:p>
      <w:pPr>
        <w:spacing w:line="320" w:lineRule="exact"/>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五、收费标准</w:t>
      </w:r>
    </w:p>
    <w:p>
      <w:pPr>
        <w:pStyle w:val="4"/>
        <w:spacing w:line="440" w:lineRule="exact"/>
        <w:ind w:left="720"/>
        <w:jc w:val="both"/>
        <w:rPr>
          <w:rFonts w:ascii="仿宋" w:hAnsi="仿宋" w:eastAsia="仿宋" w:cs="仿宋"/>
          <w:color w:val="000000" w:themeColor="text1"/>
          <w:sz w:val="32"/>
          <w:szCs w:val="32"/>
          <w:lang w:val="en-US" w:bidi="ar-SA"/>
          <w14:textFill>
            <w14:solidFill>
              <w14:schemeClr w14:val="tx1"/>
            </w14:solidFill>
          </w14:textFill>
        </w:rPr>
      </w:pPr>
      <w:r>
        <w:rPr>
          <w:rFonts w:hint="eastAsia" w:ascii="仿宋" w:hAnsi="仿宋" w:eastAsia="仿宋" w:cs="仿宋"/>
          <w:color w:val="000000" w:themeColor="text1"/>
          <w:sz w:val="32"/>
          <w:szCs w:val="32"/>
          <w:lang w:val="en-US" w:eastAsia="zh-CN" w:bidi="ar-SA"/>
          <w14:textFill>
            <w14:solidFill>
              <w14:schemeClr w14:val="tx1"/>
            </w14:solidFill>
          </w14:textFill>
        </w:rPr>
        <w:t>培训费</w:t>
      </w:r>
      <w:r>
        <w:rPr>
          <w:rFonts w:hint="eastAsia" w:ascii="仿宋" w:hAnsi="仿宋" w:eastAsia="仿宋" w:cs="仿宋"/>
          <w:color w:val="000000" w:themeColor="text1"/>
          <w:sz w:val="32"/>
          <w:szCs w:val="32"/>
          <w:lang w:val="en-US" w:bidi="ar-SA"/>
          <w14:textFill>
            <w14:solidFill>
              <w14:schemeClr w14:val="tx1"/>
            </w14:solidFill>
          </w14:textFill>
        </w:rPr>
        <w:t>2800 元/人，含资料费、专家咨询费、场地费、税费等；食宿统一安排，费用自理。</w:t>
      </w:r>
    </w:p>
    <w:p>
      <w:pPr>
        <w:spacing w:line="320" w:lineRule="exact"/>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六、联系方式</w:t>
      </w:r>
    </w:p>
    <w:p>
      <w:pPr>
        <w:spacing w:line="400" w:lineRule="exact"/>
        <w:ind w:firstLine="280" w:firstLineChars="100"/>
        <w:rPr>
          <w:rFonts w:hint="eastAsia" w:ascii="仿宋" w:hAnsi="仿宋" w:eastAsia="仿宋"/>
          <w:bCs/>
          <w:sz w:val="28"/>
          <w:szCs w:val="28"/>
        </w:rPr>
      </w:pPr>
      <w:r>
        <w:rPr>
          <w:rFonts w:hint="eastAsia" w:ascii="仿宋" w:hAnsi="仿宋" w:eastAsia="仿宋"/>
          <w:bCs/>
          <w:sz w:val="28"/>
          <w:szCs w:val="28"/>
        </w:rPr>
        <w:t>报名联系人：聂主任 18211071700（微信）      邮  箱：zqgphwz@126.com</w:t>
      </w:r>
    </w:p>
    <w:p>
      <w:pPr>
        <w:spacing w:line="400" w:lineRule="exact"/>
        <w:ind w:firstLine="280" w:firstLineChars="100"/>
        <w:rPr>
          <w:rFonts w:hint="eastAsia" w:ascii="仿宋" w:hAnsi="仿宋" w:eastAsia="仿宋"/>
          <w:bCs/>
          <w:sz w:val="28"/>
          <w:szCs w:val="28"/>
        </w:rPr>
      </w:pPr>
      <w:r>
        <w:rPr>
          <w:rFonts w:hint="eastAsia" w:ascii="仿宋" w:hAnsi="仿宋" w:eastAsia="仿宋"/>
          <w:bCs/>
          <w:sz w:val="28"/>
          <w:szCs w:val="28"/>
        </w:rPr>
        <w:t xml:space="preserve">电话（传真）：010-87697580                qq咨询：3177524020   </w:t>
      </w:r>
    </w:p>
    <w:p>
      <w:pPr>
        <w:spacing w:line="400" w:lineRule="exact"/>
        <w:ind w:firstLine="280" w:firstLineChars="100"/>
        <w:rPr>
          <w:rFonts w:ascii="仿宋" w:hAnsi="仿宋" w:eastAsia="仿宋"/>
          <w:bCs/>
          <w:sz w:val="28"/>
          <w:szCs w:val="28"/>
        </w:rPr>
      </w:pPr>
      <w:r>
        <w:rPr>
          <w:rFonts w:hint="eastAsia" w:ascii="仿宋" w:hAnsi="仿宋" w:eastAsia="仿宋"/>
          <w:bCs/>
          <w:sz w:val="28"/>
          <w:szCs w:val="28"/>
        </w:rPr>
        <w:t xml:space="preserve">网址查询：http://www.zqgpchina.cn/ </w:t>
      </w:r>
    </w:p>
    <w:p>
      <w:pPr>
        <w:spacing w:line="320" w:lineRule="exact"/>
        <w:rPr>
          <w:rFonts w:ascii="仿宋_GB2312" w:hAnsi="Times New Roman" w:eastAsia="仿宋_GB2312" w:cs="Times New Roman"/>
          <w:kern w:val="0"/>
          <w:sz w:val="28"/>
          <w:szCs w:val="28"/>
        </w:rPr>
      </w:pPr>
    </w:p>
    <w:p>
      <w:pPr>
        <w:spacing w:line="320" w:lineRule="exact"/>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附  件：报名回执表</w:t>
      </w:r>
    </w:p>
    <w:p>
      <w:pPr>
        <w:spacing w:line="320" w:lineRule="exact"/>
        <w:ind w:firstLine="5180" w:firstLineChars="1850"/>
        <w:rPr>
          <w:rFonts w:ascii="仿宋_GB2312" w:hAnsi="Times New Roman" w:eastAsia="仿宋_GB2312" w:cs="Times New Roman"/>
          <w:kern w:val="0"/>
          <w:sz w:val="28"/>
          <w:szCs w:val="28"/>
        </w:rPr>
      </w:pPr>
    </w:p>
    <w:p>
      <w:pPr>
        <w:spacing w:line="320" w:lineRule="exact"/>
        <w:ind w:firstLine="5880" w:firstLineChars="2100"/>
        <w:rPr>
          <w:rFonts w:hint="eastAsia" w:ascii="仿宋_GB2312" w:hAnsi="Times New Roman" w:eastAsia="仿宋_GB2312" w:cs="Times New Roman"/>
          <w:kern w:val="0"/>
          <w:sz w:val="28"/>
          <w:szCs w:val="28"/>
        </w:rPr>
      </w:pPr>
    </w:p>
    <w:p>
      <w:pPr>
        <w:spacing w:line="320" w:lineRule="exact"/>
        <w:rPr>
          <w:rFonts w:ascii="仿宋_GB2312" w:hAnsi="Times New Roman" w:eastAsia="仿宋_GB2312" w:cs="Times New Roman"/>
          <w:kern w:val="0"/>
          <w:sz w:val="28"/>
          <w:szCs w:val="28"/>
        </w:rPr>
      </w:pPr>
      <w:r>
        <w:rPr>
          <w:spacing w:val="-13"/>
          <w:w w:val="95"/>
          <w:lang w:val="en-US" w:bidi="ar-SA"/>
        </w:rPr>
        <w:drawing>
          <wp:anchor distT="0" distB="0" distL="114300" distR="114300" simplePos="0" relativeHeight="251666432" behindDoc="1" locked="0" layoutInCell="1" allowOverlap="1">
            <wp:simplePos x="0" y="0"/>
            <wp:positionH relativeFrom="column">
              <wp:posOffset>3733800</wp:posOffset>
            </wp:positionH>
            <wp:positionV relativeFrom="paragraph">
              <wp:posOffset>110490</wp:posOffset>
            </wp:positionV>
            <wp:extent cx="1914525" cy="1590675"/>
            <wp:effectExtent l="0" t="0" r="9525" b="9525"/>
            <wp:wrapTopAndBottom/>
            <wp:docPr id="3" name="图片 3" descr="C:\Users\acer\AppData\Local\Temp\15507347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cer\AppData\Local\Temp\1550734768(1).png"/>
                    <pic:cNvPicPr>
                      <a:picLocks noChangeAspect="1" noChangeArrowheads="1"/>
                    </pic:cNvPicPr>
                  </pic:nvPicPr>
                  <pic:blipFill>
                    <a:blip r:embed="rId5"/>
                    <a:srcRect/>
                    <a:stretch>
                      <a:fillRect/>
                    </a:stretch>
                  </pic:blipFill>
                  <pic:spPr>
                    <a:xfrm>
                      <a:off x="0" y="0"/>
                      <a:ext cx="1914525" cy="1590675"/>
                    </a:xfrm>
                    <a:prstGeom prst="rect">
                      <a:avLst/>
                    </a:prstGeom>
                    <a:noFill/>
                    <a:ln w="9525">
                      <a:noFill/>
                      <a:miter lim="800000"/>
                      <a:headEnd/>
                      <a:tailEnd/>
                    </a:ln>
                  </pic:spPr>
                </pic:pic>
              </a:graphicData>
            </a:graphic>
          </wp:anchor>
        </w:drawing>
      </w:r>
      <w:r>
        <w:rPr>
          <w:rFonts w:hint="eastAsia" w:ascii="仿宋_GB2312" w:hAnsi="Times New Roman" w:eastAsia="仿宋_GB2312" w:cs="Times New Roman"/>
          <w:kern w:val="0"/>
          <w:sz w:val="28"/>
          <w:szCs w:val="28"/>
        </w:rPr>
        <w:t xml:space="preserve">  </w:t>
      </w:r>
    </w:p>
    <w:p>
      <w:pPr>
        <w:spacing w:line="300" w:lineRule="exact"/>
        <w:ind w:right="473" w:rightChars="225"/>
        <w:jc w:val="left"/>
        <w:rPr>
          <w:rFonts w:ascii="仿宋_GB2312" w:hAnsi="仿宋_GB2312" w:eastAsia="仿宋_GB2312" w:cs="仿宋_GB2312"/>
          <w:bCs/>
          <w:sz w:val="28"/>
          <w:szCs w:val="28"/>
        </w:rPr>
      </w:pPr>
    </w:p>
    <w:p>
      <w:pPr>
        <w:spacing w:line="480" w:lineRule="exact"/>
        <w:ind w:right="473" w:rightChars="225"/>
        <w:jc w:val="left"/>
        <w:rPr>
          <w:rFonts w:hint="eastAsia" w:ascii="仿宋_GB2312" w:hAnsi="仿宋_GB2312" w:eastAsia="仿宋_GB2312" w:cs="仿宋_GB2312"/>
          <w:bCs/>
          <w:sz w:val="28"/>
          <w:szCs w:val="28"/>
        </w:rPr>
      </w:pPr>
    </w:p>
    <w:p>
      <w:pPr>
        <w:spacing w:line="480" w:lineRule="exact"/>
        <w:ind w:right="473" w:rightChars="225"/>
        <w:jc w:val="left"/>
        <w:rPr>
          <w:rFonts w:hint="eastAsia" w:ascii="仿宋_GB2312" w:hAnsi="仿宋_GB2312" w:eastAsia="仿宋_GB2312" w:cs="仿宋_GB2312"/>
          <w:bCs/>
          <w:sz w:val="28"/>
          <w:szCs w:val="28"/>
        </w:rPr>
      </w:pPr>
    </w:p>
    <w:p>
      <w:pPr>
        <w:spacing w:line="480" w:lineRule="exact"/>
        <w:ind w:right="473" w:rightChars="225"/>
        <w:jc w:val="left"/>
        <w:rPr>
          <w:rFonts w:hint="eastAsia" w:ascii="仿宋_GB2312" w:hAnsi="仿宋_GB2312" w:eastAsia="仿宋_GB2312" w:cs="仿宋_GB2312"/>
          <w:bCs/>
          <w:sz w:val="28"/>
          <w:szCs w:val="28"/>
        </w:rPr>
      </w:pPr>
    </w:p>
    <w:p>
      <w:pPr>
        <w:spacing w:line="480" w:lineRule="exact"/>
        <w:ind w:right="473" w:rightChars="225"/>
        <w:jc w:val="left"/>
        <w:rPr>
          <w:rFonts w:hint="eastAsia" w:ascii="仿宋_GB2312" w:hAnsi="仿宋_GB2312" w:eastAsia="仿宋_GB2312" w:cs="仿宋_GB2312"/>
          <w:bCs/>
          <w:sz w:val="28"/>
          <w:szCs w:val="28"/>
        </w:rPr>
      </w:pPr>
    </w:p>
    <w:p>
      <w:pPr>
        <w:spacing w:line="480" w:lineRule="exact"/>
        <w:ind w:right="473" w:rightChars="225"/>
        <w:jc w:val="left"/>
        <w:rPr>
          <w:rFonts w:hint="eastAsia" w:ascii="仿宋_GB2312" w:hAnsi="仿宋_GB2312" w:eastAsia="仿宋_GB2312" w:cs="仿宋_GB2312"/>
          <w:bCs/>
          <w:sz w:val="28"/>
          <w:szCs w:val="28"/>
        </w:rPr>
      </w:pPr>
    </w:p>
    <w:p>
      <w:pPr>
        <w:spacing w:line="480" w:lineRule="exact"/>
        <w:ind w:right="473" w:rightChars="225"/>
        <w:jc w:val="left"/>
        <w:rPr>
          <w:rFonts w:hint="eastAsia" w:ascii="仿宋_GB2312" w:hAnsi="仿宋_GB2312" w:eastAsia="仿宋_GB2312" w:cs="仿宋_GB2312"/>
          <w:bCs/>
          <w:sz w:val="28"/>
          <w:szCs w:val="28"/>
        </w:rPr>
      </w:pPr>
    </w:p>
    <w:p>
      <w:pPr>
        <w:spacing w:line="480" w:lineRule="exact"/>
        <w:ind w:right="473" w:rightChars="225"/>
        <w:jc w:val="left"/>
        <w:rPr>
          <w:rFonts w:hint="eastAsia" w:ascii="仿宋_GB2312" w:hAnsi="仿宋_GB2312" w:eastAsia="仿宋_GB2312" w:cs="仿宋_GB2312"/>
          <w:bCs/>
          <w:sz w:val="28"/>
          <w:szCs w:val="28"/>
        </w:rPr>
      </w:pPr>
    </w:p>
    <w:p>
      <w:pPr>
        <w:spacing w:line="480" w:lineRule="exact"/>
        <w:ind w:right="473" w:rightChars="225"/>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p>
    <w:p>
      <w:pPr>
        <w:spacing w:line="480" w:lineRule="exact"/>
        <w:ind w:right="473" w:rightChars="225"/>
        <w:jc w:val="center"/>
        <w:rPr>
          <w:rFonts w:ascii="仿宋" w:hAnsi="仿宋" w:eastAsia="仿宋" w:cs="仿宋"/>
          <w:b/>
          <w:bCs/>
          <w:sz w:val="48"/>
          <w:szCs w:val="48"/>
        </w:rPr>
      </w:pPr>
      <w:r>
        <w:rPr>
          <w:rFonts w:hint="eastAsia" w:ascii="仿宋_GB2312" w:hAnsi="仿宋_GB2312" w:eastAsia="仿宋_GB2312" w:cs="仿宋_GB2312"/>
          <w:bCs/>
          <w:sz w:val="28"/>
          <w:szCs w:val="28"/>
        </w:rPr>
        <w:t>“地方政府隐性债务处置、专项债发行及推进平台公司市场化转型指导与投融资创新实务”专题培训班报名回执表</w:t>
      </w:r>
    </w:p>
    <w:tbl>
      <w:tblPr>
        <w:tblStyle w:val="9"/>
        <w:tblpPr w:leftFromText="180" w:rightFromText="180" w:vertAnchor="text" w:horzAnchor="margin" w:tblpX="101" w:tblpY="282"/>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915"/>
        <w:gridCol w:w="11"/>
        <w:gridCol w:w="1001"/>
        <w:gridCol w:w="12"/>
        <w:gridCol w:w="844"/>
        <w:gridCol w:w="659"/>
        <w:gridCol w:w="376"/>
        <w:gridCol w:w="897"/>
        <w:gridCol w:w="626"/>
        <w:gridCol w:w="118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单位名称</w:t>
            </w:r>
          </w:p>
        </w:tc>
        <w:tc>
          <w:tcPr>
            <w:tcW w:w="5341"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0" w:name="Text2"/>
            <w:r>
              <w:fldChar w:fldCharType="begin">
                <w:ffData>
                  <w:name w:val="文字1"/>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0"/>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邮编</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 w:name="Text1"/>
            <w:r>
              <w:fldChar w:fldCharType="begin">
                <w:ffData>
                  <w:name w:val="文字2"/>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通讯地址</w:t>
            </w:r>
          </w:p>
        </w:tc>
        <w:tc>
          <w:tcPr>
            <w:tcW w:w="8289" w:type="dxa"/>
            <w:gridSpan w:val="11"/>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 w:name="Text3"/>
            <w:r>
              <w:fldChar w:fldCharType="begin">
                <w:ffData>
                  <w:name w:val="文字3"/>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审批人</w:t>
            </w:r>
          </w:p>
        </w:tc>
        <w:tc>
          <w:tcPr>
            <w:tcW w:w="91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 w:name="Text4"/>
            <w:r>
              <w:fldChar w:fldCharType="begin">
                <w:ffData>
                  <w:name w:val="文字4"/>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
          </w:p>
        </w:tc>
        <w:tc>
          <w:tcPr>
            <w:tcW w:w="101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职务</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tabs>
                <w:tab w:val="left" w:pos="266"/>
                <w:tab w:val="center" w:pos="450"/>
              </w:tabs>
              <w:spacing w:line="340" w:lineRule="exact"/>
              <w:jc w:val="left"/>
              <w:rPr>
                <w:rFonts w:ascii="仿宋" w:hAnsi="仿宋" w:eastAsia="仿宋"/>
                <w:bCs/>
                <w:sz w:val="28"/>
                <w:szCs w:val="28"/>
              </w:rPr>
            </w:pPr>
            <w:bookmarkStart w:id="4" w:name="Text5"/>
            <w:r>
              <w:fldChar w:fldCharType="begin">
                <w:ffData>
                  <w:name w:val="文字5"/>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4"/>
          </w:p>
        </w:tc>
        <w:tc>
          <w:tcPr>
            <w:tcW w:w="1035"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电话</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5" w:name="Text6"/>
            <w:r>
              <w:fldChar w:fldCharType="begin">
                <w:ffData>
                  <w:name w:val="文字6"/>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5"/>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6" w:name="Text7"/>
            <w:r>
              <w:fldChar w:fldCharType="begin">
                <w:ffData>
                  <w:name w:val="文字7"/>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联系人</w:t>
            </w:r>
          </w:p>
        </w:tc>
        <w:tc>
          <w:tcPr>
            <w:tcW w:w="91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7" w:name="Text11"/>
            <w:r>
              <w:fldChar w:fldCharType="begin">
                <w:ffData>
                  <w:name w:val="文字8"/>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7"/>
          </w:p>
        </w:tc>
        <w:tc>
          <w:tcPr>
            <w:tcW w:w="101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部门</w:t>
            </w:r>
          </w:p>
        </w:tc>
        <w:tc>
          <w:tcPr>
            <w:tcW w:w="856"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sz w:val="28"/>
                <w:szCs w:val="28"/>
              </w:rPr>
            </w:pPr>
            <w:bookmarkStart w:id="8" w:name="Text10"/>
            <w:r>
              <w:fldChar w:fldCharType="begin">
                <w:ffData>
                  <w:name w:val="文字9"/>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8"/>
          </w:p>
        </w:tc>
        <w:tc>
          <w:tcPr>
            <w:tcW w:w="103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职务</w:t>
            </w:r>
          </w:p>
        </w:tc>
        <w:tc>
          <w:tcPr>
            <w:tcW w:w="152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9" w:name="Text9"/>
            <w:r>
              <w:fldChar w:fldCharType="begin">
                <w:ffData>
                  <w:name w:val="文字10"/>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9"/>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0" w:name="Text8"/>
            <w:r>
              <w:fldChar w:fldCharType="begin">
                <w:ffData>
                  <w:name w:val="文字11"/>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电话</w:t>
            </w:r>
          </w:p>
        </w:tc>
        <w:tc>
          <w:tcPr>
            <w:tcW w:w="2783" w:type="dxa"/>
            <w:gridSpan w:val="5"/>
            <w:tcBorders>
              <w:top w:val="nil"/>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1" w:name="Text12"/>
            <w:r>
              <w:fldChar w:fldCharType="begin">
                <w:ffData>
                  <w:name w:val="文字12"/>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1"/>
          </w:p>
        </w:tc>
        <w:tc>
          <w:tcPr>
            <w:tcW w:w="1035" w:type="dxa"/>
            <w:gridSpan w:val="2"/>
            <w:tcBorders>
              <w:top w:val="nil"/>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传真</w:t>
            </w:r>
          </w:p>
        </w:tc>
        <w:tc>
          <w:tcPr>
            <w:tcW w:w="1523" w:type="dxa"/>
            <w:gridSpan w:val="2"/>
            <w:tcBorders>
              <w:top w:val="nil"/>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2" w:name="Text13"/>
            <w:r>
              <w:fldChar w:fldCharType="begin">
                <w:ffData>
                  <w:name w:val="文字13"/>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2"/>
          </w:p>
        </w:tc>
        <w:tc>
          <w:tcPr>
            <w:tcW w:w="1182"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r>
              <w:rPr>
                <w:rFonts w:hint="eastAsia" w:ascii="仿宋" w:hAnsi="仿宋" w:eastAsia="仿宋"/>
                <w:bCs/>
                <w:sz w:val="28"/>
                <w:szCs w:val="28"/>
              </w:rPr>
              <w:t>E-mail</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3" w:name="Text14"/>
            <w:r>
              <w:fldChar w:fldCharType="begin">
                <w:ffData>
                  <w:name w:val="文字14"/>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3"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姓名</w:t>
            </w: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性别</w:t>
            </w: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部门</w:t>
            </w: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职务</w:t>
            </w: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电话</w:t>
            </w: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手机</w:t>
            </w: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color w:val="000000"/>
                <w:sz w:val="28"/>
                <w:szCs w:val="28"/>
              </w:rPr>
            </w:pPr>
            <w:r>
              <w:rPr>
                <w:rFonts w:hint="eastAsia" w:ascii="仿宋" w:hAnsi="仿宋" w:eastAsia="仿宋"/>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4" w:name="Text63"/>
            <w:r>
              <w:fldChar w:fldCharType="begin">
                <w:ffData>
                  <w:name w:val="文字15"/>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4"/>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5" w:name="Text55"/>
            <w:r>
              <w:fldChar w:fldCharType="begin">
                <w:ffData>
                  <w:name w:val="文字16"/>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5"/>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6" w:name="Text54"/>
            <w:r>
              <w:fldChar w:fldCharType="begin">
                <w:ffData>
                  <w:name w:val="文字17"/>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6"/>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7" w:name="Text39"/>
            <w:r>
              <w:fldChar w:fldCharType="begin">
                <w:ffData>
                  <w:name w:val="文字18"/>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7"/>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8" w:name="Text31"/>
            <w:r>
              <w:fldChar w:fldCharType="begin">
                <w:ffData>
                  <w:name w:val="文字19"/>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8"/>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19" w:name="Text30"/>
            <w:r>
              <w:fldChar w:fldCharType="begin">
                <w:ffData>
                  <w:name w:val="文字20"/>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19"/>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0" w:name="Text15"/>
            <w:r>
              <w:fldChar w:fldCharType="begin">
                <w:ffData>
                  <w:name w:val="文字21"/>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1" w:name="Text64"/>
            <w:r>
              <w:fldChar w:fldCharType="begin">
                <w:ffData>
                  <w:name w:val="文字22"/>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1"/>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2" w:name="Text56"/>
            <w:r>
              <w:fldChar w:fldCharType="begin">
                <w:ffData>
                  <w:name w:val="文字23"/>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2"/>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3" w:name="Text53"/>
            <w:r>
              <w:fldChar w:fldCharType="begin">
                <w:ffData>
                  <w:name w:val="文字24"/>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3"/>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4" w:name="Text40"/>
            <w:r>
              <w:fldChar w:fldCharType="begin">
                <w:ffData>
                  <w:name w:val="文字25"/>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4"/>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5" w:name="Text32"/>
            <w:r>
              <w:fldChar w:fldCharType="begin">
                <w:ffData>
                  <w:name w:val="文字26"/>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5"/>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6" w:name="Text29"/>
            <w:r>
              <w:fldChar w:fldCharType="begin">
                <w:ffData>
                  <w:name w:val="文字27"/>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6"/>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7" w:name="Text16"/>
            <w:r>
              <w:fldChar w:fldCharType="begin">
                <w:ffData>
                  <w:name w:val="文字28"/>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8" w:name="Text67"/>
            <w:r>
              <w:fldChar w:fldCharType="begin">
                <w:ffData>
                  <w:name w:val="文字29"/>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8"/>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29" w:name="Text59"/>
            <w:r>
              <w:fldChar w:fldCharType="begin">
                <w:ffData>
                  <w:name w:val="文字30"/>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29"/>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0" w:name="Text50"/>
            <w:r>
              <w:fldChar w:fldCharType="begin">
                <w:ffData>
                  <w:name w:val="文字31"/>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0"/>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1" w:name="Text43"/>
            <w:r>
              <w:fldChar w:fldCharType="begin">
                <w:ffData>
                  <w:name w:val="文字32"/>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1"/>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2" w:name="Text35"/>
            <w:r>
              <w:fldChar w:fldCharType="begin">
                <w:ffData>
                  <w:name w:val="文字33"/>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2"/>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3" w:name="Text26"/>
            <w:r>
              <w:fldChar w:fldCharType="begin">
                <w:ffData>
                  <w:name w:val="文字34"/>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3"/>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bookmarkStart w:id="34" w:name="Text19"/>
            <w:r>
              <w:fldChar w:fldCharType="begin">
                <w:ffData>
                  <w:name w:val="文字35"/>
                  <w:enabled/>
                  <w:calcOnExit w:val="0"/>
                  <w:textInput/>
                </w:ffData>
              </w:fldChar>
            </w:r>
            <w:r>
              <w:rPr>
                <w:rFonts w:hint="eastAsia" w:ascii="仿宋" w:hAnsi="仿宋" w:eastAsia="仿宋"/>
                <w:bCs/>
                <w:sz w:val="28"/>
                <w:szCs w:val="28"/>
              </w:rPr>
              <w:instrText xml:space="preserve">FORMTEXT</w:instrText>
            </w:r>
            <w:r>
              <w:fldChar w:fldCharType="separate"/>
            </w:r>
            <w:r>
              <w:fldChar w:fldCharType="end"/>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844"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932"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808"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c>
          <w:tcPr>
            <w:tcW w:w="17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4"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参会地点</w:t>
            </w:r>
          </w:p>
        </w:tc>
        <w:tc>
          <w:tcPr>
            <w:tcW w:w="8289" w:type="dxa"/>
            <w:gridSpan w:val="11"/>
            <w:tcBorders>
              <w:top w:val="single" w:color="auto" w:sz="4" w:space="0"/>
              <w:left w:val="single" w:color="auto" w:sz="4" w:space="0"/>
              <w:bottom w:val="single" w:color="auto" w:sz="4" w:space="0"/>
              <w:right w:val="single" w:color="auto" w:sz="4" w:space="0"/>
            </w:tcBorders>
            <w:vAlign w:val="center"/>
          </w:tcPr>
          <w:p>
            <w:pPr>
              <w:spacing w:line="340" w:lineRule="exact"/>
              <w:ind w:firstLine="980" w:firstLineChars="350"/>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435" w:type="dxa"/>
            <w:tcBorders>
              <w:top w:val="single" w:color="auto" w:sz="4" w:space="0"/>
              <w:left w:val="single" w:color="auto" w:sz="4" w:space="0"/>
              <w:bottom w:val="single" w:color="auto" w:sz="4" w:space="0"/>
              <w:right w:val="single" w:color="auto" w:sz="4" w:space="0"/>
            </w:tcBorders>
            <w:vAlign w:val="center"/>
          </w:tcPr>
          <w:p>
            <w:pPr>
              <w:ind w:right="-107" w:rightChars="-51"/>
              <w:rPr>
                <w:rFonts w:ascii="仿宋" w:hAnsi="仿宋" w:eastAsia="仿宋"/>
                <w:bCs/>
                <w:sz w:val="28"/>
                <w:szCs w:val="28"/>
              </w:rPr>
            </w:pPr>
            <w:r>
              <w:rPr>
                <w:rFonts w:hint="eastAsia" w:ascii="仿宋" w:hAnsi="仿宋" w:eastAsia="仿宋"/>
                <w:bCs/>
                <w:sz w:val="28"/>
                <w:szCs w:val="28"/>
              </w:rPr>
              <w:t>是否住宿</w:t>
            </w:r>
          </w:p>
        </w:tc>
        <w:tc>
          <w:tcPr>
            <w:tcW w:w="1939" w:type="dxa"/>
            <w:gridSpan w:val="4"/>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sz w:val="28"/>
                <w:szCs w:val="28"/>
              </w:rPr>
            </w:pPr>
            <w:r>
              <w:rPr>
                <w:rFonts w:hint="eastAsia" w:ascii="仿宋" w:hAnsi="仿宋" w:eastAsia="仿宋"/>
                <w:bCs/>
                <w:sz w:val="28"/>
                <w:szCs w:val="28"/>
              </w:rPr>
              <w:t>是口否口</w:t>
            </w:r>
          </w:p>
        </w:tc>
        <w:tc>
          <w:tcPr>
            <w:tcW w:w="1503" w:type="dxa"/>
            <w:gridSpan w:val="2"/>
            <w:tcBorders>
              <w:top w:val="single" w:color="auto" w:sz="4" w:space="0"/>
              <w:left w:val="single" w:color="auto" w:sz="4" w:space="0"/>
              <w:bottom w:val="single" w:color="auto" w:sz="4" w:space="0"/>
              <w:right w:val="single" w:color="auto" w:sz="4" w:space="0"/>
            </w:tcBorders>
            <w:vAlign w:val="center"/>
          </w:tcPr>
          <w:p>
            <w:pPr>
              <w:ind w:firstLine="140" w:firstLineChars="50"/>
              <w:rPr>
                <w:rFonts w:ascii="仿宋" w:hAnsi="仿宋" w:eastAsia="仿宋"/>
                <w:bCs/>
                <w:sz w:val="28"/>
                <w:szCs w:val="28"/>
              </w:rPr>
            </w:pPr>
            <w:r>
              <w:rPr>
                <w:rFonts w:hint="eastAsia" w:ascii="仿宋" w:hAnsi="仿宋" w:eastAsia="仿宋"/>
                <w:bCs/>
                <w:sz w:val="28"/>
                <w:szCs w:val="28"/>
              </w:rPr>
              <w:t>住宿要求</w:t>
            </w:r>
          </w:p>
        </w:tc>
        <w:tc>
          <w:tcPr>
            <w:tcW w:w="4847" w:type="dxa"/>
            <w:gridSpan w:val="5"/>
            <w:tcBorders>
              <w:top w:val="single" w:color="auto" w:sz="4" w:space="0"/>
              <w:left w:val="single" w:color="auto" w:sz="4" w:space="0"/>
              <w:bottom w:val="single" w:color="auto" w:sz="4" w:space="0"/>
              <w:right w:val="single" w:color="auto" w:sz="4" w:space="0"/>
            </w:tcBorders>
            <w:vAlign w:val="center"/>
          </w:tcPr>
          <w:p>
            <w:pPr>
              <w:rPr>
                <w:rFonts w:ascii="仿宋" w:hAnsi="仿宋" w:eastAsia="仿宋"/>
                <w:bCs/>
                <w:sz w:val="28"/>
                <w:szCs w:val="28"/>
              </w:rPr>
            </w:pPr>
            <w:r>
              <w:rPr>
                <w:rFonts w:hint="eastAsia" w:ascii="仿宋" w:hAnsi="仿宋" w:eastAsia="仿宋"/>
                <w:bCs/>
                <w:sz w:val="28"/>
                <w:szCs w:val="28"/>
              </w:rPr>
              <w:t>单住口（需另补床位费）合住口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7"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bCs/>
                <w:sz w:val="28"/>
                <w:szCs w:val="28"/>
              </w:rPr>
            </w:pPr>
            <w:r>
              <w:rPr>
                <w:rFonts w:hint="eastAsia" w:ascii="仿宋" w:hAnsi="仿宋" w:eastAsia="仿宋"/>
                <w:bCs/>
                <w:sz w:val="28"/>
                <w:szCs w:val="28"/>
              </w:rPr>
              <w:t>指定收款账户</w:t>
            </w:r>
          </w:p>
        </w:tc>
        <w:tc>
          <w:tcPr>
            <w:tcW w:w="8289" w:type="dxa"/>
            <w:gridSpan w:val="11"/>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单位全称: 北京中企海德信息咨询中心 </w:t>
            </w:r>
          </w:p>
          <w:p>
            <w:pPr>
              <w:spacing w:line="3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开户行：建行北京恩济支行营业部 </w:t>
            </w:r>
          </w:p>
          <w:p>
            <w:pPr>
              <w:spacing w:line="34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帐户： 11050164520000000324 </w:t>
            </w:r>
          </w:p>
          <w:p>
            <w:pPr>
              <w:spacing w:line="340" w:lineRule="exact"/>
              <w:rPr>
                <w:rFonts w:ascii="仿宋" w:hAnsi="仿宋" w:eastAsia="仿宋"/>
                <w:b/>
                <w:bCs/>
                <w:sz w:val="28"/>
                <w:szCs w:val="28"/>
              </w:rPr>
            </w:pPr>
            <w:r>
              <w:rPr>
                <w:rFonts w:hint="eastAsia" w:ascii="仿宋_GB2312" w:hAnsi="宋体" w:eastAsia="仿宋_GB2312"/>
                <w:color w:val="000000"/>
                <w:sz w:val="28"/>
                <w:szCs w:val="28"/>
              </w:rPr>
              <w:t>行号:  105100006056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0" w:hRule="atLeast"/>
        </w:trPr>
        <w:tc>
          <w:tcPr>
            <w:tcW w:w="1435"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 w:hAnsi="仿宋" w:eastAsia="仿宋"/>
                <w:bCs/>
                <w:sz w:val="28"/>
                <w:szCs w:val="28"/>
              </w:rPr>
            </w:pPr>
            <w:r>
              <w:rPr>
                <w:rFonts w:hint="eastAsia" w:ascii="仿宋" w:hAnsi="仿宋" w:eastAsia="仿宋"/>
                <w:bCs/>
                <w:sz w:val="28"/>
                <w:szCs w:val="28"/>
              </w:rPr>
              <w:t>备注</w:t>
            </w:r>
          </w:p>
        </w:tc>
        <w:tc>
          <w:tcPr>
            <w:tcW w:w="4715" w:type="dxa"/>
            <w:gridSpan w:val="8"/>
            <w:tcBorders>
              <w:top w:val="single" w:color="auto" w:sz="4" w:space="0"/>
              <w:left w:val="single" w:color="auto" w:sz="4" w:space="0"/>
              <w:bottom w:val="single" w:color="auto" w:sz="4" w:space="0"/>
              <w:right w:val="single" w:color="auto" w:sz="4" w:space="0"/>
            </w:tcBorders>
            <w:vAlign w:val="center"/>
          </w:tcPr>
          <w:p>
            <w:pPr>
              <w:spacing w:line="340" w:lineRule="exact"/>
              <w:rPr>
                <w:rFonts w:ascii="仿宋" w:hAnsi="仿宋" w:eastAsia="仿宋"/>
                <w:bCs/>
                <w:sz w:val="28"/>
                <w:szCs w:val="28"/>
              </w:rPr>
            </w:pPr>
            <w:r>
              <w:rPr>
                <w:rFonts w:hint="eastAsia" w:ascii="仿宋" w:hAnsi="仿宋" w:eastAsia="仿宋"/>
                <w:bCs/>
                <w:sz w:val="28"/>
                <w:szCs w:val="28"/>
              </w:rPr>
              <w:t>请参培单位将报名回执表通过传真或E-mail发至会务组。在报名后3日内将培训费通过银行或邮局等方式汇出，会务组确认到款后即发《报到通知》，详告报到时间、报到地点、食宿等具体安排。</w:t>
            </w:r>
          </w:p>
        </w:tc>
        <w:tc>
          <w:tcPr>
            <w:tcW w:w="3574" w:type="dxa"/>
            <w:gridSpan w:val="3"/>
            <w:tcBorders>
              <w:top w:val="single" w:color="auto" w:sz="4" w:space="0"/>
              <w:left w:val="single" w:color="auto" w:sz="4" w:space="0"/>
              <w:bottom w:val="single" w:color="auto" w:sz="4" w:space="0"/>
              <w:right w:val="single" w:color="auto" w:sz="4" w:space="0"/>
            </w:tcBorders>
          </w:tcPr>
          <w:p>
            <w:pPr>
              <w:spacing w:line="340" w:lineRule="exact"/>
              <w:rPr>
                <w:rFonts w:ascii="仿宋" w:hAnsi="仿宋" w:eastAsia="仿宋" w:cs="Times New Roman"/>
                <w:bCs/>
                <w:sz w:val="28"/>
                <w:szCs w:val="28"/>
              </w:rPr>
            </w:pPr>
          </w:p>
          <w:p>
            <w:pPr>
              <w:spacing w:line="340" w:lineRule="exact"/>
              <w:rPr>
                <w:rFonts w:ascii="仿宋" w:hAnsi="仿宋" w:eastAsia="仿宋"/>
                <w:bCs/>
                <w:sz w:val="28"/>
                <w:szCs w:val="28"/>
              </w:rPr>
            </w:pPr>
          </w:p>
          <w:p>
            <w:pPr>
              <w:spacing w:line="340" w:lineRule="exact"/>
              <w:ind w:firstLine="980" w:firstLineChars="350"/>
              <w:rPr>
                <w:rFonts w:ascii="仿宋" w:hAnsi="仿宋" w:eastAsia="仿宋"/>
                <w:bCs/>
                <w:sz w:val="28"/>
                <w:szCs w:val="28"/>
              </w:rPr>
            </w:pPr>
            <w:r>
              <w:rPr>
                <w:rFonts w:hint="eastAsia" w:ascii="仿宋" w:hAnsi="仿宋" w:eastAsia="仿宋"/>
                <w:bCs/>
                <w:sz w:val="28"/>
                <w:szCs w:val="28"/>
              </w:rPr>
              <w:t>单位印章</w:t>
            </w:r>
          </w:p>
          <w:p>
            <w:pPr>
              <w:spacing w:line="340" w:lineRule="exact"/>
              <w:ind w:firstLine="840" w:firstLineChars="300"/>
              <w:rPr>
                <w:rFonts w:ascii="仿宋" w:hAnsi="仿宋" w:eastAsia="仿宋"/>
                <w:bCs/>
                <w:sz w:val="28"/>
                <w:szCs w:val="28"/>
              </w:rPr>
            </w:pPr>
          </w:p>
          <w:p>
            <w:pPr>
              <w:spacing w:line="340" w:lineRule="exact"/>
              <w:ind w:firstLine="1120" w:firstLineChars="400"/>
              <w:rPr>
                <w:rFonts w:ascii="仿宋" w:hAnsi="仿宋" w:eastAsia="仿宋"/>
                <w:bCs/>
                <w:sz w:val="28"/>
                <w:szCs w:val="28"/>
              </w:rPr>
            </w:pPr>
            <w:r>
              <w:rPr>
                <w:rFonts w:hint="eastAsia" w:ascii="仿宋" w:hAnsi="仿宋" w:eastAsia="仿宋"/>
                <w:bCs/>
                <w:sz w:val="28"/>
                <w:szCs w:val="28"/>
              </w:rPr>
              <w:t>年  月 日</w:t>
            </w:r>
          </w:p>
        </w:tc>
      </w:tr>
    </w:tbl>
    <w:p>
      <w:pPr>
        <w:spacing w:line="400" w:lineRule="exact"/>
        <w:ind w:firstLine="138" w:firstLineChars="49"/>
        <w:rPr>
          <w:rFonts w:ascii="仿宋" w:hAnsi="仿宋" w:eastAsia="仿宋" w:cs="Times New Roman"/>
          <w:bCs/>
          <w:sz w:val="28"/>
          <w:szCs w:val="28"/>
        </w:rPr>
      </w:pPr>
      <w:r>
        <w:rPr>
          <w:rFonts w:hint="eastAsia" w:ascii="宋体" w:hAnsi="宋体"/>
          <w:b/>
          <w:bCs/>
          <w:sz w:val="28"/>
          <w:szCs w:val="28"/>
        </w:rPr>
        <w:t>注：</w:t>
      </w:r>
      <w:r>
        <w:rPr>
          <w:rFonts w:hint="eastAsia" w:ascii="仿宋" w:hAnsi="仿宋" w:eastAsia="仿宋"/>
          <w:bCs/>
          <w:sz w:val="28"/>
          <w:szCs w:val="28"/>
        </w:rPr>
        <w:t>1、此表可复制，通知文件有限，请协助转发；</w:t>
      </w:r>
    </w:p>
    <w:p>
      <w:pPr>
        <w:spacing w:line="400" w:lineRule="exact"/>
        <w:rPr>
          <w:rFonts w:ascii="仿宋" w:hAnsi="仿宋" w:eastAsia="仿宋"/>
          <w:bCs/>
          <w:sz w:val="28"/>
          <w:szCs w:val="28"/>
        </w:rPr>
      </w:pPr>
      <w:r>
        <w:rPr>
          <w:rFonts w:hint="eastAsia" w:ascii="仿宋" w:hAnsi="仿宋" w:eastAsia="仿宋"/>
          <w:bCs/>
          <w:sz w:val="28"/>
          <w:szCs w:val="28"/>
        </w:rPr>
        <w:t xml:space="preserve">     2、欢迎参会代表携带相关资料、案例赴会与专家交流学习</w:t>
      </w:r>
    </w:p>
    <w:p>
      <w:pPr>
        <w:spacing w:line="400" w:lineRule="exact"/>
        <w:rPr>
          <w:rFonts w:hint="eastAsia" w:ascii="仿宋" w:hAnsi="仿宋" w:eastAsia="仿宋"/>
          <w:bCs/>
          <w:sz w:val="28"/>
          <w:szCs w:val="28"/>
        </w:rPr>
      </w:pPr>
      <w:r>
        <w:rPr>
          <w:rFonts w:hint="eastAsia" w:ascii="仿宋" w:hAnsi="仿宋" w:eastAsia="仿宋"/>
          <w:bCs/>
          <w:sz w:val="28"/>
          <w:szCs w:val="28"/>
        </w:rPr>
        <w:t xml:space="preserve">     3、为保证培训质量培训班名额有限，额满为止，请确定人员后及时报名。报名联系人：聂主任 18211071700（微信）        邮  箱：zqgphwz@126.com</w:t>
      </w:r>
    </w:p>
    <w:p>
      <w:pPr>
        <w:spacing w:line="400" w:lineRule="exact"/>
        <w:rPr>
          <w:rFonts w:hint="eastAsia" w:ascii="仿宋" w:hAnsi="仿宋" w:eastAsia="仿宋"/>
          <w:bCs/>
          <w:sz w:val="28"/>
          <w:szCs w:val="28"/>
        </w:rPr>
      </w:pPr>
      <w:r>
        <w:rPr>
          <w:rFonts w:hint="eastAsia" w:ascii="仿宋" w:hAnsi="仿宋" w:eastAsia="仿宋"/>
          <w:bCs/>
          <w:sz w:val="28"/>
          <w:szCs w:val="28"/>
        </w:rPr>
        <w:t xml:space="preserve">电话（传真）：010-87697580                  qq咨询：3177524020   </w:t>
      </w:r>
    </w:p>
    <w:p>
      <w:pPr>
        <w:spacing w:line="400" w:lineRule="exact"/>
        <w:rPr>
          <w:rFonts w:hint="eastAsia" w:ascii="仿宋" w:hAnsi="仿宋" w:eastAsia="仿宋"/>
          <w:bCs/>
          <w:sz w:val="28"/>
          <w:szCs w:val="28"/>
        </w:rPr>
      </w:pPr>
      <w:r>
        <w:rPr>
          <w:rFonts w:hint="eastAsia" w:ascii="仿宋" w:hAnsi="仿宋" w:eastAsia="仿宋"/>
          <w:bCs/>
          <w:sz w:val="28"/>
          <w:szCs w:val="28"/>
        </w:rPr>
        <w:t xml:space="preserve">网址查询：http://www.zqgpchina.cn/ </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62042"/>
      <w:docPartObj>
        <w:docPartGallery w:val="autotext"/>
      </w:docPartObj>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CC22B"/>
    <w:multiLevelType w:val="singleLevel"/>
    <w:tmpl w:val="86ACC22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87"/>
    <w:rsid w:val="0004318C"/>
    <w:rsid w:val="000574A8"/>
    <w:rsid w:val="00073D15"/>
    <w:rsid w:val="000A13F4"/>
    <w:rsid w:val="000B0529"/>
    <w:rsid w:val="000B6407"/>
    <w:rsid w:val="000E5344"/>
    <w:rsid w:val="000E6192"/>
    <w:rsid w:val="000F0685"/>
    <w:rsid w:val="000F3229"/>
    <w:rsid w:val="000F6C91"/>
    <w:rsid w:val="001065B7"/>
    <w:rsid w:val="0012031F"/>
    <w:rsid w:val="00120A13"/>
    <w:rsid w:val="00152303"/>
    <w:rsid w:val="00155A3C"/>
    <w:rsid w:val="0016179A"/>
    <w:rsid w:val="00163636"/>
    <w:rsid w:val="00175B37"/>
    <w:rsid w:val="001969A3"/>
    <w:rsid w:val="001D6C88"/>
    <w:rsid w:val="001F2CE9"/>
    <w:rsid w:val="001F5869"/>
    <w:rsid w:val="0023745E"/>
    <w:rsid w:val="0024371C"/>
    <w:rsid w:val="00286501"/>
    <w:rsid w:val="00290A0A"/>
    <w:rsid w:val="002B2E5E"/>
    <w:rsid w:val="002C4FFE"/>
    <w:rsid w:val="002D1B03"/>
    <w:rsid w:val="002E06E9"/>
    <w:rsid w:val="002F1C07"/>
    <w:rsid w:val="002F238B"/>
    <w:rsid w:val="003019C3"/>
    <w:rsid w:val="00337420"/>
    <w:rsid w:val="003419AA"/>
    <w:rsid w:val="0035289B"/>
    <w:rsid w:val="00353116"/>
    <w:rsid w:val="0035356A"/>
    <w:rsid w:val="003633EA"/>
    <w:rsid w:val="003712AC"/>
    <w:rsid w:val="00371EB7"/>
    <w:rsid w:val="00371EE2"/>
    <w:rsid w:val="0037379E"/>
    <w:rsid w:val="003833EF"/>
    <w:rsid w:val="003868FB"/>
    <w:rsid w:val="003A5439"/>
    <w:rsid w:val="003B2FE3"/>
    <w:rsid w:val="003D34F6"/>
    <w:rsid w:val="0044147F"/>
    <w:rsid w:val="004418C8"/>
    <w:rsid w:val="00444964"/>
    <w:rsid w:val="00446100"/>
    <w:rsid w:val="00470AA7"/>
    <w:rsid w:val="004855C9"/>
    <w:rsid w:val="00496042"/>
    <w:rsid w:val="004C1886"/>
    <w:rsid w:val="004C312A"/>
    <w:rsid w:val="004D6222"/>
    <w:rsid w:val="00504C13"/>
    <w:rsid w:val="00504EFA"/>
    <w:rsid w:val="00506062"/>
    <w:rsid w:val="0052617F"/>
    <w:rsid w:val="00540BE6"/>
    <w:rsid w:val="00552D59"/>
    <w:rsid w:val="00553543"/>
    <w:rsid w:val="00574B62"/>
    <w:rsid w:val="0057511C"/>
    <w:rsid w:val="00587400"/>
    <w:rsid w:val="0058791F"/>
    <w:rsid w:val="005A1711"/>
    <w:rsid w:val="005C5651"/>
    <w:rsid w:val="005C5887"/>
    <w:rsid w:val="005F012D"/>
    <w:rsid w:val="005F25DE"/>
    <w:rsid w:val="00604726"/>
    <w:rsid w:val="00605A57"/>
    <w:rsid w:val="006262E8"/>
    <w:rsid w:val="00654AF1"/>
    <w:rsid w:val="00655586"/>
    <w:rsid w:val="00656983"/>
    <w:rsid w:val="00662D62"/>
    <w:rsid w:val="00667874"/>
    <w:rsid w:val="00673280"/>
    <w:rsid w:val="00686C9D"/>
    <w:rsid w:val="00690C63"/>
    <w:rsid w:val="006A14CA"/>
    <w:rsid w:val="006B1DC5"/>
    <w:rsid w:val="006C094E"/>
    <w:rsid w:val="006C33C6"/>
    <w:rsid w:val="00701781"/>
    <w:rsid w:val="0071049A"/>
    <w:rsid w:val="007142BC"/>
    <w:rsid w:val="007148C2"/>
    <w:rsid w:val="00716259"/>
    <w:rsid w:val="007409F2"/>
    <w:rsid w:val="00746644"/>
    <w:rsid w:val="007520C0"/>
    <w:rsid w:val="00752861"/>
    <w:rsid w:val="007721FD"/>
    <w:rsid w:val="007A5F15"/>
    <w:rsid w:val="007A5F6B"/>
    <w:rsid w:val="007D35E8"/>
    <w:rsid w:val="007F5C55"/>
    <w:rsid w:val="008213B2"/>
    <w:rsid w:val="00837DBA"/>
    <w:rsid w:val="00851346"/>
    <w:rsid w:val="008524F5"/>
    <w:rsid w:val="00852AFF"/>
    <w:rsid w:val="00855C94"/>
    <w:rsid w:val="00886E3E"/>
    <w:rsid w:val="008C18A8"/>
    <w:rsid w:val="008E3DBB"/>
    <w:rsid w:val="009344F1"/>
    <w:rsid w:val="0095282F"/>
    <w:rsid w:val="00953D17"/>
    <w:rsid w:val="00954765"/>
    <w:rsid w:val="0095534F"/>
    <w:rsid w:val="00955831"/>
    <w:rsid w:val="00955932"/>
    <w:rsid w:val="0095751B"/>
    <w:rsid w:val="009601DF"/>
    <w:rsid w:val="0096785B"/>
    <w:rsid w:val="00972AF4"/>
    <w:rsid w:val="00977B7D"/>
    <w:rsid w:val="00980C73"/>
    <w:rsid w:val="00993998"/>
    <w:rsid w:val="009B285C"/>
    <w:rsid w:val="009B3E67"/>
    <w:rsid w:val="009E6ECB"/>
    <w:rsid w:val="00A405A2"/>
    <w:rsid w:val="00A46EDC"/>
    <w:rsid w:val="00A6192F"/>
    <w:rsid w:val="00A73AA6"/>
    <w:rsid w:val="00A73F73"/>
    <w:rsid w:val="00A761C5"/>
    <w:rsid w:val="00A81D13"/>
    <w:rsid w:val="00AA5971"/>
    <w:rsid w:val="00AC1E29"/>
    <w:rsid w:val="00AC69BF"/>
    <w:rsid w:val="00AD55EC"/>
    <w:rsid w:val="00AF11B2"/>
    <w:rsid w:val="00B01F58"/>
    <w:rsid w:val="00B2394B"/>
    <w:rsid w:val="00B26500"/>
    <w:rsid w:val="00B50592"/>
    <w:rsid w:val="00B62450"/>
    <w:rsid w:val="00B65384"/>
    <w:rsid w:val="00B926C1"/>
    <w:rsid w:val="00BA1618"/>
    <w:rsid w:val="00BA5BA9"/>
    <w:rsid w:val="00BB0BCA"/>
    <w:rsid w:val="00BB2DBD"/>
    <w:rsid w:val="00BF24CF"/>
    <w:rsid w:val="00BF47DA"/>
    <w:rsid w:val="00BF5CF4"/>
    <w:rsid w:val="00BF5DA5"/>
    <w:rsid w:val="00BF613D"/>
    <w:rsid w:val="00C02D08"/>
    <w:rsid w:val="00C06B62"/>
    <w:rsid w:val="00C12F68"/>
    <w:rsid w:val="00C17C68"/>
    <w:rsid w:val="00C54084"/>
    <w:rsid w:val="00C648F1"/>
    <w:rsid w:val="00C91F3D"/>
    <w:rsid w:val="00C92AFF"/>
    <w:rsid w:val="00CC28AB"/>
    <w:rsid w:val="00CC62A9"/>
    <w:rsid w:val="00CE2B79"/>
    <w:rsid w:val="00CF53E2"/>
    <w:rsid w:val="00CF6784"/>
    <w:rsid w:val="00D065A6"/>
    <w:rsid w:val="00D24775"/>
    <w:rsid w:val="00D31234"/>
    <w:rsid w:val="00D32169"/>
    <w:rsid w:val="00D40D6B"/>
    <w:rsid w:val="00D45149"/>
    <w:rsid w:val="00D5171E"/>
    <w:rsid w:val="00D667B4"/>
    <w:rsid w:val="00D77D32"/>
    <w:rsid w:val="00D8779D"/>
    <w:rsid w:val="00D97FE3"/>
    <w:rsid w:val="00DA23FE"/>
    <w:rsid w:val="00DC5E18"/>
    <w:rsid w:val="00DF6DEA"/>
    <w:rsid w:val="00E072A6"/>
    <w:rsid w:val="00E14D64"/>
    <w:rsid w:val="00E270FB"/>
    <w:rsid w:val="00E45CFF"/>
    <w:rsid w:val="00E61EBF"/>
    <w:rsid w:val="00E66DBC"/>
    <w:rsid w:val="00E82020"/>
    <w:rsid w:val="00EB1E0A"/>
    <w:rsid w:val="00ED76DB"/>
    <w:rsid w:val="00EE021B"/>
    <w:rsid w:val="00EF4022"/>
    <w:rsid w:val="00F03A9D"/>
    <w:rsid w:val="00F12173"/>
    <w:rsid w:val="00F37D3B"/>
    <w:rsid w:val="00F44496"/>
    <w:rsid w:val="00F47CC8"/>
    <w:rsid w:val="00F47DF7"/>
    <w:rsid w:val="00F5318F"/>
    <w:rsid w:val="00F57710"/>
    <w:rsid w:val="00F6297D"/>
    <w:rsid w:val="00F8102B"/>
    <w:rsid w:val="00F878E5"/>
    <w:rsid w:val="00FA1988"/>
    <w:rsid w:val="00FC048A"/>
    <w:rsid w:val="00FD0B30"/>
    <w:rsid w:val="00FD71FB"/>
    <w:rsid w:val="00FE6E2F"/>
    <w:rsid w:val="08ED7A00"/>
    <w:rsid w:val="1D651AF4"/>
    <w:rsid w:val="24E37408"/>
    <w:rsid w:val="260E3846"/>
    <w:rsid w:val="2B8D6D5E"/>
    <w:rsid w:val="304E23EB"/>
    <w:rsid w:val="310C29E7"/>
    <w:rsid w:val="357E36E4"/>
    <w:rsid w:val="36FF0DDC"/>
    <w:rsid w:val="3A985790"/>
    <w:rsid w:val="4F4F3DDC"/>
    <w:rsid w:val="536126E9"/>
    <w:rsid w:val="55730C5E"/>
    <w:rsid w:val="5ADD6AB4"/>
    <w:rsid w:val="6AB828C1"/>
    <w:rsid w:val="70B9312D"/>
    <w:rsid w:val="7B752B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autoSpaceDE w:val="0"/>
      <w:autoSpaceDN w:val="0"/>
      <w:adjustRightInd w:val="0"/>
      <w:ind w:left="540" w:hanging="540"/>
      <w:jc w:val="left"/>
      <w:outlineLvl w:val="0"/>
    </w:pPr>
    <w:rPr>
      <w:rFonts w:ascii="Times New Roman" w:hAnsi="Times New Roman" w:cs="Times New Roman"/>
      <w:color w:val="000000"/>
      <w:kern w:val="24"/>
      <w:sz w:val="64"/>
      <w:szCs w:val="64"/>
      <w:lang w:val="zh-CN"/>
    </w:rPr>
  </w:style>
  <w:style w:type="paragraph" w:styleId="3">
    <w:name w:val="heading 2"/>
    <w:basedOn w:val="1"/>
    <w:next w:val="1"/>
    <w:link w:val="18"/>
    <w:qFormat/>
    <w:uiPriority w:val="99"/>
    <w:pPr>
      <w:autoSpaceDE w:val="0"/>
      <w:autoSpaceDN w:val="0"/>
      <w:adjustRightInd w:val="0"/>
      <w:ind w:left="1170" w:hanging="450"/>
      <w:jc w:val="left"/>
      <w:outlineLvl w:val="1"/>
    </w:pPr>
    <w:rPr>
      <w:rFonts w:ascii="Times New Roman" w:hAnsi="Times New Roman" w:cs="Times New Roman"/>
      <w:color w:val="000000"/>
      <w:kern w:val="24"/>
      <w:sz w:val="56"/>
      <w:szCs w:val="56"/>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qFormat/>
    <w:uiPriority w:val="0"/>
    <w:rPr>
      <w:rFonts w:cs="Times New Roman"/>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customStyle="1" w:styleId="15">
    <w:name w:val="列出段落1"/>
    <w:basedOn w:val="1"/>
    <w:qFormat/>
    <w:uiPriority w:val="99"/>
    <w:pPr>
      <w:ind w:firstLine="420" w:firstLineChars="200"/>
    </w:pPr>
    <w:rPr>
      <w:rFonts w:ascii="Times New Roman" w:hAnsi="Times New Roman" w:eastAsia="宋体" w:cs="Times New Roman"/>
    </w:rPr>
  </w:style>
  <w:style w:type="paragraph" w:styleId="16">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7">
    <w:name w:val="标题 1 Char"/>
    <w:basedOn w:val="10"/>
    <w:link w:val="2"/>
    <w:qFormat/>
    <w:uiPriority w:val="9"/>
    <w:rPr>
      <w:rFonts w:ascii="Times New Roman" w:hAnsi="Times New Roman" w:cs="Times New Roman"/>
      <w:color w:val="000000"/>
      <w:kern w:val="24"/>
      <w:sz w:val="64"/>
      <w:szCs w:val="64"/>
      <w:lang w:val="zh-CN"/>
    </w:rPr>
  </w:style>
  <w:style w:type="character" w:customStyle="1" w:styleId="18">
    <w:name w:val="标题 2 Char"/>
    <w:basedOn w:val="10"/>
    <w:link w:val="3"/>
    <w:qFormat/>
    <w:uiPriority w:val="99"/>
    <w:rPr>
      <w:rFonts w:ascii="Times New Roman" w:hAnsi="Times New Roman" w:cs="Times New Roman"/>
      <w:color w:val="000000"/>
      <w:kern w:val="24"/>
      <w:sz w:val="56"/>
      <w:szCs w:val="56"/>
      <w:lang w:val="zh-CN"/>
    </w:rPr>
  </w:style>
  <w:style w:type="paragraph" w:customStyle="1" w:styleId="19">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Default"/>
    <w:qFormat/>
    <w:uiPriority w:val="0"/>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character" w:customStyle="1" w:styleId="21">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A24E6-8FE9-43B7-816E-58B90F3E4993}">
  <ds:schemaRefs/>
</ds:datastoreItem>
</file>

<file path=docProps/app.xml><?xml version="1.0" encoding="utf-8"?>
<Properties xmlns="http://schemas.openxmlformats.org/officeDocument/2006/extended-properties" xmlns:vt="http://schemas.openxmlformats.org/officeDocument/2006/docPropsVTypes">
  <Template>Normal</Template>
  <Company>中国</Company>
  <Pages>5</Pages>
  <Words>832</Words>
  <Characters>4745</Characters>
  <Lines>39</Lines>
  <Paragraphs>11</Paragraphs>
  <TotalTime>12</TotalTime>
  <ScaleCrop>false</ScaleCrop>
  <LinksUpToDate>false</LinksUpToDate>
  <CharactersWithSpaces>5566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2018-09-18T07:14:00Z</dcterms:created>
  <dc:creator>linzhenggang</dc:creator>
  <cp:lastModifiedBy>Administrator</cp:lastModifiedBy>
  <cp:lastPrinted>2018-09-18T07:24:00Z</cp:lastPrinted>
  <dcterms:modified xsi:type="dcterms:W3CDTF">2019-03-27T04:57:34Z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