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cs="黑体"/>
          <w:sz w:val="32"/>
          <w:szCs w:val="32"/>
        </w:rPr>
      </w:pPr>
    </w:p>
    <w:p>
      <w:pPr>
        <w:adjustRightInd w:val="0"/>
        <w:snapToGrid w:val="0"/>
        <w:spacing w:line="240" w:lineRule="atLeast"/>
        <w:jc w:val="center"/>
        <w:rPr>
          <w:rFonts w:ascii="仿宋" w:hAnsi="仿宋" w:eastAsia="仿宋" w:cs="仿宋_GB2312"/>
          <w:b/>
          <w:color w:val="FF0000"/>
          <w:sz w:val="72"/>
          <w:szCs w:val="72"/>
        </w:rPr>
      </w:pPr>
      <w:r>
        <w:rPr>
          <w:rFonts w:hint="eastAsia" w:ascii="仿宋" w:hAnsi="仿宋" w:eastAsia="仿宋" w:cs="仿宋_GB2312"/>
          <w:b/>
          <w:color w:val="FF0000"/>
          <w:sz w:val="72"/>
          <w:szCs w:val="72"/>
        </w:rPr>
        <w:t>中国国际工程咨询协会</w:t>
      </w:r>
    </w:p>
    <w:p>
      <w:pPr>
        <w:adjustRightInd w:val="0"/>
        <w:snapToGrid w:val="0"/>
        <w:spacing w:line="300" w:lineRule="exact"/>
        <w:jc w:val="center"/>
        <w:rPr>
          <w:rFonts w:ascii="仿宋" w:hAnsi="仿宋" w:eastAsia="仿宋" w:cs="仿宋_GB2312"/>
          <w:color w:val="000000"/>
          <w:spacing w:val="-12"/>
          <w:sz w:val="28"/>
          <w:szCs w:val="28"/>
        </w:rPr>
      </w:pPr>
      <w:r>
        <w:rPr>
          <w:rFonts w:hint="eastAsia" w:ascii="仿宋" w:hAnsi="仿宋" w:eastAsia="仿宋" w:cs="仿宋_GB2312"/>
          <w:color w:val="000000"/>
          <w:spacing w:val="-12"/>
          <w:sz w:val="28"/>
          <w:szCs w:val="28"/>
        </w:rPr>
        <w:t>商咨协字[2020]023号</w:t>
      </w:r>
    </w:p>
    <w:p>
      <w:pPr>
        <w:spacing w:line="400" w:lineRule="exact"/>
        <w:jc w:val="center"/>
        <w:rPr>
          <w:rFonts w:ascii="黑体" w:hAnsi="黑体" w:eastAsia="黑体" w:cs="黑体"/>
          <w:sz w:val="32"/>
          <w:szCs w:val="32"/>
        </w:rPr>
      </w:pPr>
      <w:r>
        <w:rPr>
          <w:rFonts w:eastAsia="楷体"/>
          <w:color w:val="000000"/>
          <w:sz w:val="28"/>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175260</wp:posOffset>
                </wp:positionV>
                <wp:extent cx="6080760" cy="254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080760" cy="2540"/>
                        </a:xfrm>
                        <a:prstGeom prst="line">
                          <a:avLst/>
                        </a:prstGeom>
                        <a:noFill/>
                        <a:ln w="28575" cmpd="sng">
                          <a:solidFill>
                            <a:srgbClr val="FF0000"/>
                          </a:solidFill>
                          <a:round/>
                        </a:ln>
                        <a:effectLst/>
                      </wps:spPr>
                      <wps:bodyPr/>
                    </wps:wsp>
                  </a:graphicData>
                </a:graphic>
              </wp:anchor>
            </w:drawing>
          </mc:Choice>
          <mc:Fallback>
            <w:pict>
              <v:line id="_x0000_s1026" o:spid="_x0000_s1026" o:spt="20" style="position:absolute;left:0pt;margin-left:0.9pt;margin-top:13.8pt;height:0.2pt;width:478.8pt;z-index:251659264;mso-width-relative:page;mso-height-relative:page;" filled="f" stroked="t" coordsize="21600,21600" o:gfxdata="UEsDBAoAAAAAAIdO4kAAAAAAAAAAAAAAAAAEAAAAZHJzL1BLAwQUAAAACACHTuJAKg4tptQAAAAH&#10;AQAADwAAAGRycy9kb3ducmV2LnhtbE2Oy07DMBBF90j8gzVI7KjdCEoa4lSAYIeECI9u3XiIo8bj&#10;KHbT9O8ZVrC8D917ys3sezHhGLtAGpYLBQKpCbajVsPH+/NVDiImQ9b0gVDDCSNsqvOz0hQ2HOkN&#10;pzq1gkcoFkaDS2kopIyNQ2/iIgxInH2H0ZvEcmylHc2Rx30vM6VW0puO+MGZAR8dNvv64DXMX/m9&#10;276kh6fw+er287b2U3bS+vJiqe5AJJzTXxl+8RkdKmbahQPZKHrWDJ40ZLcrEByvb9bXIHZs5Apk&#10;Vcr//NUPUEsDBBQAAAAIAIdO4kBYjXS43AEAAHkDAAAOAAAAZHJzL2Uyb0RvYy54bWytU81uEzEQ&#10;viPxDpbvZDcpSaNVNj2kCpcCkVoewLG9uxa2x7KdbPISvAASNzhx5N63oTwGY+enLdwQOYxiz8zn&#10;b75vdna1M5pspQ8KbE2Hg5ISaTkIZduafrhbvppSEiKzgmmwsqZ7GejV/OWLWe8qOYIOtJCeIIgN&#10;Ve9q2sXoqqIIvJOGhQE4aTHZgDcs4tG3hfCsR3Sji1FZTooevHAeuAwBb68PSTrP+E0jeXzfNEFG&#10;omuK3GKOPsd1isV8xqrWM9cpfqTB/oGFYcrio2eoaxYZ2Xj1F5RR3EOAJg44mAKaRnGZZ8BphuUf&#10;09x2zMk8C4oT3Fmm8P9g+bvtyhMlanpBiWUGLXr4/OPnp6+/7r9gfPj+jVwkkXoXKqxd2JVPY/Kd&#10;vXU3wD8GYmHRMdvKTPZu7xBhmDqKZy3pEBw+te7fgsAatomQFds13iRI1ILssjH7szFyFwnHy0k5&#10;LS8n6B/H3Gj8OvtWsOrU63yIbyQYkv7UVCubZGMV296EmLiw6lSSri0sldbZem1Jj5DT8eUY0Y1D&#10;IYJtc3MArUQqTC3Bt+uF9mTLcJGWyxJ/eUjMPC3zsLHi8KC2qU/mHTyyOIlwkHMNYr/yJ6XQ38zz&#10;uItpgZ6es56PX8z8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oOLabUAAAABwEAAA8AAAAAAAAA&#10;AQAgAAAAIgAAAGRycy9kb3ducmV2LnhtbFBLAQIUABQAAAAIAIdO4kBYjXS43AEAAHkDAAAOAAAA&#10;AAAAAAEAIAAAACMBAABkcnMvZTJvRG9jLnhtbFBLBQYAAAAABgAGAFkBAABxBQAAAAA=&#10;">
                <v:fill on="f" focussize="0,0"/>
                <v:stroke weight="2.25pt" color="#FF0000" joinstyle="round"/>
                <v:imagedata o:title=""/>
                <o:lock v:ext="edit" aspectratio="f"/>
              </v:line>
            </w:pict>
          </mc:Fallback>
        </mc:AlternateContent>
      </w:r>
    </w:p>
    <w:p>
      <w:pPr>
        <w:spacing w:line="400" w:lineRule="exact"/>
        <w:jc w:val="center"/>
        <w:rPr>
          <w:rFonts w:ascii="华文中宋" w:hAnsi="华文中宋" w:eastAsia="华文中宋" w:cs="黑体"/>
          <w:b/>
          <w:sz w:val="30"/>
          <w:szCs w:val="30"/>
        </w:rPr>
      </w:pPr>
      <w:r>
        <w:rPr>
          <w:rFonts w:hint="eastAsia" w:ascii="华文中宋" w:hAnsi="华文中宋" w:eastAsia="华文中宋" w:cs="黑体"/>
          <w:b/>
          <w:sz w:val="30"/>
          <w:szCs w:val="30"/>
        </w:rPr>
        <w:t>关于举办新环境下“工程施工合同风险管控、工程总承包全过程管理重点、难点与新版清单下建设项目全过程精细化造价管控及工程结算关键环节”与关键岗位人才培养“在线直播”培训班的通知</w:t>
      </w:r>
    </w:p>
    <w:p>
      <w:pPr>
        <w:adjustRightInd w:val="0"/>
        <w:spacing w:line="340" w:lineRule="exact"/>
        <w:textAlignment w:val="baseline"/>
        <w:rPr>
          <w:rFonts w:ascii="仿宋_GB2312" w:hAnsi="宋体" w:eastAsia="仿宋_GB2312"/>
          <w:b/>
          <w:bCs/>
          <w:color w:val="000000"/>
          <w:kern w:val="0"/>
          <w:sz w:val="28"/>
          <w:szCs w:val="28"/>
        </w:rPr>
      </w:pPr>
      <w:r>
        <w:rPr>
          <w:rFonts w:hint="eastAsia" w:ascii="仿宋_GB2312" w:hAnsi="宋体" w:eastAsia="仿宋_GB2312"/>
          <w:b/>
          <w:bCs/>
          <w:color w:val="000000"/>
          <w:kern w:val="0"/>
          <w:sz w:val="28"/>
          <w:szCs w:val="28"/>
        </w:rPr>
        <w:t>各有关单位</w:t>
      </w:r>
      <w:r>
        <w:rPr>
          <w:rFonts w:ascii="仿宋_GB2312" w:hAnsi="宋体" w:eastAsia="仿宋_GB2312"/>
          <w:b/>
          <w:bCs/>
          <w:color w:val="000000"/>
          <w:kern w:val="0"/>
          <w:sz w:val="28"/>
          <w:szCs w:val="28"/>
        </w:rPr>
        <w:t>:</w:t>
      </w:r>
    </w:p>
    <w:p>
      <w:pPr>
        <w:spacing w:line="340" w:lineRule="exact"/>
        <w:ind w:firstLine="560"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Cs/>
          <w:color w:val="000000"/>
          <w:sz w:val="28"/>
          <w:szCs w:val="28"/>
        </w:rPr>
        <w:t>为贯彻落实国务院办公厅《关于促进建筑业持续健康发展的意见》（国办发</w:t>
      </w:r>
      <w:bookmarkStart w:id="0" w:name="OLE_LINK1"/>
      <w:r>
        <w:rPr>
          <w:rFonts w:hint="eastAsia" w:ascii="仿宋_GB2312" w:hAnsi="仿宋_GB2312" w:eastAsia="仿宋_GB2312" w:cs="仿宋_GB2312"/>
          <w:bCs/>
          <w:color w:val="000000"/>
          <w:sz w:val="28"/>
          <w:szCs w:val="28"/>
        </w:rPr>
        <w:t>〔2017〕</w:t>
      </w:r>
      <w:bookmarkEnd w:id="0"/>
      <w:r>
        <w:rPr>
          <w:rFonts w:hint="eastAsia" w:ascii="仿宋_GB2312" w:hAnsi="仿宋_GB2312" w:eastAsia="仿宋_GB2312" w:cs="仿宋_GB2312"/>
          <w:bCs/>
          <w:color w:val="000000"/>
          <w:sz w:val="28"/>
          <w:szCs w:val="28"/>
        </w:rPr>
        <w:t>19号）关于“要完善工程建设组织模式，加快推行工程总承包；要优化建筑市场环境，建立统一开放市场，加强承包履约管理,完善工程量清单计价体系和工程造价信息发布机制，形成统一的工程造价计价规则，合理确定和有效控制工程造价”的要求，深入学习住建部、国家发改委正式发布的《房屋建筑和市政基础设施项目工程总承包管理办法》（建市规〔2019〕12号以及最高人民法院《关于审理建设工程施工合同纠纷案件适用法律问题的解释（二）》（法释〔2018〕20号）等相关文件精神，针对当下建设工程项目的梳理、工程项目的管理控制、工程过程的索赔与反索赔、工程结算的路径选择、工程价款的有效回笼等一系列相关问题，提高项目管理水平。</w:t>
      </w:r>
      <w:r>
        <w:rPr>
          <w:rFonts w:hint="eastAsia" w:ascii="仿宋_GB2312" w:hAnsi="仿宋_GB2312" w:eastAsia="仿宋_GB2312" w:cs="仿宋_GB2312"/>
          <w:b/>
          <w:bCs/>
          <w:color w:val="000000"/>
          <w:sz w:val="28"/>
          <w:szCs w:val="28"/>
        </w:rPr>
        <w:t>根据当下疫情防控环境，贯彻习近平总书记关于疫情防控工作的重要讲话和指示批示精神，停工不停学，练内功、储能量。</w:t>
      </w:r>
      <w:r>
        <w:rPr>
          <w:rFonts w:hint="eastAsia" w:ascii="仿宋_GB2312" w:hAnsi="仿宋_GB2312" w:eastAsia="仿宋_GB2312" w:cs="仿宋_GB2312"/>
          <w:bCs/>
          <w:color w:val="000000"/>
          <w:sz w:val="28"/>
          <w:szCs w:val="28"/>
        </w:rPr>
        <w:t>我会决定举办新环境下“工程施工合同风险管控、工程总承包全过程管理重点、难点与新版清单下建设项目全过程精细化造价管控及工程结算关键环节”与关键岗位人才培养“在线直播”培训班</w:t>
      </w:r>
      <w:r>
        <w:rPr>
          <w:rFonts w:hint="eastAsia" w:ascii="仿宋_GB2312" w:hAnsi="仿宋_GB2312" w:eastAsia="仿宋_GB2312" w:cs="仿宋_GB2312"/>
          <w:b/>
          <w:color w:val="000000"/>
          <w:sz w:val="28"/>
          <w:szCs w:val="28"/>
        </w:rPr>
        <w:t>。</w:t>
      </w:r>
    </w:p>
    <w:p>
      <w:pPr>
        <w:spacing w:line="34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培训采用线上直播形式，旨在帮助各地方政府建设规划、工程建设、监督管理等部门以及项目建设、勘察、设计、施工、监理单位等相关人员及时学习和掌握工程建设计价、施工合同管理和工程总承包以及全过程咨询等最新政策；厘清项目实施中的重点、难点、焦点，解决实际工作中的困难和疑点，拓宽解决问题的思路和方法；管好用好投资、控制工程造价，提高项目综合管理水平；加强工程总承包项目实施能力，有效防范风险，完善工程项目建设管理制度，从而进一步提升工程建设质量和效益。培训由中国国际工程咨询协会主办，北京博纳金成信息咨询有限公司具体承办，请各单位积极组织本单位及下属单位相关人员参加。</w:t>
      </w:r>
      <w:r>
        <w:rPr>
          <w:rFonts w:ascii="仿宋_GB2312" w:hAnsi="仿宋_GB2312" w:eastAsia="仿宋_GB2312" w:cs="仿宋_GB2312"/>
          <w:bCs/>
          <w:color w:val="000000"/>
          <w:sz w:val="28"/>
          <w:szCs w:val="28"/>
        </w:rPr>
        <w:t xml:space="preserve"> </w:t>
      </w:r>
      <w:r>
        <w:rPr>
          <w:rFonts w:hint="eastAsia" w:ascii="仿宋_GB2312" w:hAnsi="仿宋_GB2312" w:eastAsia="仿宋_GB2312" w:cs="仿宋_GB2312"/>
          <w:bCs/>
          <w:color w:val="000000"/>
          <w:sz w:val="28"/>
          <w:szCs w:val="28"/>
        </w:rPr>
        <w:t>现将有关事宜通知如下：</w:t>
      </w:r>
    </w:p>
    <w:p>
      <w:pPr>
        <w:tabs>
          <w:tab w:val="left" w:pos="567"/>
          <w:tab w:val="left" w:pos="709"/>
        </w:tabs>
        <w:spacing w:line="340" w:lineRule="exact"/>
        <w:textAlignment w:val="baseline"/>
        <w:outlineLvl w:val="0"/>
        <w:rPr>
          <w:rFonts w:ascii="仿宋" w:hAnsi="仿宋" w:eastAsia="仿宋" w:cs="黑体"/>
          <w:b/>
          <w:bCs/>
          <w:color w:val="000000"/>
          <w:sz w:val="28"/>
          <w:szCs w:val="28"/>
        </w:rPr>
      </w:pPr>
      <w:r>
        <w:rPr>
          <w:rFonts w:hint="eastAsia" w:ascii="仿宋" w:hAnsi="仿宋" w:eastAsia="仿宋" w:cs="黑体"/>
          <w:b/>
          <w:bCs/>
          <w:color w:val="000000"/>
          <w:sz w:val="28"/>
          <w:szCs w:val="28"/>
        </w:rPr>
        <w:t>一、培训内容</w:t>
      </w:r>
    </w:p>
    <w:p>
      <w:pPr>
        <w:tabs>
          <w:tab w:val="left" w:pos="567"/>
          <w:tab w:val="left" w:pos="709"/>
        </w:tabs>
        <w:spacing w:line="340" w:lineRule="exact"/>
        <w:textAlignment w:val="baseline"/>
        <w:outlineLvl w:val="0"/>
        <w:rPr>
          <w:rFonts w:ascii="仿宋" w:hAnsi="仿宋" w:eastAsia="仿宋" w:cs="仿宋_GB2312"/>
          <w:b/>
          <w:bCs/>
          <w:color w:val="000000"/>
          <w:sz w:val="28"/>
          <w:szCs w:val="28"/>
        </w:rPr>
      </w:pPr>
      <w:r>
        <w:rPr>
          <w:rFonts w:hint="eastAsia" w:ascii="仿宋" w:hAnsi="仿宋" w:eastAsia="仿宋" w:cs="楷体"/>
          <w:b/>
          <w:bCs/>
          <w:color w:val="000000"/>
          <w:sz w:val="28"/>
          <w:szCs w:val="28"/>
        </w:rPr>
        <w:t>(一）</w:t>
      </w:r>
      <w:r>
        <w:rPr>
          <w:rFonts w:hint="eastAsia" w:ascii="仿宋" w:hAnsi="仿宋" w:eastAsia="仿宋" w:cs="仿宋_GB2312"/>
          <w:b/>
          <w:bCs/>
          <w:color w:val="000000"/>
          <w:sz w:val="28"/>
          <w:szCs w:val="28"/>
        </w:rPr>
        <w:t>工程总承包及全过程咨询相关政策解读与风险防范</w:t>
      </w:r>
    </w:p>
    <w:p>
      <w:pPr>
        <w:tabs>
          <w:tab w:val="left" w:pos="567"/>
          <w:tab w:val="left" w:pos="709"/>
        </w:tabs>
        <w:spacing w:line="34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1、 新政策下EPC工程总承包实战管理</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1）《房屋建筑和市政基础设施项目工程总承包管理办法》解读</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2）《建设项目工程总承包管理规范》（GB/T50358-2017）解读</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3）住建部新版《建设项目工程总承包合同示范文本》解读</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4）EPC工程总承包项目招投标常见问题及解析</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5）EPC工程总承包项目全过程造价管理与控制</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6）EPC工程总承包项目合同核心风险识别与防范</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7）PPP+EPC模式下的合同管理</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8）BIM及数字化交付介绍</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9）EPC工程总承包项目实施过程案例分享</w:t>
      </w:r>
    </w:p>
    <w:p>
      <w:pPr>
        <w:tabs>
          <w:tab w:val="left" w:pos="567"/>
          <w:tab w:val="left" w:pos="709"/>
        </w:tabs>
        <w:spacing w:line="34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2、EPC工程结算计价实务</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1）工程计价法律性文件概述</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2）清单计价规范（GB50500-2013）法律地位认定</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3）官方对建设工程计价基本立场认定</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4）固定总价合同终止计价原则</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5）市场价格波动下工程价款调整要素</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6）工程量清单计价下，打开固定单价的路径与方法</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7）固定总价下工程量变更计价原则；</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8）中标合同与招投标文件不一致计价规则</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9）多份合同均无效的工程结算计价方式</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10）有效的建设工程合同结算计价方</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11）计价方式冲突解决原则与机制</w:t>
      </w:r>
    </w:p>
    <w:p>
      <w:pPr>
        <w:tabs>
          <w:tab w:val="left" w:pos="567"/>
          <w:tab w:val="left" w:pos="709"/>
        </w:tabs>
        <w:spacing w:line="34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color w:val="000000"/>
          <w:sz w:val="28"/>
          <w:szCs w:val="28"/>
        </w:rPr>
        <w:t>3、</w:t>
      </w:r>
      <w:r>
        <w:rPr>
          <w:rFonts w:hint="eastAsia" w:ascii="仿宋" w:hAnsi="仿宋" w:eastAsia="仿宋" w:cs="仿宋_GB2312"/>
          <w:b/>
          <w:bCs/>
          <w:color w:val="000000"/>
          <w:sz w:val="28"/>
          <w:szCs w:val="28"/>
        </w:rPr>
        <w:t>建设项目全过程工程咨询新政策解读、控制要点及操作实务</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1）全过程工程咨询服务政策解析</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2）全过程工程咨询工程项目前期策划的流程及要点</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3）全过程工程咨询投资决策及可行性阶段主要工作</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4）全过程工程咨询造价合约协同管控</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5）全过程工程咨询服务合同示范文本解读</w:t>
      </w:r>
      <w:r>
        <w:rPr>
          <w:rFonts w:hint="eastAsia" w:ascii="仿宋" w:hAnsi="仿宋" w:eastAsia="仿宋" w:cs="仿宋_GB2312"/>
          <w:bCs/>
          <w:color w:val="000000"/>
          <w:sz w:val="28"/>
          <w:szCs w:val="28"/>
        </w:rPr>
        <w:tab/>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6）新时代我国全过程工程咨询未来发展趋势</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7）工程总承包项目实施过程案例分享</w:t>
      </w:r>
    </w:p>
    <w:p>
      <w:pPr>
        <w:tabs>
          <w:tab w:val="left" w:pos="567"/>
          <w:tab w:val="left" w:pos="709"/>
        </w:tabs>
        <w:spacing w:line="34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4、新政策下工程项目风险防范</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1）工程项目风险管理政策</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2）工程项目风险防范与管控要点</w:t>
      </w:r>
    </w:p>
    <w:p>
      <w:pPr>
        <w:tabs>
          <w:tab w:val="left" w:pos="567"/>
          <w:tab w:val="left" w:pos="709"/>
        </w:tabs>
        <w:spacing w:line="34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(二）《司法解释（二）》精析及风险防控实务</w:t>
      </w:r>
    </w:p>
    <w:p>
      <w:pPr>
        <w:tabs>
          <w:tab w:val="left" w:pos="567"/>
          <w:tab w:val="left" w:pos="709"/>
        </w:tabs>
        <w:spacing w:line="34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1、合同效力相关问题识别</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1）收到中标通知书后未签订书面合同的责任</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2）中标合同实质性内容的认定</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3）背离中标合同实质性内容的认定</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4）中标合同实质性内容变更的例外情形应对</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5）违法建筑施工合同的处理</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6）合同无效的赔偿责任认定</w:t>
      </w:r>
    </w:p>
    <w:p>
      <w:pPr>
        <w:tabs>
          <w:tab w:val="left" w:pos="567"/>
          <w:tab w:val="left" w:pos="709"/>
        </w:tabs>
        <w:spacing w:line="34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2、合同履行关键性问题解读</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1）实际开工日期的认定</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2）工期顺延的认定</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3）质量保证金相关问题</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4）备案合同与招投标文件不一致时工程价款的结算</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5）自主招标相关问题</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6）合作开发房地产各方对于工程价款债务责任承担</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7）多份无效合同的结算</w:t>
      </w:r>
    </w:p>
    <w:p>
      <w:pPr>
        <w:tabs>
          <w:tab w:val="left" w:pos="567"/>
          <w:tab w:val="left" w:pos="709"/>
        </w:tabs>
        <w:spacing w:line="34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3、建设工程造价鉴定原则与事项</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1）诉讼前就工程价款结算达成合意的效力</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2）诉讼前共同委托造价咨询的效力</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3）二审程序中的鉴定</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4）法院委托鉴定中司法权的行使</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5）鉴定意见的审核认定原则</w:t>
      </w:r>
    </w:p>
    <w:p>
      <w:pPr>
        <w:tabs>
          <w:tab w:val="left" w:pos="567"/>
          <w:tab w:val="left" w:pos="709"/>
        </w:tabs>
        <w:spacing w:line="34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4、实际施工人相关问题处理</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1）实际施工人的权利认定与处理</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2）借用情形下实际施工人的权利认定与处理</w:t>
      </w:r>
    </w:p>
    <w:p>
      <w:pPr>
        <w:tabs>
          <w:tab w:val="left" w:pos="567"/>
          <w:tab w:val="left" w:pos="709"/>
        </w:tabs>
        <w:spacing w:line="34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5、建设工程价款优先受偿权利主体界定</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1）合同承包人优先受偿权的行使</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2）债权范围</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3）行使条件</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4）保护期间</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5）预先放弃效力</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6）优先受偿权与其他权利的顺位</w:t>
      </w:r>
    </w:p>
    <w:p>
      <w:pPr>
        <w:tabs>
          <w:tab w:val="left" w:pos="567"/>
          <w:tab w:val="left" w:pos="709"/>
        </w:tabs>
        <w:spacing w:line="340" w:lineRule="exact"/>
        <w:textAlignment w:val="baseline"/>
        <w:outlineLvl w:val="0"/>
        <w:rPr>
          <w:rFonts w:ascii="仿宋" w:hAnsi="仿宋" w:eastAsia="仿宋" w:cs="楷体"/>
          <w:b/>
          <w:bCs/>
          <w:color w:val="000000"/>
          <w:sz w:val="28"/>
          <w:szCs w:val="28"/>
        </w:rPr>
      </w:pPr>
      <w:r>
        <w:rPr>
          <w:rFonts w:hint="eastAsia" w:ascii="仿宋" w:hAnsi="仿宋" w:eastAsia="仿宋" w:cs="楷体"/>
          <w:b/>
          <w:bCs/>
          <w:color w:val="000000"/>
          <w:sz w:val="28"/>
          <w:szCs w:val="28"/>
        </w:rPr>
        <w:t>（三）《房屋建筑和市政基础设施项目工程总承包计价计量规范(征求意见稿)》解读与建设工程造价管控、结算疑难问题解析</w:t>
      </w:r>
    </w:p>
    <w:p>
      <w:pPr>
        <w:tabs>
          <w:tab w:val="left" w:pos="567"/>
          <w:tab w:val="left" w:pos="709"/>
        </w:tabs>
        <w:spacing w:line="34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1、《房屋建筑和市政基础设施项目工程总承包计价计量规范(征求意见稿)》解读与应用</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1）《规范》编制的背景及基本情况说明、主要内容</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2）《规范》对施工工程量清单招标的启示</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3）《规范》实施后对业主、承包商、工程咨询等单位的挑战和影响</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4）工程总承包合同计价面临的制度性困境与挑战</w:t>
      </w:r>
    </w:p>
    <w:p>
      <w:pPr>
        <w:tabs>
          <w:tab w:val="left" w:pos="567"/>
          <w:tab w:val="left" w:pos="709"/>
        </w:tabs>
        <w:spacing w:line="34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2、基于新版清单模式下的建设项目全过程精细化造价管理</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1）招投标环节工程造价精细化管理的关键点管控</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2）合同签约环节工程造价精细化管理的关键点管控</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3）价款调整环节工程造价精细化管理的关键点管控</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4）价款支付环节工程造价精细化管理的关键点管控</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5）竣工结算环节工程造价精细化管理的关键点管控</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6）建设项目全过程的集成管理</w:t>
      </w:r>
    </w:p>
    <w:p>
      <w:pPr>
        <w:tabs>
          <w:tab w:val="left" w:pos="567"/>
          <w:tab w:val="left" w:pos="709"/>
        </w:tabs>
        <w:spacing w:line="34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3、工程造价计量与计价争议问题分析和解决</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1）工程造价管控的基础条件分析</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2）招标清单缺漏的价款补偿分析</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3）招标清单特征描述不准确的结算影响</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4）合同价格形式的选择与设计</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5）工程量核定与进度款结算</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6）市场价格波动引起的调价</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7）工程量变更结算中“不平衡单价”处理</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8）工程实体内容变更计价争议解决</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9）工程措施方案变更的责任分析与计价处理</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10）工程签证与索赔管理典型案例分析</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11）工程造价管控中疑难争议问题解析</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12）工程造价审计的重点内容与方法</w:t>
      </w:r>
    </w:p>
    <w:p>
      <w:pPr>
        <w:tabs>
          <w:tab w:val="left" w:pos="567"/>
          <w:tab w:val="left" w:pos="709"/>
        </w:tabs>
        <w:spacing w:line="34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4、索赔引领下的工程结算要点及实践</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1）建设工程结算新规则</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2）工程结算、期中结算、终止结算、竣工结算的区别</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3）期中结算法律性质分析</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4）竣工结算所涉内容界定</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5）工程结算所依据的法律性文件甄别与把控</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6）尚未进行工程结算，业主已经使用建筑物应对策略</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7）挂靠人与被挂靠人之间工程款结算责任承担</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8）多份施工合同均无效工程结算依据确定原则</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 “权利可以放弃、义务必须履行”司法原则在工程竣工结算中的运用。</w:t>
      </w:r>
    </w:p>
    <w:p>
      <w:pPr>
        <w:tabs>
          <w:tab w:val="left" w:pos="567"/>
          <w:tab w:val="left" w:pos="709"/>
        </w:tabs>
        <w:spacing w:line="34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二、参会对象</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1、各地方政府有关建设规划、工程建设、市场监督管理等部门，工程勘察、设计、施工、监理单位以及建设工程交易、投资项目评审相关人员；</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2、各业主单位项目管理、合同管理、造价管理、建设开发、财务审计等相关部门人员；</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3、各类建筑施工企业、分包单位、设备材料供应、咨询代理机构等部门负责人。</w:t>
      </w:r>
    </w:p>
    <w:p>
      <w:pPr>
        <w:tabs>
          <w:tab w:val="left" w:pos="567"/>
          <w:tab w:val="left" w:pos="709"/>
        </w:tabs>
        <w:spacing w:line="34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三、授课专家</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本期培训班拟邀请国家发改委、住建部相关部门及行业协会参与政策法规文件起草、行业规范编写，具有丰富实践经验的专家授课。培训将结合经典案例分析，进行现场答疑和互动交流。</w:t>
      </w:r>
    </w:p>
    <w:p>
      <w:pPr>
        <w:tabs>
          <w:tab w:val="left" w:pos="567"/>
          <w:tab w:val="left" w:pos="709"/>
        </w:tabs>
        <w:spacing w:line="34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四、直播培训时间</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2020年05月26日—05月27日   视频直播在线学习 (09:00-17:00）</w:t>
      </w:r>
    </w:p>
    <w:p>
      <w:pPr>
        <w:tabs>
          <w:tab w:val="left" w:pos="567"/>
          <w:tab w:val="left" w:pos="709"/>
        </w:tabs>
        <w:spacing w:line="34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五、收费标准：</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培训费：1500元/人</w:t>
      </w:r>
    </w:p>
    <w:p>
      <w:pPr>
        <w:tabs>
          <w:tab w:val="left" w:pos="567"/>
          <w:tab w:val="left" w:pos="709"/>
        </w:tabs>
        <w:spacing w:line="34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证书申报：2800元/人（证书由我会颁发“《项目经理》、《合同经理》、《设计经理》”。备注：证书报名材料：报名表一份、2寸照电子照片（白底免冠彩照）、身份证复印件一份、学历证书复印件一份。</w:t>
      </w:r>
    </w:p>
    <w:p>
      <w:pPr>
        <w:tabs>
          <w:tab w:val="left" w:pos="567"/>
          <w:tab w:val="left" w:pos="709"/>
        </w:tabs>
        <w:spacing w:line="34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六、报名办法</w:t>
      </w:r>
    </w:p>
    <w:p>
      <w:pPr>
        <w:tabs>
          <w:tab w:val="left" w:pos="567"/>
          <w:tab w:val="left" w:pos="709"/>
        </w:tabs>
        <w:spacing w:line="310" w:lineRule="exact"/>
        <w:ind w:firstLine="420" w:firstLineChars="150"/>
        <w:textAlignment w:val="baseline"/>
        <w:outlineLvl w:val="0"/>
        <w:rPr>
          <w:rFonts w:hint="eastAsia" w:ascii="仿宋" w:hAnsi="仿宋" w:eastAsia="仿宋" w:cs="仿宋_GB2312"/>
          <w:bCs/>
          <w:color w:val="000000"/>
          <w:sz w:val="28"/>
          <w:szCs w:val="28"/>
        </w:rPr>
      </w:pPr>
      <w:r>
        <w:rPr>
          <w:rFonts w:hint="eastAsia" w:ascii="仿宋" w:hAnsi="仿宋" w:eastAsia="仿宋" w:cs="仿宋_GB2312"/>
          <w:bCs/>
          <w:color w:val="000000"/>
          <w:sz w:val="28"/>
          <w:szCs w:val="28"/>
        </w:rPr>
        <w:t>报名负责人：聂红军 主任 18211071700（微信）   qq咨询：3177524020</w:t>
      </w:r>
    </w:p>
    <w:p>
      <w:pPr>
        <w:tabs>
          <w:tab w:val="left" w:pos="567"/>
          <w:tab w:val="left" w:pos="709"/>
        </w:tabs>
        <w:spacing w:line="310" w:lineRule="exact"/>
        <w:ind w:firstLine="420" w:firstLineChars="150"/>
        <w:textAlignment w:val="baseline"/>
        <w:outlineLvl w:val="0"/>
        <w:rPr>
          <w:rFonts w:hint="eastAsia" w:ascii="仿宋" w:hAnsi="仿宋" w:eastAsia="仿宋" w:cs="仿宋_GB2312"/>
          <w:bCs/>
          <w:color w:val="000000"/>
          <w:sz w:val="28"/>
          <w:szCs w:val="28"/>
        </w:rPr>
      </w:pPr>
      <w:r>
        <w:rPr>
          <w:rFonts w:hint="eastAsia" w:ascii="仿宋" w:hAnsi="仿宋" w:eastAsia="仿宋" w:cs="仿宋_GB2312"/>
          <w:bCs/>
          <w:color w:val="000000"/>
          <w:sz w:val="28"/>
          <w:szCs w:val="28"/>
        </w:rPr>
        <w:t xml:space="preserve">电话（传真）：010-87697580                 邮  箱：zqgphwz@126.com   </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 xml:space="preserve">网址查询：http://www.zqgpchina.cn/ </w:t>
      </w:r>
      <w:r>
        <w:rPr>
          <w:rFonts w:ascii="宋体" w:hAnsi="宋体"/>
          <w:sz w:val="28"/>
          <w:szCs w:val="28"/>
        </w:rPr>
        <w:drawing>
          <wp:anchor distT="0" distB="0" distL="114300" distR="114300" simplePos="0" relativeHeight="251661312" behindDoc="1" locked="0" layoutInCell="1" allowOverlap="1">
            <wp:simplePos x="0" y="0"/>
            <wp:positionH relativeFrom="column">
              <wp:posOffset>3996690</wp:posOffset>
            </wp:positionH>
            <wp:positionV relativeFrom="paragraph">
              <wp:posOffset>69850</wp:posOffset>
            </wp:positionV>
            <wp:extent cx="1577340" cy="1567815"/>
            <wp:effectExtent l="0" t="0" r="0" b="0"/>
            <wp:wrapNone/>
            <wp:docPr id="2" name="图片 2" descr="C:\Users\Administrator\Desktop\图片\凡科快图导出2020221-1556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图片\凡科快图导出2020221-155639.png"/>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10000" contrast="12000"/>
                              </a14:imgEffect>
                            </a14:imgLayer>
                          </a14:imgProps>
                        </a:ext>
                        <a:ext uri="{28A0092B-C50C-407E-A947-70E740481C1C}">
                          <a14:useLocalDpi xmlns:a14="http://schemas.microsoft.com/office/drawing/2010/main" val="0"/>
                        </a:ext>
                      </a:extLst>
                    </a:blip>
                    <a:srcRect/>
                    <a:stretch>
                      <a:fillRect/>
                    </a:stretch>
                  </pic:blipFill>
                  <pic:spPr>
                    <a:xfrm>
                      <a:off x="0" y="0"/>
                      <a:ext cx="1577340" cy="1567815"/>
                    </a:xfrm>
                    <a:prstGeom prst="rect">
                      <a:avLst/>
                    </a:prstGeom>
                    <a:noFill/>
                    <a:ln>
                      <a:noFill/>
                    </a:ln>
                  </pic:spPr>
                </pic:pic>
              </a:graphicData>
            </a:graphic>
          </wp:anchor>
        </w:drawing>
      </w:r>
    </w:p>
    <w:p>
      <w:pPr>
        <w:tabs>
          <w:tab w:val="left" w:pos="567"/>
          <w:tab w:val="left" w:pos="709"/>
        </w:tabs>
        <w:spacing w:line="310" w:lineRule="exact"/>
        <w:ind w:firstLine="280" w:firstLineChars="10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附件：报名回执表</w:t>
      </w:r>
    </w:p>
    <w:p>
      <w:pPr>
        <w:tabs>
          <w:tab w:val="left" w:pos="567"/>
          <w:tab w:val="left" w:pos="709"/>
        </w:tabs>
        <w:spacing w:line="310" w:lineRule="exact"/>
        <w:ind w:firstLine="6160" w:firstLineChars="2200"/>
        <w:textAlignment w:val="baseline"/>
        <w:outlineLvl w:val="0"/>
        <w:rPr>
          <w:rFonts w:ascii="仿宋" w:hAnsi="仿宋" w:eastAsia="仿宋" w:cs="仿宋_GB2312"/>
          <w:bCs/>
          <w:color w:val="000000"/>
          <w:sz w:val="28"/>
          <w:szCs w:val="28"/>
        </w:rPr>
      </w:pPr>
    </w:p>
    <w:p>
      <w:pPr>
        <w:tabs>
          <w:tab w:val="left" w:pos="567"/>
          <w:tab w:val="left" w:pos="709"/>
        </w:tabs>
        <w:spacing w:line="310" w:lineRule="exact"/>
        <w:ind w:firstLine="6020" w:firstLineChars="2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中国国际工程咨询协会</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 xml:space="preserve">                                       二〇二〇年四月二十一日</w:t>
      </w:r>
    </w:p>
    <w:p>
      <w:pPr>
        <w:spacing w:line="300" w:lineRule="exact"/>
        <w:ind w:firstLine="560" w:firstLineChars="200"/>
        <w:textAlignment w:val="baseline"/>
        <w:rPr>
          <w:rFonts w:ascii="仿宋_GB2312" w:hAnsi="宋体" w:eastAsia="仿宋_GB2312"/>
          <w:color w:val="000000"/>
          <w:kern w:val="0"/>
          <w:sz w:val="28"/>
          <w:szCs w:val="28"/>
        </w:rPr>
      </w:pPr>
    </w:p>
    <w:p>
      <w:pPr>
        <w:spacing w:line="300" w:lineRule="exact"/>
        <w:jc w:val="center"/>
        <w:textAlignment w:val="baseline"/>
        <w:rPr>
          <w:rFonts w:ascii="黑体" w:hAnsi="黑体" w:eastAsia="黑体" w:cs="黑体"/>
          <w:sz w:val="32"/>
          <w:szCs w:val="32"/>
        </w:rPr>
      </w:pPr>
    </w:p>
    <w:p>
      <w:pPr>
        <w:spacing w:line="300" w:lineRule="exact"/>
        <w:jc w:val="both"/>
        <w:textAlignment w:val="baseline"/>
        <w:rPr>
          <w:rFonts w:ascii="黑体" w:hAnsi="黑体" w:eastAsia="黑体" w:cs="黑体"/>
          <w:sz w:val="32"/>
          <w:szCs w:val="32"/>
        </w:rPr>
      </w:pPr>
    </w:p>
    <w:p>
      <w:pPr>
        <w:spacing w:line="300" w:lineRule="exact"/>
        <w:jc w:val="center"/>
        <w:textAlignment w:val="baseline"/>
        <w:rPr>
          <w:rFonts w:ascii="黑体" w:hAnsi="黑体" w:eastAsia="黑体" w:cs="黑体"/>
          <w:sz w:val="32"/>
          <w:szCs w:val="32"/>
        </w:rPr>
      </w:pPr>
    </w:p>
    <w:p>
      <w:pPr>
        <w:spacing w:line="300" w:lineRule="exact"/>
        <w:jc w:val="center"/>
        <w:textAlignment w:val="baseline"/>
        <w:rPr>
          <w:rStyle w:val="11"/>
          <w:rFonts w:ascii="仿宋" w:hAnsi="仿宋" w:eastAsia="仿宋" w:cs="宋体"/>
          <w:color w:val="000000"/>
          <w:sz w:val="28"/>
          <w:szCs w:val="28"/>
          <w:lang w:val="zh-CN"/>
        </w:rPr>
      </w:pPr>
      <w:r>
        <w:rPr>
          <w:rFonts w:hint="eastAsia" w:ascii="仿宋" w:hAnsi="仿宋" w:eastAsia="仿宋" w:cs="黑体"/>
          <w:b/>
          <w:sz w:val="28"/>
          <w:szCs w:val="28"/>
        </w:rPr>
        <w:t>附件：新环境下“工程施工合同风险管控、工程总承包全过程管理重点、难点与新版清单下建设项目全过程精细化造价管控及工程结算关键环节”与关键岗位人才培养“在线直播”培训班</w:t>
      </w:r>
      <w:r>
        <w:rPr>
          <w:rStyle w:val="11"/>
          <w:rFonts w:hint="eastAsia" w:ascii="仿宋" w:hAnsi="仿宋" w:eastAsia="仿宋" w:cs="宋体"/>
          <w:color w:val="000000"/>
          <w:sz w:val="28"/>
          <w:szCs w:val="28"/>
          <w:lang w:val="zh-CN"/>
        </w:rPr>
        <w:t>报名回执表</w:t>
      </w:r>
    </w:p>
    <w:tbl>
      <w:tblPr>
        <w:tblStyle w:val="9"/>
        <w:tblpPr w:leftFromText="180" w:rightFromText="180" w:vertAnchor="page" w:horzAnchor="margin" w:tblpY="2089"/>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49"/>
        <w:gridCol w:w="1282"/>
        <w:gridCol w:w="1984"/>
        <w:gridCol w:w="157"/>
        <w:gridCol w:w="269"/>
        <w:gridCol w:w="278"/>
        <w:gridCol w:w="140"/>
        <w:gridCol w:w="309"/>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8" w:type="dxa"/>
            <w:vAlign w:val="center"/>
          </w:tcPr>
          <w:p>
            <w:pPr>
              <w:spacing w:line="300" w:lineRule="exact"/>
              <w:ind w:right="-147" w:rightChars="-70"/>
              <w:jc w:val="center"/>
              <w:rPr>
                <w:rFonts w:ascii="仿宋_GB2312" w:eastAsia="仿宋_GB2312"/>
                <w:sz w:val="24"/>
              </w:rPr>
            </w:pPr>
            <w:r>
              <w:rPr>
                <w:rFonts w:ascii="仿宋_GB2312" w:eastAsia="仿宋_GB2312"/>
                <w:sz w:val="24"/>
              </w:rPr>
              <w:t>单位名称</w:t>
            </w:r>
          </w:p>
        </w:tc>
        <w:tc>
          <w:tcPr>
            <w:tcW w:w="4959" w:type="dxa"/>
            <w:gridSpan w:val="7"/>
            <w:vAlign w:val="center"/>
          </w:tcPr>
          <w:p>
            <w:pPr>
              <w:spacing w:line="300" w:lineRule="exact"/>
              <w:ind w:right="-147" w:rightChars="-70"/>
              <w:jc w:val="center"/>
              <w:rPr>
                <w:rFonts w:ascii="仿宋_GB2312" w:eastAsia="仿宋_GB2312"/>
                <w:sz w:val="24"/>
              </w:rPr>
            </w:pPr>
          </w:p>
        </w:tc>
        <w:tc>
          <w:tcPr>
            <w:tcW w:w="850" w:type="dxa"/>
            <w:gridSpan w:val="2"/>
            <w:vAlign w:val="center"/>
          </w:tcPr>
          <w:p>
            <w:pPr>
              <w:spacing w:line="300" w:lineRule="exact"/>
              <w:ind w:right="-147" w:rightChars="-70"/>
              <w:rPr>
                <w:rFonts w:ascii="仿宋_GB2312" w:eastAsia="仿宋_GB2312"/>
                <w:sz w:val="24"/>
              </w:rPr>
            </w:pPr>
            <w:r>
              <w:rPr>
                <w:rFonts w:ascii="仿宋_GB2312" w:eastAsia="仿宋_GB2312"/>
                <w:sz w:val="24"/>
              </w:rPr>
              <w:t>邮编</w:t>
            </w:r>
          </w:p>
        </w:tc>
        <w:tc>
          <w:tcPr>
            <w:tcW w:w="2275" w:type="dxa"/>
            <w:gridSpan w:val="2"/>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8" w:type="dxa"/>
            <w:vAlign w:val="center"/>
          </w:tcPr>
          <w:p>
            <w:pPr>
              <w:spacing w:line="300" w:lineRule="exact"/>
              <w:ind w:right="-147" w:rightChars="-70"/>
              <w:jc w:val="center"/>
              <w:rPr>
                <w:rFonts w:ascii="仿宋_GB2312" w:eastAsia="仿宋_GB2312"/>
                <w:sz w:val="24"/>
              </w:rPr>
            </w:pPr>
            <w:r>
              <w:rPr>
                <w:rFonts w:ascii="仿宋_GB2312" w:eastAsia="仿宋_GB2312"/>
                <w:sz w:val="24"/>
              </w:rPr>
              <w:t>单位地址</w:t>
            </w:r>
          </w:p>
        </w:tc>
        <w:tc>
          <w:tcPr>
            <w:tcW w:w="8084" w:type="dxa"/>
            <w:gridSpan w:val="11"/>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8" w:type="dxa"/>
            <w:vAlign w:val="center"/>
          </w:tcPr>
          <w:p>
            <w:pPr>
              <w:spacing w:line="300" w:lineRule="exact"/>
              <w:ind w:right="-147" w:rightChars="-70"/>
              <w:jc w:val="center"/>
              <w:rPr>
                <w:rFonts w:ascii="仿宋_GB2312" w:eastAsia="仿宋_GB2312"/>
                <w:sz w:val="24"/>
              </w:rPr>
            </w:pPr>
            <w:r>
              <w:rPr>
                <w:rFonts w:ascii="仿宋_GB2312" w:eastAsia="仿宋_GB2312"/>
                <w:sz w:val="24"/>
              </w:rPr>
              <w:t>联系人</w:t>
            </w:r>
          </w:p>
        </w:tc>
        <w:tc>
          <w:tcPr>
            <w:tcW w:w="2131" w:type="dxa"/>
            <w:gridSpan w:val="2"/>
            <w:vAlign w:val="center"/>
          </w:tcPr>
          <w:p>
            <w:pPr>
              <w:spacing w:line="300" w:lineRule="exact"/>
              <w:ind w:right="-147" w:rightChars="-70" w:firstLine="960"/>
              <w:rPr>
                <w:rFonts w:ascii="仿宋_GB2312" w:eastAsia="仿宋_GB2312"/>
                <w:sz w:val="24"/>
              </w:rPr>
            </w:pPr>
          </w:p>
        </w:tc>
        <w:tc>
          <w:tcPr>
            <w:tcW w:w="2410" w:type="dxa"/>
            <w:gridSpan w:val="3"/>
            <w:vAlign w:val="center"/>
          </w:tcPr>
          <w:p>
            <w:pPr>
              <w:spacing w:line="300" w:lineRule="exact"/>
              <w:ind w:right="-147" w:rightChars="-70"/>
              <w:jc w:val="center"/>
              <w:rPr>
                <w:rFonts w:ascii="仿宋_GB2312" w:eastAsia="仿宋_GB2312"/>
                <w:sz w:val="24"/>
              </w:rPr>
            </w:pPr>
            <w:r>
              <w:rPr>
                <w:rFonts w:ascii="仿宋_GB2312" w:eastAsia="仿宋_GB2312"/>
                <w:sz w:val="24"/>
              </w:rPr>
              <w:t>职位/岗位</w:t>
            </w:r>
          </w:p>
        </w:tc>
        <w:tc>
          <w:tcPr>
            <w:tcW w:w="3543" w:type="dxa"/>
            <w:gridSpan w:val="6"/>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vAlign w:val="center"/>
          </w:tcPr>
          <w:p>
            <w:pPr>
              <w:spacing w:line="300" w:lineRule="exact"/>
              <w:ind w:right="-147" w:rightChars="-70"/>
              <w:jc w:val="center"/>
              <w:rPr>
                <w:rFonts w:ascii="仿宋_GB2312" w:eastAsia="仿宋_GB2312"/>
                <w:sz w:val="24"/>
              </w:rPr>
            </w:pPr>
            <w:r>
              <w:rPr>
                <w:rFonts w:ascii="仿宋_GB2312" w:eastAsia="仿宋_GB2312"/>
                <w:sz w:val="24"/>
              </w:rPr>
              <w:t>办公电话</w:t>
            </w:r>
          </w:p>
        </w:tc>
        <w:tc>
          <w:tcPr>
            <w:tcW w:w="2131" w:type="dxa"/>
            <w:gridSpan w:val="2"/>
            <w:vAlign w:val="center"/>
          </w:tcPr>
          <w:p>
            <w:pPr>
              <w:spacing w:line="300" w:lineRule="exact"/>
              <w:ind w:right="-147" w:rightChars="-70"/>
              <w:rPr>
                <w:rFonts w:ascii="仿宋_GB2312" w:eastAsia="仿宋_GB2312"/>
                <w:sz w:val="24"/>
              </w:rPr>
            </w:pPr>
          </w:p>
        </w:tc>
        <w:tc>
          <w:tcPr>
            <w:tcW w:w="2410" w:type="dxa"/>
            <w:gridSpan w:val="3"/>
            <w:vAlign w:val="center"/>
          </w:tcPr>
          <w:p>
            <w:pPr>
              <w:spacing w:line="300" w:lineRule="exact"/>
              <w:ind w:right="-147" w:rightChars="-70"/>
              <w:jc w:val="center"/>
              <w:rPr>
                <w:rFonts w:ascii="仿宋_GB2312" w:eastAsia="仿宋_GB2312"/>
                <w:sz w:val="24"/>
              </w:rPr>
            </w:pPr>
            <w:r>
              <w:rPr>
                <w:rFonts w:ascii="仿宋_GB2312" w:eastAsia="仿宋_GB2312"/>
                <w:sz w:val="24"/>
              </w:rPr>
              <w:t>手    机</w:t>
            </w:r>
          </w:p>
        </w:tc>
        <w:tc>
          <w:tcPr>
            <w:tcW w:w="3543" w:type="dxa"/>
            <w:gridSpan w:val="6"/>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8" w:type="dxa"/>
            <w:vAlign w:val="center"/>
          </w:tcPr>
          <w:p>
            <w:pPr>
              <w:spacing w:line="300" w:lineRule="exact"/>
              <w:ind w:right="-147" w:rightChars="-70"/>
              <w:jc w:val="center"/>
              <w:rPr>
                <w:rFonts w:ascii="仿宋_GB2312" w:eastAsia="仿宋_GB2312"/>
                <w:sz w:val="24"/>
              </w:rPr>
            </w:pPr>
            <w:r>
              <w:rPr>
                <w:rFonts w:ascii="仿宋_GB2312" w:eastAsia="仿宋_GB2312"/>
                <w:sz w:val="24"/>
              </w:rPr>
              <w:t>传   真</w:t>
            </w:r>
          </w:p>
        </w:tc>
        <w:tc>
          <w:tcPr>
            <w:tcW w:w="2131" w:type="dxa"/>
            <w:gridSpan w:val="2"/>
            <w:vAlign w:val="center"/>
          </w:tcPr>
          <w:p>
            <w:pPr>
              <w:spacing w:line="300" w:lineRule="exact"/>
              <w:ind w:right="-147" w:rightChars="-70"/>
              <w:rPr>
                <w:rFonts w:ascii="仿宋_GB2312" w:eastAsia="仿宋_GB2312"/>
                <w:sz w:val="24"/>
              </w:rPr>
            </w:pPr>
          </w:p>
        </w:tc>
        <w:tc>
          <w:tcPr>
            <w:tcW w:w="2410" w:type="dxa"/>
            <w:gridSpan w:val="3"/>
            <w:vAlign w:val="center"/>
          </w:tcPr>
          <w:p>
            <w:pPr>
              <w:spacing w:line="300" w:lineRule="exact"/>
              <w:ind w:right="-147" w:rightChars="-70"/>
              <w:jc w:val="center"/>
              <w:rPr>
                <w:rFonts w:ascii="仿宋_GB2312" w:eastAsia="仿宋_GB2312"/>
                <w:sz w:val="24"/>
              </w:rPr>
            </w:pPr>
            <w:r>
              <w:rPr>
                <w:rFonts w:ascii="仿宋_GB2312" w:eastAsia="仿宋_GB2312"/>
                <w:sz w:val="24"/>
              </w:rPr>
              <w:t>电子信箱</w:t>
            </w:r>
          </w:p>
        </w:tc>
        <w:tc>
          <w:tcPr>
            <w:tcW w:w="3543" w:type="dxa"/>
            <w:gridSpan w:val="6"/>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8" w:type="dxa"/>
            <w:vAlign w:val="center"/>
          </w:tcPr>
          <w:p>
            <w:pPr>
              <w:spacing w:line="300" w:lineRule="exact"/>
              <w:ind w:right="-147" w:rightChars="-70"/>
              <w:jc w:val="center"/>
              <w:rPr>
                <w:rFonts w:ascii="仿宋_GB2312" w:eastAsia="仿宋_GB2312"/>
                <w:sz w:val="24"/>
              </w:rPr>
            </w:pPr>
            <w:r>
              <w:rPr>
                <w:rFonts w:ascii="仿宋_GB2312" w:eastAsia="仿宋_GB2312"/>
                <w:sz w:val="24"/>
              </w:rPr>
              <w:t>参加培训人员</w:t>
            </w:r>
          </w:p>
        </w:tc>
        <w:tc>
          <w:tcPr>
            <w:tcW w:w="849" w:type="dxa"/>
            <w:vAlign w:val="center"/>
          </w:tcPr>
          <w:p>
            <w:pPr>
              <w:spacing w:line="300" w:lineRule="exact"/>
              <w:ind w:right="-147" w:rightChars="-70"/>
              <w:jc w:val="center"/>
              <w:rPr>
                <w:rFonts w:ascii="仿宋_GB2312" w:eastAsia="仿宋_GB2312"/>
                <w:sz w:val="24"/>
              </w:rPr>
            </w:pPr>
            <w:r>
              <w:rPr>
                <w:rFonts w:ascii="仿宋_GB2312" w:eastAsia="仿宋_GB2312"/>
                <w:sz w:val="24"/>
              </w:rPr>
              <w:t>性别</w:t>
            </w:r>
          </w:p>
        </w:tc>
        <w:tc>
          <w:tcPr>
            <w:tcW w:w="1282" w:type="dxa"/>
            <w:vAlign w:val="center"/>
          </w:tcPr>
          <w:p>
            <w:pPr>
              <w:spacing w:line="300" w:lineRule="exact"/>
              <w:ind w:right="-147" w:rightChars="-70"/>
              <w:jc w:val="center"/>
              <w:rPr>
                <w:rFonts w:ascii="仿宋_GB2312" w:eastAsia="仿宋_GB2312"/>
                <w:sz w:val="24"/>
              </w:rPr>
            </w:pPr>
            <w:r>
              <w:rPr>
                <w:rFonts w:ascii="仿宋_GB2312" w:eastAsia="仿宋_GB2312"/>
                <w:sz w:val="24"/>
              </w:rPr>
              <w:t>职务</w:t>
            </w:r>
          </w:p>
        </w:tc>
        <w:tc>
          <w:tcPr>
            <w:tcW w:w="1984" w:type="dxa"/>
            <w:vAlign w:val="center"/>
          </w:tcPr>
          <w:p>
            <w:pPr>
              <w:spacing w:line="300" w:lineRule="exact"/>
              <w:ind w:right="-147" w:rightChars="-70"/>
              <w:jc w:val="center"/>
              <w:rPr>
                <w:rFonts w:ascii="仿宋_GB2312" w:eastAsia="仿宋_GB2312"/>
                <w:sz w:val="24"/>
              </w:rPr>
            </w:pPr>
            <w:r>
              <w:rPr>
                <w:rFonts w:ascii="仿宋_GB2312" w:eastAsia="仿宋_GB2312"/>
                <w:sz w:val="24"/>
              </w:rPr>
              <w:t>电话</w:t>
            </w:r>
          </w:p>
        </w:tc>
        <w:tc>
          <w:tcPr>
            <w:tcW w:w="1985" w:type="dxa"/>
            <w:gridSpan w:val="7"/>
            <w:vAlign w:val="center"/>
          </w:tcPr>
          <w:p>
            <w:pPr>
              <w:spacing w:line="300" w:lineRule="exact"/>
              <w:ind w:right="-147" w:rightChars="-70"/>
              <w:jc w:val="center"/>
              <w:rPr>
                <w:rFonts w:ascii="仿宋_GB2312" w:eastAsia="仿宋_GB2312"/>
                <w:sz w:val="24"/>
              </w:rPr>
            </w:pPr>
            <w:r>
              <w:rPr>
                <w:rFonts w:ascii="仿宋_GB2312" w:eastAsia="仿宋_GB2312"/>
                <w:sz w:val="24"/>
              </w:rPr>
              <w:t>手机</w:t>
            </w:r>
          </w:p>
        </w:tc>
        <w:tc>
          <w:tcPr>
            <w:tcW w:w="1984" w:type="dxa"/>
            <w:vAlign w:val="center"/>
          </w:tcPr>
          <w:p>
            <w:pPr>
              <w:spacing w:line="300" w:lineRule="exact"/>
              <w:ind w:right="-147" w:rightChars="-70"/>
              <w:jc w:val="center"/>
              <w:rPr>
                <w:rFonts w:ascii="仿宋_GB2312" w:eastAsia="仿宋_GB2312"/>
                <w:sz w:val="24"/>
              </w:rPr>
            </w:pPr>
            <w:r>
              <w:rPr>
                <w:rFonts w:ascii="仿宋_GB2312" w:eastAsia="仿宋_GB2312"/>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2" w:type="dxa"/>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c>
          <w:tcPr>
            <w:tcW w:w="1985" w:type="dxa"/>
            <w:gridSpan w:val="7"/>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2" w:type="dxa"/>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c>
          <w:tcPr>
            <w:tcW w:w="1985" w:type="dxa"/>
            <w:gridSpan w:val="7"/>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2" w:type="dxa"/>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c>
          <w:tcPr>
            <w:tcW w:w="1985" w:type="dxa"/>
            <w:gridSpan w:val="7"/>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2" w:type="dxa"/>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c>
          <w:tcPr>
            <w:tcW w:w="1985" w:type="dxa"/>
            <w:gridSpan w:val="7"/>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2" w:type="dxa"/>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c>
          <w:tcPr>
            <w:tcW w:w="1985" w:type="dxa"/>
            <w:gridSpan w:val="7"/>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2" w:type="dxa"/>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c>
          <w:tcPr>
            <w:tcW w:w="1985" w:type="dxa"/>
            <w:gridSpan w:val="7"/>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8" w:type="dxa"/>
            <w:vAlign w:val="center"/>
          </w:tcPr>
          <w:p>
            <w:pPr>
              <w:spacing w:line="300" w:lineRule="exact"/>
              <w:ind w:right="-147" w:rightChars="-70" w:firstLine="361" w:firstLineChars="150"/>
              <w:jc w:val="left"/>
              <w:rPr>
                <w:rFonts w:ascii="仿宋_GB2312" w:eastAsia="仿宋_GB2312"/>
                <w:b/>
                <w:color w:val="000000"/>
                <w:sz w:val="24"/>
              </w:rPr>
            </w:pPr>
            <w:r>
              <w:rPr>
                <w:rFonts w:hint="eastAsia" w:ascii="仿宋_GB2312" w:eastAsia="仿宋_GB2312"/>
                <w:b/>
                <w:color w:val="000000"/>
                <w:sz w:val="24"/>
              </w:rPr>
              <w:t xml:space="preserve">证书申报    </w:t>
            </w:r>
          </w:p>
        </w:tc>
        <w:tc>
          <w:tcPr>
            <w:tcW w:w="8084" w:type="dxa"/>
            <w:gridSpan w:val="11"/>
            <w:vAlign w:val="center"/>
          </w:tcPr>
          <w:p>
            <w:pPr>
              <w:spacing w:line="300" w:lineRule="exact"/>
              <w:ind w:right="-147" w:rightChars="-70" w:firstLine="240" w:firstLineChars="100"/>
              <w:jc w:val="left"/>
              <w:rPr>
                <w:rFonts w:ascii="仿宋_GB2312" w:eastAsia="仿宋_GB2312"/>
                <w:b/>
                <w:color w:val="000000"/>
                <w:sz w:val="24"/>
              </w:rPr>
            </w:pPr>
            <w:r>
              <w:rPr>
                <w:rFonts w:hint="eastAsia" w:ascii="仿宋_GB2312" w:eastAsia="仿宋_GB2312"/>
                <w:color w:val="000000"/>
                <w:sz w:val="24"/>
              </w:rPr>
              <w:t>项目经理□     合同经理□     设计经理□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8" w:type="dxa"/>
          </w:tcPr>
          <w:p>
            <w:pPr>
              <w:spacing w:line="300" w:lineRule="exact"/>
              <w:ind w:right="-147" w:rightChars="-70"/>
              <w:jc w:val="center"/>
              <w:rPr>
                <w:rFonts w:ascii="仿宋_GB2312" w:eastAsia="仿宋_GB2312"/>
                <w:b/>
                <w:bCs/>
                <w:sz w:val="24"/>
              </w:rPr>
            </w:pPr>
            <w:r>
              <w:rPr>
                <w:rFonts w:ascii="仿宋_GB2312" w:eastAsia="仿宋_GB2312"/>
                <w:b/>
                <w:bCs/>
                <w:sz w:val="24"/>
              </w:rPr>
              <w:t>付款方式</w:t>
            </w:r>
          </w:p>
        </w:tc>
        <w:tc>
          <w:tcPr>
            <w:tcW w:w="4272" w:type="dxa"/>
            <w:gridSpan w:val="4"/>
          </w:tcPr>
          <w:p>
            <w:pPr>
              <w:widowControl/>
              <w:spacing w:line="300" w:lineRule="exact"/>
              <w:ind w:right="-147" w:rightChars="-70"/>
              <w:jc w:val="center"/>
              <w:rPr>
                <w:rFonts w:ascii="仿宋_GB2312" w:eastAsia="仿宋_GB2312"/>
                <w:sz w:val="24"/>
              </w:rPr>
            </w:pPr>
            <w:r>
              <w:rPr>
                <w:rFonts w:ascii="仿宋_GB2312" w:eastAsia="仿宋_GB2312"/>
                <w:sz w:val="24"/>
              </w:rPr>
              <w:t xml:space="preserve">□通过银行     □通过网银 </w:t>
            </w:r>
          </w:p>
        </w:tc>
        <w:tc>
          <w:tcPr>
            <w:tcW w:w="996" w:type="dxa"/>
            <w:gridSpan w:val="4"/>
          </w:tcPr>
          <w:p>
            <w:pPr>
              <w:widowControl/>
              <w:spacing w:line="300" w:lineRule="exact"/>
              <w:ind w:right="-147" w:rightChars="-70"/>
              <w:jc w:val="center"/>
              <w:rPr>
                <w:rFonts w:ascii="仿宋_GB2312" w:eastAsia="仿宋_GB2312"/>
                <w:sz w:val="24"/>
              </w:rPr>
            </w:pPr>
            <w:r>
              <w:rPr>
                <w:rFonts w:ascii="仿宋_GB2312" w:eastAsia="仿宋_GB2312"/>
                <w:sz w:val="24"/>
              </w:rPr>
              <w:t>金额</w:t>
            </w:r>
          </w:p>
        </w:tc>
        <w:tc>
          <w:tcPr>
            <w:tcW w:w="2816" w:type="dxa"/>
            <w:gridSpan w:val="3"/>
          </w:tcPr>
          <w:p>
            <w:pPr>
              <w:widowControl/>
              <w:spacing w:line="300" w:lineRule="exact"/>
              <w:ind w:right="-147" w:rightChars="-7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8" w:type="dxa"/>
          </w:tcPr>
          <w:p>
            <w:pPr>
              <w:spacing w:line="300" w:lineRule="exact"/>
              <w:ind w:right="-147" w:rightChars="-70"/>
              <w:rPr>
                <w:rFonts w:ascii="仿宋_GB2312" w:eastAsia="仿宋_GB2312"/>
                <w:b/>
                <w:bCs/>
                <w:sz w:val="24"/>
              </w:rPr>
            </w:pPr>
          </w:p>
          <w:p>
            <w:pPr>
              <w:spacing w:line="300" w:lineRule="exact"/>
              <w:ind w:right="-147" w:rightChars="-70"/>
              <w:rPr>
                <w:rFonts w:ascii="仿宋_GB2312" w:eastAsia="仿宋_GB2312"/>
                <w:b/>
                <w:bCs/>
                <w:sz w:val="24"/>
              </w:rPr>
            </w:pPr>
            <w:r>
              <w:rPr>
                <w:rFonts w:hint="eastAsia" w:ascii="仿宋_GB2312" w:eastAsia="仿宋_GB2312"/>
                <w:b/>
                <w:bCs/>
                <w:sz w:val="24"/>
              </w:rPr>
              <w:t>汇款方式</w:t>
            </w:r>
          </w:p>
        </w:tc>
        <w:tc>
          <w:tcPr>
            <w:tcW w:w="8084" w:type="dxa"/>
            <w:gridSpan w:val="11"/>
          </w:tcPr>
          <w:p>
            <w:pPr>
              <w:spacing w:line="480" w:lineRule="exact"/>
              <w:rPr>
                <w:rFonts w:ascii="仿宋_GB2312" w:eastAsia="仿宋_GB2312" w:cs="仿宋" w:hAnsiTheme="minorEastAsia"/>
                <w:sz w:val="28"/>
                <w:szCs w:val="28"/>
              </w:rPr>
            </w:pPr>
            <w:r>
              <w:rPr>
                <w:rFonts w:hint="eastAsia" w:ascii="仿宋_GB2312" w:eastAsia="仿宋_GB2312" w:cs="仿宋" w:hAnsiTheme="minorEastAsia"/>
                <w:sz w:val="28"/>
                <w:szCs w:val="28"/>
              </w:rPr>
              <w:t>开户名称：北京博纳金成信息咨询有限公司</w:t>
            </w:r>
          </w:p>
          <w:p>
            <w:pPr>
              <w:spacing w:line="480" w:lineRule="exact"/>
              <w:rPr>
                <w:rFonts w:ascii="仿宋_GB2312" w:eastAsia="仿宋_GB2312" w:cs="仿宋" w:hAnsiTheme="minorEastAsia"/>
                <w:sz w:val="28"/>
                <w:szCs w:val="28"/>
              </w:rPr>
            </w:pPr>
            <w:r>
              <w:rPr>
                <w:rFonts w:hint="eastAsia" w:ascii="仿宋_GB2312" w:eastAsia="仿宋_GB2312" w:cs="仿宋" w:hAnsiTheme="minorEastAsia"/>
                <w:sz w:val="28"/>
                <w:szCs w:val="28"/>
              </w:rPr>
              <w:t xml:space="preserve">开 户 行：北京农村商业银行股份有限公司宣武支行 </w:t>
            </w:r>
          </w:p>
          <w:p>
            <w:pPr>
              <w:spacing w:line="480" w:lineRule="exact"/>
              <w:rPr>
                <w:rFonts w:ascii="仿宋_GB2312" w:eastAsia="仿宋_GB2312" w:cs="仿宋" w:hAnsiTheme="minorEastAsia"/>
                <w:sz w:val="28"/>
                <w:szCs w:val="28"/>
              </w:rPr>
            </w:pPr>
            <w:r>
              <w:rPr>
                <w:rFonts w:hint="eastAsia" w:ascii="仿宋_GB2312" w:eastAsia="仿宋_GB2312" w:cs="仿宋" w:hAnsiTheme="minorEastAsia"/>
                <w:sz w:val="28"/>
                <w:szCs w:val="28"/>
              </w:rPr>
              <w:t>账    号：1901000103000012346</w:t>
            </w:r>
            <w:r>
              <w:rPr>
                <w:rFonts w:hint="eastAsia" w:ascii="仿宋_GB2312" w:eastAsia="仿宋_GB2312" w:cs="仿宋" w:hAnsiTheme="minorEastAsia"/>
                <w:sz w:val="28"/>
                <w:szCs w:val="28"/>
              </w:rPr>
              <w:tab/>
            </w:r>
            <w:r>
              <w:rPr>
                <w:rFonts w:hint="eastAsia" w:ascii="仿宋_GB2312" w:eastAsia="仿宋_GB2312" w:cs="仿宋" w:hAnsiTheme="minorEastAsia"/>
                <w:sz w:val="28"/>
                <w:szCs w:val="28"/>
              </w:rPr>
              <w:t>（行号402100007307）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8" w:type="dxa"/>
            <w:vAlign w:val="center"/>
          </w:tcPr>
          <w:p>
            <w:pPr>
              <w:spacing w:line="300" w:lineRule="exact"/>
              <w:rPr>
                <w:rFonts w:ascii="仿宋_GB2312" w:eastAsia="仿宋_GB2312"/>
                <w:sz w:val="24"/>
              </w:rPr>
            </w:pPr>
            <w:r>
              <w:rPr>
                <w:rFonts w:hint="eastAsia" w:ascii="仿宋" w:hAnsi="仿宋" w:eastAsia="仿宋"/>
                <w:b/>
                <w:bCs/>
                <w:sz w:val="24"/>
              </w:rPr>
              <w:t>发票类别</w:t>
            </w:r>
          </w:p>
        </w:tc>
        <w:tc>
          <w:tcPr>
            <w:tcW w:w="8084" w:type="dxa"/>
            <w:gridSpan w:val="11"/>
          </w:tcPr>
          <w:p>
            <w:pPr>
              <w:spacing w:line="300" w:lineRule="exact"/>
              <w:rPr>
                <w:rFonts w:ascii="仿宋" w:hAnsi="仿宋" w:eastAsia="仿宋"/>
                <w:b/>
                <w:bCs/>
                <w:sz w:val="24"/>
              </w:rPr>
            </w:pPr>
            <w:r>
              <w:rPr>
                <w:rFonts w:hint="eastAsia" w:ascii="仿宋" w:hAnsi="仿宋" w:eastAsia="仿宋"/>
                <w:b/>
                <w:bCs/>
                <w:sz w:val="24"/>
              </w:rPr>
              <w:t>增值税（□普通□专用）发票,开票信息如下：</w:t>
            </w:r>
          </w:p>
          <w:p>
            <w:pPr>
              <w:spacing w:line="300" w:lineRule="exact"/>
              <w:rPr>
                <w:rFonts w:ascii="仿宋" w:hAnsi="仿宋" w:eastAsia="仿宋"/>
                <w:b/>
                <w:bCs/>
                <w:sz w:val="24"/>
              </w:rPr>
            </w:pPr>
            <w:r>
              <w:rPr>
                <w:rFonts w:hint="eastAsia" w:ascii="仿宋" w:hAnsi="仿宋" w:eastAsia="仿宋"/>
                <w:b/>
                <w:bCs/>
                <w:sz w:val="24"/>
              </w:rPr>
              <w:t>单 位 名 称：</w:t>
            </w:r>
          </w:p>
          <w:p>
            <w:pPr>
              <w:spacing w:line="300" w:lineRule="exact"/>
              <w:rPr>
                <w:rFonts w:ascii="仿宋" w:hAnsi="仿宋" w:eastAsia="仿宋"/>
                <w:b/>
                <w:bCs/>
                <w:sz w:val="24"/>
              </w:rPr>
            </w:pPr>
            <w:r>
              <w:rPr>
                <w:rFonts w:hint="eastAsia" w:ascii="仿宋" w:hAnsi="仿宋" w:eastAsia="仿宋"/>
                <w:b/>
                <w:bCs/>
                <w:sz w:val="24"/>
              </w:rPr>
              <w:t>税       号：</w:t>
            </w:r>
          </w:p>
          <w:p>
            <w:pPr>
              <w:spacing w:line="300" w:lineRule="exact"/>
              <w:rPr>
                <w:rFonts w:ascii="仿宋" w:hAnsi="仿宋" w:eastAsia="仿宋"/>
                <w:b/>
                <w:bCs/>
                <w:sz w:val="24"/>
              </w:rPr>
            </w:pPr>
            <w:r>
              <w:rPr>
                <w:rFonts w:hint="eastAsia" w:ascii="仿宋" w:hAnsi="仿宋" w:eastAsia="仿宋"/>
                <w:b/>
                <w:bCs/>
                <w:sz w:val="24"/>
              </w:rPr>
              <w:t>地址、 电话：</w:t>
            </w:r>
          </w:p>
          <w:p>
            <w:pPr>
              <w:spacing w:line="300" w:lineRule="exact"/>
              <w:rPr>
                <w:rFonts w:ascii="仿宋_GB2312" w:eastAsia="仿宋_GB2312"/>
                <w:b/>
                <w:bCs/>
                <w:sz w:val="28"/>
                <w:szCs w:val="28"/>
              </w:rPr>
            </w:pPr>
            <w:r>
              <w:rPr>
                <w:rFonts w:hint="eastAsia" w:ascii="仿宋" w:hAnsi="仿宋" w:eastAsia="仿宋"/>
                <w:b/>
                <w:bCs/>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8" w:type="dxa"/>
            <w:vAlign w:val="center"/>
          </w:tcPr>
          <w:p>
            <w:pPr>
              <w:spacing w:line="300" w:lineRule="exact"/>
              <w:ind w:right="-147" w:rightChars="-70"/>
              <w:jc w:val="center"/>
              <w:rPr>
                <w:rFonts w:ascii="仿宋_GB2312" w:eastAsia="仿宋_GB2312"/>
                <w:b/>
                <w:bCs/>
                <w:sz w:val="24"/>
              </w:rPr>
            </w:pPr>
            <w:r>
              <w:rPr>
                <w:rFonts w:ascii="仿宋_GB2312" w:eastAsia="仿宋_GB2312"/>
                <w:sz w:val="24"/>
              </w:rPr>
              <w:t>备注</w:t>
            </w:r>
          </w:p>
        </w:tc>
        <w:tc>
          <w:tcPr>
            <w:tcW w:w="4819" w:type="dxa"/>
            <w:gridSpan w:val="6"/>
            <w:vAlign w:val="center"/>
          </w:tcPr>
          <w:p>
            <w:pPr>
              <w:spacing w:line="300" w:lineRule="exact"/>
              <w:ind w:right="-147" w:rightChars="-70"/>
              <w:rPr>
                <w:rFonts w:ascii="仿宋_GB2312" w:eastAsia="仿宋_GB2312"/>
                <w:sz w:val="24"/>
              </w:rPr>
            </w:pPr>
            <w:r>
              <w:rPr>
                <w:rFonts w:ascii="仿宋_GB2312" w:eastAsia="仿宋_GB2312"/>
                <w:sz w:val="24"/>
              </w:rPr>
              <w:tab/>
            </w:r>
            <w:r>
              <w:rPr>
                <w:rFonts w:ascii="仿宋_GB2312" w:eastAsia="仿宋_GB2312"/>
                <w:sz w:val="24"/>
              </w:rPr>
              <w:t>请将参会回执回传或E-mail至会务组，在报名3日内将培训费通过银行或邮局等方式付款，会务组确认到款后即发《参会凭证》，其中将详细注明报到时间、地点、等具体安排事项。各参会代表凭证入场。</w:t>
            </w:r>
          </w:p>
        </w:tc>
        <w:tc>
          <w:tcPr>
            <w:tcW w:w="3265" w:type="dxa"/>
            <w:gridSpan w:val="5"/>
            <w:vAlign w:val="center"/>
          </w:tcPr>
          <w:p>
            <w:pPr>
              <w:spacing w:line="300" w:lineRule="exact"/>
              <w:ind w:right="-147" w:rightChars="-70" w:firstLine="1080" w:firstLineChars="450"/>
              <w:rPr>
                <w:rFonts w:ascii="仿宋_GB2312" w:eastAsia="仿宋_GB2312"/>
                <w:sz w:val="24"/>
              </w:rPr>
            </w:pPr>
            <w:r>
              <w:rPr>
                <w:rFonts w:ascii="仿宋_GB2312" w:eastAsia="仿宋_GB2312"/>
                <w:sz w:val="24"/>
              </w:rPr>
              <w:t>单位印章</w:t>
            </w:r>
          </w:p>
          <w:p>
            <w:pPr>
              <w:spacing w:line="300" w:lineRule="exact"/>
              <w:ind w:right="-147" w:rightChars="-70" w:firstLine="240" w:firstLineChars="100"/>
              <w:rPr>
                <w:rFonts w:ascii="仿宋_GB2312" w:eastAsia="仿宋_GB2312"/>
                <w:sz w:val="24"/>
              </w:rPr>
            </w:pPr>
            <w:r>
              <w:rPr>
                <w:rFonts w:hint="eastAsia" w:ascii="仿宋_GB2312" w:eastAsia="仿宋_GB2312"/>
                <w:sz w:val="24"/>
              </w:rPr>
              <w:t>二〇二〇</w:t>
            </w:r>
            <w:r>
              <w:rPr>
                <w:rFonts w:ascii="仿宋_GB2312" w:eastAsia="仿宋_GB2312"/>
                <w:sz w:val="24"/>
              </w:rPr>
              <w:t>年  月  日</w:t>
            </w:r>
          </w:p>
        </w:tc>
      </w:tr>
    </w:tbl>
    <w:p>
      <w:pPr>
        <w:widowControl/>
        <w:rPr>
          <w:rFonts w:ascii="仿宋" w:hAnsi="仿宋" w:eastAsia="仿宋" w:cs="仿宋"/>
          <w:b/>
          <w:kern w:val="0"/>
          <w:sz w:val="24"/>
        </w:rPr>
      </w:pPr>
      <w:r>
        <w:rPr>
          <w:rFonts w:hint="eastAsia" w:ascii="仿宋" w:hAnsi="仿宋" w:eastAsia="仿宋" w:cs="仿宋"/>
          <w:b/>
          <w:kern w:val="0"/>
          <w:sz w:val="24"/>
        </w:rPr>
        <w:t>备注：培训班名额有限,请尽早报名，额满为止。报名表加盖印章有效</w:t>
      </w:r>
    </w:p>
    <w:p>
      <w:pPr>
        <w:spacing w:line="330" w:lineRule="exact"/>
        <w:ind w:firstLine="840" w:firstLineChars="300"/>
        <w:rPr>
          <w:rFonts w:hint="eastAsia" w:ascii="仿宋" w:hAnsi="仿宋" w:eastAsia="仿宋" w:cs="仿宋"/>
          <w:kern w:val="0"/>
          <w:sz w:val="28"/>
          <w:szCs w:val="28"/>
        </w:rPr>
      </w:pPr>
      <w:r>
        <w:rPr>
          <w:rFonts w:hint="eastAsia" w:ascii="仿宋" w:hAnsi="仿宋" w:eastAsia="仿宋" w:cs="仿宋"/>
          <w:kern w:val="0"/>
          <w:sz w:val="28"/>
          <w:szCs w:val="28"/>
        </w:rPr>
        <w:t>报名负责人：聂红军 主任 18211071700（微信）   qq咨询：3177524020</w:t>
      </w:r>
    </w:p>
    <w:p>
      <w:pPr>
        <w:spacing w:line="330" w:lineRule="exact"/>
        <w:ind w:firstLine="840" w:firstLineChars="300"/>
        <w:rPr>
          <w:rFonts w:hint="eastAsia" w:ascii="仿宋" w:hAnsi="仿宋" w:eastAsia="仿宋" w:cs="仿宋"/>
          <w:kern w:val="0"/>
          <w:sz w:val="28"/>
          <w:szCs w:val="28"/>
        </w:rPr>
      </w:pPr>
      <w:r>
        <w:rPr>
          <w:rFonts w:hint="eastAsia" w:ascii="仿宋" w:hAnsi="仿宋" w:eastAsia="仿宋" w:cs="仿宋"/>
          <w:kern w:val="0"/>
          <w:sz w:val="28"/>
          <w:szCs w:val="28"/>
        </w:rPr>
        <w:t xml:space="preserve">电话（传真）：010-87697580             </w:t>
      </w:r>
      <w:bookmarkStart w:id="1" w:name="_GoBack"/>
      <w:bookmarkEnd w:id="1"/>
      <w:r>
        <w:rPr>
          <w:rFonts w:hint="eastAsia" w:ascii="仿宋" w:hAnsi="仿宋" w:eastAsia="仿宋" w:cs="仿宋"/>
          <w:kern w:val="0"/>
          <w:sz w:val="28"/>
          <w:szCs w:val="28"/>
        </w:rPr>
        <w:t xml:space="preserve">邮  箱：zqgphwz@126.com   </w:t>
      </w:r>
    </w:p>
    <w:p>
      <w:pPr>
        <w:spacing w:line="330" w:lineRule="exact"/>
        <w:ind w:firstLine="840" w:firstLineChars="300"/>
        <w:rPr>
          <w:rFonts w:ascii="仿宋" w:hAnsi="仿宋" w:eastAsia="仿宋" w:cs="仿宋"/>
          <w:kern w:val="0"/>
          <w:sz w:val="28"/>
          <w:szCs w:val="28"/>
        </w:rPr>
      </w:pPr>
      <w:r>
        <w:rPr>
          <w:rFonts w:hint="eastAsia" w:ascii="仿宋" w:hAnsi="仿宋" w:eastAsia="仿宋" w:cs="仿宋"/>
          <w:kern w:val="0"/>
          <w:sz w:val="28"/>
          <w:szCs w:val="28"/>
        </w:rPr>
        <w:t xml:space="preserve">网址查询：http://www.zqgpchina.cn/ </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CxoYBBGAIAABIEAAAOAAAAZHJzL2Uyb0RvYy54bWytU8uO0zAU3SPx&#10;D5b3NGmHGYaq6ajMqAipYkYqiLXrOE0kv2S7TcoHwB+wmg17vqvfwbGbdBCwQmycm3uP7+Pc49lN&#10;pyTZC+cbows6HuWUCM1N2ehtQT9+WL64psQHpksmjRYFPQhPb+bPn81aOxUTUxtZCkeQRPtpawta&#10;h2CnWeZ5LRTzI2OFRrAyTrGAX7fNSsdaZFcym+T5VdYaV1pnuPAe3rtTkM5T/qoSPNxXlReByIKi&#10;t5BOl85NPLP5jE23jtm64X0b7B+6UKzRKHpOdccCIzvX/JFKNdwZb6ow4kZlpqoaLtIMmGac/zbN&#10;umZWpFlAjrdnmvz/S8vf7x8caUrsjhLNFFZ0/Pb1+Pjj+P0LGUd6WuunQK0tcKF7Y7oI7f0ezjh1&#10;VzkVv5iHIA6iD2dyRRcIh/Py+uUEAY7I+OL1qzxxnz3dtc6Ht8IoEo2COqwuMcr2Kx9QD9ABEktp&#10;s2ykTOuTmrQFvbq4zNOFcwQ3pI5YkYTQp4nznPqOVug2XT/MxpQHzOjMSSTe8mWDVlbMhwfmoAp0&#10;D6WHexyVNChpeouS2rjPf/NHPJaFKCUtVFZQjWdAiXynscQoyMFwg7EZDL1TtwayxWLQSzJxwQU5&#10;mJUz6hPkv4g1EGKao1JBw2DehpPS8Xy4WCwSCLKzLKz02vKYOtLj7WIXQGdiOZJyYgKUxx8IL5Hf&#10;P5Ko7F//E+rpKc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9sZGvRAAAAAgEAAA8AAAAAAAAA&#10;AQAgAAAAIgAAAGRycy9kb3ducmV2LnhtbFBLAQIUABQAAAAIAIdO4kCxoYBBGAIAABIEAAAOAAAA&#10;AAAAAAEAIAAAACABAABkcnMvZTJvRG9jLnhtbFBLBQYAAAAABgAGAFkBAACq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AD3"/>
    <w:rsid w:val="00000F87"/>
    <w:rsid w:val="0000359C"/>
    <w:rsid w:val="000232DE"/>
    <w:rsid w:val="000308AF"/>
    <w:rsid w:val="000342DF"/>
    <w:rsid w:val="00046647"/>
    <w:rsid w:val="0005255C"/>
    <w:rsid w:val="00056A27"/>
    <w:rsid w:val="0006446E"/>
    <w:rsid w:val="00074E1A"/>
    <w:rsid w:val="00092650"/>
    <w:rsid w:val="000C066B"/>
    <w:rsid w:val="000C7A80"/>
    <w:rsid w:val="000C7BB8"/>
    <w:rsid w:val="000E10CF"/>
    <w:rsid w:val="00103FE5"/>
    <w:rsid w:val="00110043"/>
    <w:rsid w:val="00110F54"/>
    <w:rsid w:val="00114ABE"/>
    <w:rsid w:val="00115BBD"/>
    <w:rsid w:val="00117A73"/>
    <w:rsid w:val="00130DE1"/>
    <w:rsid w:val="0013280D"/>
    <w:rsid w:val="00147186"/>
    <w:rsid w:val="00150106"/>
    <w:rsid w:val="001511A0"/>
    <w:rsid w:val="001513F6"/>
    <w:rsid w:val="001542EE"/>
    <w:rsid w:val="00154D41"/>
    <w:rsid w:val="00176CF4"/>
    <w:rsid w:val="0019052F"/>
    <w:rsid w:val="001B6B47"/>
    <w:rsid w:val="001C0221"/>
    <w:rsid w:val="001C57FA"/>
    <w:rsid w:val="001D12CD"/>
    <w:rsid w:val="001E0334"/>
    <w:rsid w:val="001F19FD"/>
    <w:rsid w:val="00202996"/>
    <w:rsid w:val="002135E2"/>
    <w:rsid w:val="0022107C"/>
    <w:rsid w:val="00224B28"/>
    <w:rsid w:val="002315D5"/>
    <w:rsid w:val="002368DA"/>
    <w:rsid w:val="002406D9"/>
    <w:rsid w:val="00265856"/>
    <w:rsid w:val="00280CFA"/>
    <w:rsid w:val="002811AE"/>
    <w:rsid w:val="002815F5"/>
    <w:rsid w:val="0028238A"/>
    <w:rsid w:val="00290A6E"/>
    <w:rsid w:val="00295FD2"/>
    <w:rsid w:val="002A360A"/>
    <w:rsid w:val="002A6938"/>
    <w:rsid w:val="002B26B3"/>
    <w:rsid w:val="002B4033"/>
    <w:rsid w:val="002C4C8C"/>
    <w:rsid w:val="002D7578"/>
    <w:rsid w:val="00301501"/>
    <w:rsid w:val="0030751E"/>
    <w:rsid w:val="0032074D"/>
    <w:rsid w:val="003262A3"/>
    <w:rsid w:val="0032769F"/>
    <w:rsid w:val="003317EA"/>
    <w:rsid w:val="00331E3C"/>
    <w:rsid w:val="00340CE5"/>
    <w:rsid w:val="003659D3"/>
    <w:rsid w:val="003757C7"/>
    <w:rsid w:val="003803B9"/>
    <w:rsid w:val="003860F6"/>
    <w:rsid w:val="003C0CD0"/>
    <w:rsid w:val="003C33F0"/>
    <w:rsid w:val="003D112D"/>
    <w:rsid w:val="003F2132"/>
    <w:rsid w:val="003F5394"/>
    <w:rsid w:val="004008E1"/>
    <w:rsid w:val="00407028"/>
    <w:rsid w:val="00422C30"/>
    <w:rsid w:val="0043096F"/>
    <w:rsid w:val="00441C2A"/>
    <w:rsid w:val="004569EF"/>
    <w:rsid w:val="00457F0B"/>
    <w:rsid w:val="00460A34"/>
    <w:rsid w:val="00464254"/>
    <w:rsid w:val="00465F9B"/>
    <w:rsid w:val="00470934"/>
    <w:rsid w:val="00471165"/>
    <w:rsid w:val="004738EA"/>
    <w:rsid w:val="004A4BEF"/>
    <w:rsid w:val="004A4FF4"/>
    <w:rsid w:val="004B0CD7"/>
    <w:rsid w:val="004B0ECD"/>
    <w:rsid w:val="004B15E2"/>
    <w:rsid w:val="004B20C0"/>
    <w:rsid w:val="004C6075"/>
    <w:rsid w:val="004D607B"/>
    <w:rsid w:val="004E143A"/>
    <w:rsid w:val="004E237C"/>
    <w:rsid w:val="004F265B"/>
    <w:rsid w:val="004F6A68"/>
    <w:rsid w:val="00507303"/>
    <w:rsid w:val="005206E5"/>
    <w:rsid w:val="00531972"/>
    <w:rsid w:val="0053533B"/>
    <w:rsid w:val="005414A6"/>
    <w:rsid w:val="00546AF6"/>
    <w:rsid w:val="00550319"/>
    <w:rsid w:val="005662BA"/>
    <w:rsid w:val="0059259C"/>
    <w:rsid w:val="005960A9"/>
    <w:rsid w:val="0059749D"/>
    <w:rsid w:val="005A4849"/>
    <w:rsid w:val="005B728E"/>
    <w:rsid w:val="005E1F51"/>
    <w:rsid w:val="006043A3"/>
    <w:rsid w:val="0061057E"/>
    <w:rsid w:val="0061060F"/>
    <w:rsid w:val="0063196E"/>
    <w:rsid w:val="00660ECA"/>
    <w:rsid w:val="006637EB"/>
    <w:rsid w:val="00673B2F"/>
    <w:rsid w:val="0067507E"/>
    <w:rsid w:val="006932E8"/>
    <w:rsid w:val="006A33E5"/>
    <w:rsid w:val="006B025E"/>
    <w:rsid w:val="006C2CED"/>
    <w:rsid w:val="006D4FCF"/>
    <w:rsid w:val="006E28D9"/>
    <w:rsid w:val="006E4A26"/>
    <w:rsid w:val="006E5EC1"/>
    <w:rsid w:val="00720BC2"/>
    <w:rsid w:val="007211E2"/>
    <w:rsid w:val="00721AEB"/>
    <w:rsid w:val="00725DD5"/>
    <w:rsid w:val="00732767"/>
    <w:rsid w:val="00733AA0"/>
    <w:rsid w:val="007740D3"/>
    <w:rsid w:val="00777879"/>
    <w:rsid w:val="00797AA1"/>
    <w:rsid w:val="007A27FA"/>
    <w:rsid w:val="007A45EF"/>
    <w:rsid w:val="007A5669"/>
    <w:rsid w:val="007B49DF"/>
    <w:rsid w:val="007C2681"/>
    <w:rsid w:val="007D595B"/>
    <w:rsid w:val="007F2DDA"/>
    <w:rsid w:val="007F5AA6"/>
    <w:rsid w:val="00802300"/>
    <w:rsid w:val="008036E9"/>
    <w:rsid w:val="00807356"/>
    <w:rsid w:val="00814AD1"/>
    <w:rsid w:val="00833D7A"/>
    <w:rsid w:val="00834BD9"/>
    <w:rsid w:val="00836499"/>
    <w:rsid w:val="00857FD9"/>
    <w:rsid w:val="00872F56"/>
    <w:rsid w:val="0088357D"/>
    <w:rsid w:val="00890163"/>
    <w:rsid w:val="008C4880"/>
    <w:rsid w:val="008D037D"/>
    <w:rsid w:val="008D3603"/>
    <w:rsid w:val="008F4FEA"/>
    <w:rsid w:val="00901B54"/>
    <w:rsid w:val="00906D0E"/>
    <w:rsid w:val="009075F7"/>
    <w:rsid w:val="00910F6D"/>
    <w:rsid w:val="00920F0E"/>
    <w:rsid w:val="00934272"/>
    <w:rsid w:val="009365FA"/>
    <w:rsid w:val="009369A3"/>
    <w:rsid w:val="009377C7"/>
    <w:rsid w:val="0094650A"/>
    <w:rsid w:val="009539F8"/>
    <w:rsid w:val="0096214F"/>
    <w:rsid w:val="00966DAC"/>
    <w:rsid w:val="00974BD0"/>
    <w:rsid w:val="00977B5C"/>
    <w:rsid w:val="00991068"/>
    <w:rsid w:val="009938B4"/>
    <w:rsid w:val="009A2D1D"/>
    <w:rsid w:val="009A59DC"/>
    <w:rsid w:val="009B77CF"/>
    <w:rsid w:val="009B798B"/>
    <w:rsid w:val="009C46E9"/>
    <w:rsid w:val="009E2B88"/>
    <w:rsid w:val="009E4166"/>
    <w:rsid w:val="009E4BCB"/>
    <w:rsid w:val="009E7C8B"/>
    <w:rsid w:val="009F1B4F"/>
    <w:rsid w:val="009F70B7"/>
    <w:rsid w:val="00A0140F"/>
    <w:rsid w:val="00A138FB"/>
    <w:rsid w:val="00A37F32"/>
    <w:rsid w:val="00A435CF"/>
    <w:rsid w:val="00A54FE8"/>
    <w:rsid w:val="00A64DAD"/>
    <w:rsid w:val="00A815A4"/>
    <w:rsid w:val="00A8540E"/>
    <w:rsid w:val="00A85F8A"/>
    <w:rsid w:val="00A92A3D"/>
    <w:rsid w:val="00A9550D"/>
    <w:rsid w:val="00AA0AAD"/>
    <w:rsid w:val="00AA16D6"/>
    <w:rsid w:val="00AB5AD3"/>
    <w:rsid w:val="00AD2089"/>
    <w:rsid w:val="00AD535B"/>
    <w:rsid w:val="00AD58CE"/>
    <w:rsid w:val="00AE1B23"/>
    <w:rsid w:val="00AE764D"/>
    <w:rsid w:val="00AF4BBA"/>
    <w:rsid w:val="00B07DE6"/>
    <w:rsid w:val="00B1643A"/>
    <w:rsid w:val="00B165B4"/>
    <w:rsid w:val="00B350D1"/>
    <w:rsid w:val="00B41CBB"/>
    <w:rsid w:val="00B46AA3"/>
    <w:rsid w:val="00B47E67"/>
    <w:rsid w:val="00B5301E"/>
    <w:rsid w:val="00B72811"/>
    <w:rsid w:val="00B7364D"/>
    <w:rsid w:val="00B81A75"/>
    <w:rsid w:val="00B869E9"/>
    <w:rsid w:val="00B86BB9"/>
    <w:rsid w:val="00B92FA8"/>
    <w:rsid w:val="00B93188"/>
    <w:rsid w:val="00BB3624"/>
    <w:rsid w:val="00BC180F"/>
    <w:rsid w:val="00BC4B51"/>
    <w:rsid w:val="00BC5F5C"/>
    <w:rsid w:val="00BC7BDD"/>
    <w:rsid w:val="00BD335A"/>
    <w:rsid w:val="00BD5EF0"/>
    <w:rsid w:val="00BD6444"/>
    <w:rsid w:val="00BF185A"/>
    <w:rsid w:val="00BF48B2"/>
    <w:rsid w:val="00BF627C"/>
    <w:rsid w:val="00C03ECC"/>
    <w:rsid w:val="00C1084B"/>
    <w:rsid w:val="00C11786"/>
    <w:rsid w:val="00C204E4"/>
    <w:rsid w:val="00C26402"/>
    <w:rsid w:val="00C30A83"/>
    <w:rsid w:val="00C42E7E"/>
    <w:rsid w:val="00C57D45"/>
    <w:rsid w:val="00C743BC"/>
    <w:rsid w:val="00C8130A"/>
    <w:rsid w:val="00C83028"/>
    <w:rsid w:val="00C83BCE"/>
    <w:rsid w:val="00C9437E"/>
    <w:rsid w:val="00CA0162"/>
    <w:rsid w:val="00CA2796"/>
    <w:rsid w:val="00CB06DF"/>
    <w:rsid w:val="00CB746D"/>
    <w:rsid w:val="00CC4E7C"/>
    <w:rsid w:val="00CD073C"/>
    <w:rsid w:val="00CD1C04"/>
    <w:rsid w:val="00CE5058"/>
    <w:rsid w:val="00D104CF"/>
    <w:rsid w:val="00D13B44"/>
    <w:rsid w:val="00D2111E"/>
    <w:rsid w:val="00D36FDC"/>
    <w:rsid w:val="00D47FE5"/>
    <w:rsid w:val="00D5439B"/>
    <w:rsid w:val="00D628B4"/>
    <w:rsid w:val="00D83A0B"/>
    <w:rsid w:val="00D90FE1"/>
    <w:rsid w:val="00D937B8"/>
    <w:rsid w:val="00D93CC0"/>
    <w:rsid w:val="00DA2B5E"/>
    <w:rsid w:val="00DB3F1A"/>
    <w:rsid w:val="00DB68D0"/>
    <w:rsid w:val="00DC5D26"/>
    <w:rsid w:val="00DE4CF1"/>
    <w:rsid w:val="00DE51AD"/>
    <w:rsid w:val="00DE75D5"/>
    <w:rsid w:val="00DF3E0F"/>
    <w:rsid w:val="00DF7B46"/>
    <w:rsid w:val="00E05D46"/>
    <w:rsid w:val="00E067D1"/>
    <w:rsid w:val="00E11B43"/>
    <w:rsid w:val="00E327BC"/>
    <w:rsid w:val="00E34CD4"/>
    <w:rsid w:val="00E36847"/>
    <w:rsid w:val="00E44770"/>
    <w:rsid w:val="00E562D3"/>
    <w:rsid w:val="00E6094A"/>
    <w:rsid w:val="00E6168E"/>
    <w:rsid w:val="00E72088"/>
    <w:rsid w:val="00E739C0"/>
    <w:rsid w:val="00E86258"/>
    <w:rsid w:val="00E905F5"/>
    <w:rsid w:val="00EA0C2C"/>
    <w:rsid w:val="00EA30EE"/>
    <w:rsid w:val="00EA3969"/>
    <w:rsid w:val="00EA4432"/>
    <w:rsid w:val="00EB2E46"/>
    <w:rsid w:val="00EB3CAE"/>
    <w:rsid w:val="00EB482C"/>
    <w:rsid w:val="00EC1011"/>
    <w:rsid w:val="00EC2F79"/>
    <w:rsid w:val="00EE6FEB"/>
    <w:rsid w:val="00EF2191"/>
    <w:rsid w:val="00EF72ED"/>
    <w:rsid w:val="00F00F6C"/>
    <w:rsid w:val="00F111BD"/>
    <w:rsid w:val="00F11F60"/>
    <w:rsid w:val="00F2132C"/>
    <w:rsid w:val="00F238CC"/>
    <w:rsid w:val="00F35CBE"/>
    <w:rsid w:val="00F36867"/>
    <w:rsid w:val="00F37322"/>
    <w:rsid w:val="00F4480A"/>
    <w:rsid w:val="00F45A97"/>
    <w:rsid w:val="00F55056"/>
    <w:rsid w:val="00F62FF6"/>
    <w:rsid w:val="00F670BD"/>
    <w:rsid w:val="00F74807"/>
    <w:rsid w:val="00F74E65"/>
    <w:rsid w:val="00F81D6E"/>
    <w:rsid w:val="00F87A32"/>
    <w:rsid w:val="00FA61AD"/>
    <w:rsid w:val="00FC62BC"/>
    <w:rsid w:val="00FC6989"/>
    <w:rsid w:val="00FE379E"/>
    <w:rsid w:val="011869AB"/>
    <w:rsid w:val="017D07DB"/>
    <w:rsid w:val="018525FE"/>
    <w:rsid w:val="025D576C"/>
    <w:rsid w:val="02865BA2"/>
    <w:rsid w:val="02B37FBA"/>
    <w:rsid w:val="02C81F6B"/>
    <w:rsid w:val="03535851"/>
    <w:rsid w:val="036971A1"/>
    <w:rsid w:val="03974C8A"/>
    <w:rsid w:val="04E75722"/>
    <w:rsid w:val="051F6F37"/>
    <w:rsid w:val="05994947"/>
    <w:rsid w:val="07174066"/>
    <w:rsid w:val="077D4188"/>
    <w:rsid w:val="083D3D8F"/>
    <w:rsid w:val="08742D37"/>
    <w:rsid w:val="092D3638"/>
    <w:rsid w:val="094C2BE9"/>
    <w:rsid w:val="0969152B"/>
    <w:rsid w:val="097E6109"/>
    <w:rsid w:val="0B1373FF"/>
    <w:rsid w:val="0CC17F35"/>
    <w:rsid w:val="0CD80741"/>
    <w:rsid w:val="0D187FC1"/>
    <w:rsid w:val="0D607878"/>
    <w:rsid w:val="0DDB64A7"/>
    <w:rsid w:val="0E5C102E"/>
    <w:rsid w:val="0F056C30"/>
    <w:rsid w:val="10644AAF"/>
    <w:rsid w:val="10A372C7"/>
    <w:rsid w:val="114D4F7C"/>
    <w:rsid w:val="12027751"/>
    <w:rsid w:val="12D560A8"/>
    <w:rsid w:val="13736A80"/>
    <w:rsid w:val="13CF4039"/>
    <w:rsid w:val="13E20B00"/>
    <w:rsid w:val="142253C7"/>
    <w:rsid w:val="14A817C7"/>
    <w:rsid w:val="14A9364E"/>
    <w:rsid w:val="14BF0714"/>
    <w:rsid w:val="15166C9D"/>
    <w:rsid w:val="15864B23"/>
    <w:rsid w:val="15D31A24"/>
    <w:rsid w:val="160A3EB0"/>
    <w:rsid w:val="163E125F"/>
    <w:rsid w:val="17282EEC"/>
    <w:rsid w:val="172C21CC"/>
    <w:rsid w:val="17432ED1"/>
    <w:rsid w:val="1743790C"/>
    <w:rsid w:val="1758171F"/>
    <w:rsid w:val="18225480"/>
    <w:rsid w:val="189F579A"/>
    <w:rsid w:val="18C716DD"/>
    <w:rsid w:val="19787872"/>
    <w:rsid w:val="1A341559"/>
    <w:rsid w:val="1ACA602F"/>
    <w:rsid w:val="1C1A735D"/>
    <w:rsid w:val="1C6A3055"/>
    <w:rsid w:val="1C9B6920"/>
    <w:rsid w:val="1D316D1D"/>
    <w:rsid w:val="1DBF0CBB"/>
    <w:rsid w:val="1DC240E8"/>
    <w:rsid w:val="1DD0407D"/>
    <w:rsid w:val="1E3F75CB"/>
    <w:rsid w:val="1F2E3600"/>
    <w:rsid w:val="1F4C3447"/>
    <w:rsid w:val="1F805E87"/>
    <w:rsid w:val="202237EC"/>
    <w:rsid w:val="21E265C3"/>
    <w:rsid w:val="21EF13BE"/>
    <w:rsid w:val="22124569"/>
    <w:rsid w:val="22AA301A"/>
    <w:rsid w:val="231A79FB"/>
    <w:rsid w:val="23B87482"/>
    <w:rsid w:val="2534515B"/>
    <w:rsid w:val="25514918"/>
    <w:rsid w:val="25CC746F"/>
    <w:rsid w:val="25CD7195"/>
    <w:rsid w:val="26D97FC8"/>
    <w:rsid w:val="271746DF"/>
    <w:rsid w:val="275C2E99"/>
    <w:rsid w:val="27630FE2"/>
    <w:rsid w:val="27654257"/>
    <w:rsid w:val="276867BB"/>
    <w:rsid w:val="27E14DA2"/>
    <w:rsid w:val="2825101B"/>
    <w:rsid w:val="28F14FED"/>
    <w:rsid w:val="28FA7512"/>
    <w:rsid w:val="29A0598C"/>
    <w:rsid w:val="2A8759F2"/>
    <w:rsid w:val="2BC86235"/>
    <w:rsid w:val="2BF61856"/>
    <w:rsid w:val="2BFA6DD9"/>
    <w:rsid w:val="2C451C26"/>
    <w:rsid w:val="2C917B80"/>
    <w:rsid w:val="2E0B1A91"/>
    <w:rsid w:val="2E467FBA"/>
    <w:rsid w:val="2E651036"/>
    <w:rsid w:val="2EBB1E5C"/>
    <w:rsid w:val="2F2B60A8"/>
    <w:rsid w:val="2F9068E6"/>
    <w:rsid w:val="30E45296"/>
    <w:rsid w:val="3187040E"/>
    <w:rsid w:val="319E4FAA"/>
    <w:rsid w:val="31CA4677"/>
    <w:rsid w:val="33B72C9D"/>
    <w:rsid w:val="34A64039"/>
    <w:rsid w:val="34AF0B35"/>
    <w:rsid w:val="34E55454"/>
    <w:rsid w:val="35083BB2"/>
    <w:rsid w:val="3519586F"/>
    <w:rsid w:val="35C03643"/>
    <w:rsid w:val="35F60F20"/>
    <w:rsid w:val="363E3C50"/>
    <w:rsid w:val="36C30E80"/>
    <w:rsid w:val="37837751"/>
    <w:rsid w:val="37E34461"/>
    <w:rsid w:val="3864090B"/>
    <w:rsid w:val="38895F5A"/>
    <w:rsid w:val="393A0128"/>
    <w:rsid w:val="399F020A"/>
    <w:rsid w:val="39C2689A"/>
    <w:rsid w:val="39F25D24"/>
    <w:rsid w:val="3A72059F"/>
    <w:rsid w:val="3AC9262E"/>
    <w:rsid w:val="3B3A4564"/>
    <w:rsid w:val="3B9503EA"/>
    <w:rsid w:val="3BD43020"/>
    <w:rsid w:val="3C0E2504"/>
    <w:rsid w:val="3C8049D1"/>
    <w:rsid w:val="3CB34BDA"/>
    <w:rsid w:val="3D3C2B7A"/>
    <w:rsid w:val="3D854F8E"/>
    <w:rsid w:val="3E514ED8"/>
    <w:rsid w:val="3F276853"/>
    <w:rsid w:val="3FEF0D6E"/>
    <w:rsid w:val="405E0718"/>
    <w:rsid w:val="4079252D"/>
    <w:rsid w:val="41D66FCC"/>
    <w:rsid w:val="423F4B39"/>
    <w:rsid w:val="425F6512"/>
    <w:rsid w:val="42606FC8"/>
    <w:rsid w:val="427A6C29"/>
    <w:rsid w:val="43A9737B"/>
    <w:rsid w:val="44471EF0"/>
    <w:rsid w:val="45D51F5C"/>
    <w:rsid w:val="465D0061"/>
    <w:rsid w:val="4671741C"/>
    <w:rsid w:val="46F61667"/>
    <w:rsid w:val="46F96486"/>
    <w:rsid w:val="47CE26FD"/>
    <w:rsid w:val="47D63F93"/>
    <w:rsid w:val="4801544B"/>
    <w:rsid w:val="480477FC"/>
    <w:rsid w:val="485B3261"/>
    <w:rsid w:val="48770DE2"/>
    <w:rsid w:val="49737182"/>
    <w:rsid w:val="4AAF6946"/>
    <w:rsid w:val="4AF93BC8"/>
    <w:rsid w:val="4B2A78AD"/>
    <w:rsid w:val="4E4C35E9"/>
    <w:rsid w:val="4E5C6A4B"/>
    <w:rsid w:val="4EDD069A"/>
    <w:rsid w:val="4F1A6A36"/>
    <w:rsid w:val="4F255DB4"/>
    <w:rsid w:val="4F502534"/>
    <w:rsid w:val="5086425C"/>
    <w:rsid w:val="50EB4984"/>
    <w:rsid w:val="511F4A02"/>
    <w:rsid w:val="511F77FB"/>
    <w:rsid w:val="51577817"/>
    <w:rsid w:val="51894D24"/>
    <w:rsid w:val="521336C8"/>
    <w:rsid w:val="526E7C4E"/>
    <w:rsid w:val="52B873DF"/>
    <w:rsid w:val="52EB1D81"/>
    <w:rsid w:val="53433460"/>
    <w:rsid w:val="53A0535F"/>
    <w:rsid w:val="53CA0CA6"/>
    <w:rsid w:val="545F3AEE"/>
    <w:rsid w:val="54811502"/>
    <w:rsid w:val="54A045B2"/>
    <w:rsid w:val="553C14D6"/>
    <w:rsid w:val="55CF2235"/>
    <w:rsid w:val="563029D7"/>
    <w:rsid w:val="56567BA9"/>
    <w:rsid w:val="568E62EB"/>
    <w:rsid w:val="575E3358"/>
    <w:rsid w:val="57BD2129"/>
    <w:rsid w:val="57C14A09"/>
    <w:rsid w:val="5870386E"/>
    <w:rsid w:val="58CD7A24"/>
    <w:rsid w:val="5950539C"/>
    <w:rsid w:val="5A616693"/>
    <w:rsid w:val="5AF014CD"/>
    <w:rsid w:val="5B1950BD"/>
    <w:rsid w:val="5B4643C3"/>
    <w:rsid w:val="5B57314F"/>
    <w:rsid w:val="5C4F65BE"/>
    <w:rsid w:val="5C7A40A7"/>
    <w:rsid w:val="5E255F75"/>
    <w:rsid w:val="5E9C61EE"/>
    <w:rsid w:val="5EAD2585"/>
    <w:rsid w:val="5F502257"/>
    <w:rsid w:val="5F647DF3"/>
    <w:rsid w:val="5F705A0C"/>
    <w:rsid w:val="60D1271D"/>
    <w:rsid w:val="61310BC7"/>
    <w:rsid w:val="61CE73B0"/>
    <w:rsid w:val="6224530F"/>
    <w:rsid w:val="622B2355"/>
    <w:rsid w:val="63442F70"/>
    <w:rsid w:val="63535B88"/>
    <w:rsid w:val="637067C7"/>
    <w:rsid w:val="63B90B4D"/>
    <w:rsid w:val="64A65681"/>
    <w:rsid w:val="650A73B1"/>
    <w:rsid w:val="65BA1C78"/>
    <w:rsid w:val="65BA2AD4"/>
    <w:rsid w:val="65D86D7D"/>
    <w:rsid w:val="66B53431"/>
    <w:rsid w:val="67165475"/>
    <w:rsid w:val="672659C0"/>
    <w:rsid w:val="6787266D"/>
    <w:rsid w:val="67D77787"/>
    <w:rsid w:val="67EB49D1"/>
    <w:rsid w:val="685C6586"/>
    <w:rsid w:val="687F42C4"/>
    <w:rsid w:val="6960453D"/>
    <w:rsid w:val="697D040D"/>
    <w:rsid w:val="698409ED"/>
    <w:rsid w:val="6A11215D"/>
    <w:rsid w:val="6A492A69"/>
    <w:rsid w:val="6A74173C"/>
    <w:rsid w:val="6B3512F8"/>
    <w:rsid w:val="6B4A4762"/>
    <w:rsid w:val="6B81373D"/>
    <w:rsid w:val="6BF06556"/>
    <w:rsid w:val="6BF46113"/>
    <w:rsid w:val="6C2329A7"/>
    <w:rsid w:val="6C5A5C1A"/>
    <w:rsid w:val="6CA25F3E"/>
    <w:rsid w:val="6DD0135D"/>
    <w:rsid w:val="6DE81B9B"/>
    <w:rsid w:val="6E5B5392"/>
    <w:rsid w:val="6E777FC9"/>
    <w:rsid w:val="6E921E4C"/>
    <w:rsid w:val="6EC04D44"/>
    <w:rsid w:val="6ED33FB9"/>
    <w:rsid w:val="6ED9516E"/>
    <w:rsid w:val="6F2522CE"/>
    <w:rsid w:val="6FA07554"/>
    <w:rsid w:val="6FD35462"/>
    <w:rsid w:val="71527F3D"/>
    <w:rsid w:val="71726E1F"/>
    <w:rsid w:val="718A2199"/>
    <w:rsid w:val="723B294E"/>
    <w:rsid w:val="72A75B9F"/>
    <w:rsid w:val="73E26068"/>
    <w:rsid w:val="7441451E"/>
    <w:rsid w:val="754164CF"/>
    <w:rsid w:val="755556E5"/>
    <w:rsid w:val="7583497A"/>
    <w:rsid w:val="75BB7057"/>
    <w:rsid w:val="75C83C9E"/>
    <w:rsid w:val="76841FCA"/>
    <w:rsid w:val="76FB3F41"/>
    <w:rsid w:val="781E4804"/>
    <w:rsid w:val="785966C9"/>
    <w:rsid w:val="78693F6B"/>
    <w:rsid w:val="78E6558A"/>
    <w:rsid w:val="790348B2"/>
    <w:rsid w:val="79895EB2"/>
    <w:rsid w:val="7B166D76"/>
    <w:rsid w:val="7B347CE7"/>
    <w:rsid w:val="7B927BA1"/>
    <w:rsid w:val="7C544BD7"/>
    <w:rsid w:val="7CCF6E56"/>
    <w:rsid w:val="7E473B6E"/>
    <w:rsid w:val="7E7244F2"/>
    <w:rsid w:val="7EF0300D"/>
    <w:rsid w:val="7F8F0389"/>
    <w:rsid w:val="7FD90A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6"/>
    <w:qFormat/>
    <w:uiPriority w:val="99"/>
    <w:pPr>
      <w:widowControl/>
      <w:spacing w:before="100" w:beforeAutospacing="1" w:after="100" w:afterAutospacing="1"/>
      <w:jc w:val="left"/>
      <w:outlineLvl w:val="0"/>
    </w:pPr>
    <w:rPr>
      <w:rFonts w:ascii="宋体" w:hAnsi="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Document Map"/>
    <w:basedOn w:val="1"/>
    <w:link w:val="17"/>
    <w:semiHidden/>
    <w:qFormat/>
    <w:uiPriority w:val="99"/>
    <w:rPr>
      <w:rFonts w:ascii="宋体"/>
      <w:sz w:val="18"/>
      <w:szCs w:val="18"/>
    </w:rPr>
  </w:style>
  <w:style w:type="paragraph" w:styleId="4">
    <w:name w:val="Body Text"/>
    <w:basedOn w:val="1"/>
    <w:qFormat/>
    <w:uiPriority w:val="1"/>
    <w:pPr>
      <w:autoSpaceDE w:val="0"/>
      <w:autoSpaceDN w:val="0"/>
      <w:jc w:val="left"/>
    </w:pPr>
    <w:rPr>
      <w:rFonts w:ascii="华文仿宋" w:hAnsi="华文仿宋" w:eastAsia="华文仿宋" w:cs="华文仿宋"/>
      <w:sz w:val="31"/>
      <w:szCs w:val="31"/>
      <w:lang w:val="zh-CN" w:bidi="zh-CN"/>
    </w:rPr>
  </w:style>
  <w:style w:type="paragraph" w:styleId="5">
    <w:name w:val="Balloon Text"/>
    <w:basedOn w:val="1"/>
    <w:link w:val="18"/>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Strong"/>
    <w:basedOn w:val="10"/>
    <w:qFormat/>
    <w:uiPriority w:val="99"/>
    <w:rPr>
      <w:rFonts w:cs="Times New Roman"/>
      <w:b/>
      <w:bCs/>
    </w:rPr>
  </w:style>
  <w:style w:type="character" w:styleId="12">
    <w:name w:val="page number"/>
    <w:basedOn w:val="10"/>
    <w:qFormat/>
    <w:uiPriority w:val="0"/>
  </w:style>
  <w:style w:type="character" w:styleId="13">
    <w:name w:val="Emphasis"/>
    <w:basedOn w:val="10"/>
    <w:qFormat/>
    <w:uiPriority w:val="99"/>
    <w:rPr>
      <w:rFonts w:cs="Times New Roman"/>
      <w:i/>
      <w:iCs/>
    </w:rPr>
  </w:style>
  <w:style w:type="character" w:styleId="14">
    <w:name w:val="Hyperlink"/>
    <w:basedOn w:val="10"/>
    <w:qFormat/>
    <w:uiPriority w:val="99"/>
    <w:rPr>
      <w:rFonts w:cs="Times New Roman"/>
      <w:color w:val="444444"/>
      <w:u w:val="none"/>
    </w:rPr>
  </w:style>
  <w:style w:type="paragraph" w:customStyle="1" w:styleId="15">
    <w:name w:val="Char Char Char Char Char Char Char"/>
    <w:basedOn w:val="1"/>
    <w:qFormat/>
    <w:uiPriority w:val="0"/>
    <w:pPr>
      <w:widowControl/>
      <w:spacing w:after="160" w:line="240" w:lineRule="exact"/>
      <w:jc w:val="left"/>
    </w:pPr>
  </w:style>
  <w:style w:type="character" w:customStyle="1" w:styleId="16">
    <w:name w:val="标题 1 Char"/>
    <w:basedOn w:val="10"/>
    <w:link w:val="2"/>
    <w:qFormat/>
    <w:locked/>
    <w:uiPriority w:val="99"/>
    <w:rPr>
      <w:rFonts w:ascii="宋体" w:eastAsia="宋体" w:cs="宋体"/>
      <w:b/>
      <w:bCs/>
      <w:kern w:val="36"/>
      <w:sz w:val="48"/>
      <w:szCs w:val="48"/>
    </w:rPr>
  </w:style>
  <w:style w:type="character" w:customStyle="1" w:styleId="17">
    <w:name w:val="文档结构图 Char"/>
    <w:basedOn w:val="10"/>
    <w:link w:val="3"/>
    <w:semiHidden/>
    <w:qFormat/>
    <w:locked/>
    <w:uiPriority w:val="99"/>
    <w:rPr>
      <w:rFonts w:ascii="宋体" w:hAnsi="Calibri" w:cs="宋体"/>
      <w:kern w:val="2"/>
      <w:sz w:val="18"/>
      <w:szCs w:val="18"/>
    </w:rPr>
  </w:style>
  <w:style w:type="character" w:customStyle="1" w:styleId="18">
    <w:name w:val="批注框文本 Char"/>
    <w:basedOn w:val="10"/>
    <w:link w:val="5"/>
    <w:qFormat/>
    <w:locked/>
    <w:uiPriority w:val="99"/>
    <w:rPr>
      <w:rFonts w:ascii="Calibri" w:hAnsi="Calibri" w:eastAsia="宋体" w:cs="宋体"/>
      <w:kern w:val="2"/>
      <w:sz w:val="18"/>
      <w:szCs w:val="18"/>
    </w:rPr>
  </w:style>
  <w:style w:type="character" w:customStyle="1" w:styleId="19">
    <w:name w:val="页脚 Char"/>
    <w:basedOn w:val="10"/>
    <w:link w:val="6"/>
    <w:qFormat/>
    <w:locked/>
    <w:uiPriority w:val="99"/>
    <w:rPr>
      <w:rFonts w:ascii="Calibri" w:hAnsi="Calibri" w:eastAsia="宋体" w:cs="宋体"/>
      <w:kern w:val="2"/>
      <w:sz w:val="18"/>
      <w:szCs w:val="18"/>
    </w:rPr>
  </w:style>
  <w:style w:type="character" w:customStyle="1" w:styleId="20">
    <w:name w:val="页眉 Char"/>
    <w:basedOn w:val="10"/>
    <w:link w:val="7"/>
    <w:qFormat/>
    <w:locked/>
    <w:uiPriority w:val="99"/>
    <w:rPr>
      <w:rFonts w:ascii="Calibri" w:hAnsi="Calibri" w:eastAsia="宋体" w:cs="宋体"/>
      <w:kern w:val="2"/>
      <w:sz w:val="18"/>
      <w:szCs w:val="18"/>
    </w:rPr>
  </w:style>
  <w:style w:type="paragraph" w:styleId="21">
    <w:name w:val="List Paragraph"/>
    <w:basedOn w:val="1"/>
    <w:qFormat/>
    <w:uiPriority w:val="99"/>
    <w:pPr>
      <w:ind w:firstLine="420" w:firstLineChars="200"/>
    </w:pPr>
  </w:style>
  <w:style w:type="paragraph" w:customStyle="1" w:styleId="22">
    <w:name w:val="列出段落1"/>
    <w:basedOn w:val="1"/>
    <w:qFormat/>
    <w:uiPriority w:val="99"/>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microsoft.com/office/2007/relationships/hdphoto" Target="media/image2.wdp"/><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59868E-28C0-43B8-B7F8-D81492234EF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5</Pages>
  <Words>625</Words>
  <Characters>3566</Characters>
  <Lines>29</Lines>
  <Paragraphs>8</Paragraphs>
  <TotalTime>8</TotalTime>
  <ScaleCrop>false</ScaleCrop>
  <LinksUpToDate>false</LinksUpToDate>
  <CharactersWithSpaces>4183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2019-12-03T03:19:00Z</dcterms:created>
  <dc:creator>lenovo</dc:creator>
  <cp:lastModifiedBy>Administrator</cp:lastModifiedBy>
  <cp:lastPrinted>2019-08-01T07:44:00Z</cp:lastPrinted>
  <dcterms:modified xsi:type="dcterms:W3CDTF">2020-04-23T02:23:23Z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