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jc w:val="center"/>
        <w:rPr>
          <w:rFonts w:ascii="仿宋" w:hAnsi="仿宋" w:eastAsia="仿宋" w:cs="仿宋_GB2312"/>
          <w:b/>
          <w:color w:val="FF0000"/>
          <w:sz w:val="72"/>
          <w:szCs w:val="72"/>
        </w:rPr>
      </w:pPr>
      <w:r>
        <w:rPr>
          <w:rFonts w:hint="eastAsia" w:ascii="仿宋" w:hAnsi="仿宋" w:eastAsia="仿宋" w:cs="仿宋_GB2312"/>
          <w:b/>
          <w:color w:val="FF0000"/>
          <w:sz w:val="72"/>
          <w:szCs w:val="72"/>
        </w:rPr>
        <w:t>中国国际工程咨询协会</w:t>
      </w:r>
    </w:p>
    <w:p>
      <w:pPr>
        <w:adjustRightInd w:val="0"/>
        <w:snapToGrid w:val="0"/>
        <w:spacing w:line="500" w:lineRule="exact"/>
        <w:jc w:val="center"/>
        <w:rPr>
          <w:rStyle w:val="10"/>
          <w:rFonts w:ascii="宋体" w:hAnsi="宋体" w:eastAsia="宋体" w:cs="宋体"/>
          <w:color w:val="AB1942"/>
          <w:sz w:val="36"/>
          <w:szCs w:val="36"/>
          <w:shd w:val="clear" w:color="auto" w:fill="FFFFFF"/>
        </w:rPr>
      </w:pPr>
      <w:r>
        <w:rPr>
          <w:rFonts w:hint="eastAsia" w:ascii="仿宋" w:hAnsi="仿宋" w:eastAsia="仿宋" w:cs="仿宋_GB2312"/>
          <w:color w:val="000000"/>
          <w:spacing w:val="-12"/>
          <w:sz w:val="28"/>
          <w:szCs w:val="28"/>
        </w:rPr>
        <w:t>商咨协字[2020]027号</w:t>
      </w:r>
    </w:p>
    <w:p>
      <w:pPr>
        <w:jc w:val="center"/>
        <w:rPr>
          <w:rStyle w:val="10"/>
          <w:rFonts w:ascii="宋体" w:hAnsi="宋体" w:eastAsia="宋体" w:cs="宋体"/>
          <w:color w:val="AB1942"/>
          <w:sz w:val="36"/>
          <w:szCs w:val="36"/>
          <w:shd w:val="clear" w:color="auto" w:fill="FFFFFF"/>
        </w:rPr>
      </w:pPr>
      <w:r>
        <w:rPr>
          <w:rFonts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318770</wp:posOffset>
                </wp:positionH>
                <wp:positionV relativeFrom="paragraph">
                  <wp:posOffset>57785</wp:posOffset>
                </wp:positionV>
                <wp:extent cx="5749290" cy="12065"/>
                <wp:effectExtent l="0" t="0" r="0" b="0"/>
                <wp:wrapTight wrapText="bothSides">
                  <wp:wrapPolygon>
                    <wp:start x="-8" y="0"/>
                    <wp:lineTo x="21592" y="21600"/>
                    <wp:lineTo x="21608" y="21600"/>
                    <wp:lineTo x="8" y="0"/>
                    <wp:lineTo x="-8" y="0"/>
                  </wp:wrapPolygon>
                </wp:wrapTight>
                <wp:docPr id="1" name="直接箭头连接符 4"/>
                <wp:cNvGraphicFramePr/>
                <a:graphic xmlns:a="http://schemas.openxmlformats.org/drawingml/2006/main">
                  <a:graphicData uri="http://schemas.microsoft.com/office/word/2010/wordprocessingShape">
                    <wps:wsp>
                      <wps:cNvCnPr>
                        <a:cxnSpLocks noChangeShapeType="1"/>
                      </wps:cNvCnPr>
                      <wps:spPr bwMode="auto">
                        <a:xfrm flipV="1">
                          <a:off x="0" y="0"/>
                          <a:ext cx="5749290" cy="12065"/>
                        </a:xfrm>
                        <a:prstGeom prst="straightConnector1">
                          <a:avLst/>
                        </a:prstGeom>
                        <a:noFill/>
                        <a:ln w="19050">
                          <a:solidFill>
                            <a:srgbClr val="FF0000"/>
                          </a:solidFill>
                          <a:round/>
                        </a:ln>
                        <a:effectLst/>
                      </wps:spPr>
                      <wps:bodyPr/>
                    </wps:wsp>
                  </a:graphicData>
                </a:graphic>
              </wp:anchor>
            </w:drawing>
          </mc:Choice>
          <mc:Fallback>
            <w:pict>
              <v:shape id="直接箭头连接符 4" o:spid="_x0000_s1026" o:spt="32" type="#_x0000_t32" style="position:absolute;left:0pt;flip:y;margin-left:25.1pt;margin-top:4.55pt;height:0.95pt;width:452.7pt;mso-wrap-distance-left:9pt;mso-wrap-distance-right:9pt;z-index:251659264;mso-width-relative:page;mso-height-relative:page;" filled="f" stroked="t" coordsize="21600,21600" wrapcoords="-8 0 21592 21600 21608 21600 8 0 -8 0" o:gfxdata="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TU/uDV&#10;AAAABwEAAA8AAAAAAAAAAQAgAAAAIgAAAGRycy9kb3ducmV2LnhtbFBLAQIUABQAAAAIAIdO4kDP&#10;gCVq6gEAAI0DAAAOAAAAAAAAAAEAIAAAACQBAABkcnMvZTJvRG9jLnhtbFBLBQYAAAAABgAGAFkB&#10;AACABQAAAAA=&#10;">
                <v:fill on="f" focussize="0,0"/>
                <v:stroke weight="1.5pt" color="#FF0000" joinstyle="round"/>
                <v:imagedata o:title=""/>
                <o:lock v:ext="edit" aspectratio="f"/>
                <w10:wrap type="tight"/>
              </v:shape>
            </w:pict>
          </mc:Fallback>
        </mc:AlternateContent>
      </w:r>
    </w:p>
    <w:p>
      <w:pPr>
        <w:jc w:val="center"/>
        <w:rPr>
          <w:rStyle w:val="10"/>
          <w:rFonts w:ascii="宋体" w:hAnsi="宋体" w:eastAsia="宋体" w:cs="宋体"/>
          <w:color w:val="000000" w:themeColor="text1"/>
          <w:sz w:val="36"/>
          <w:szCs w:val="36"/>
          <w:shd w:val="clear" w:color="auto" w:fill="FFFFFF"/>
        </w:rPr>
      </w:pPr>
      <w:r>
        <w:rPr>
          <w:rStyle w:val="10"/>
          <w:rFonts w:hint="eastAsia" w:ascii="宋体" w:hAnsi="宋体" w:eastAsia="宋体" w:cs="宋体"/>
          <w:color w:val="000000" w:themeColor="text1"/>
          <w:sz w:val="36"/>
          <w:szCs w:val="36"/>
          <w:shd w:val="clear" w:color="auto" w:fill="FFFFFF"/>
        </w:rPr>
        <w:t>关于邀请参加《后疫情时代，国际工程企业战略、业务转型、风险管控及海外EPC与投融建营（PPP/BOT）项目运作实务》“线上直播”专题培训班的函</w:t>
      </w:r>
    </w:p>
    <w:p/>
    <w:p>
      <w:pPr>
        <w:spacing w:line="400" w:lineRule="exact"/>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各有关单位：</w:t>
      </w:r>
      <w:r>
        <w:rPr>
          <w:rFonts w:hint="eastAsia" w:cs="仿宋" w:hAnsiTheme="minorEastAsia"/>
          <w:b/>
          <w:bCs/>
          <w:sz w:val="28"/>
          <w:szCs w:val="28"/>
        </w:rPr>
        <w:t xml:space="preserve"> </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在当前中国经济的新常态、新冠病毒疫情全球持续蔓延及中美贸易战的长期化等企业外部环境下，企业需要提防在现金流、商业模式、法律法规等方面出现战略漏洞，这对2020年企业国际化经营战略提出了新的挑战。</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用战略解决企业的问题应该是有效的。企业在战略规划和调整上，应该胆子大一点、步子快一点。可以说，企业战略有多大，以后的成功就会有多大。如何调整业务战略？在战略不做大的调整的情况下，应该怎么执行既定业务？</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在疫情尚未完全控制和境外疫情爆发现状下，如何做好风险防控措施，如何从法律与合约角度维护自身的权益，如权益主张的路径？工期如何顺延？增加成本如何处理？双方当事人有哪些义务？发生争议如何解决？</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为此，我会将于2020年5月举办《后疫情时代，国际工程企业战略、业务转型、风险管控及海外EPC与投融建营（PPP/BOT）项目运作实务》“线上直播”专题培训班,特邀长期从事境外项目投融资、商务、法律资深专家采用线上直播授课，重点就国际工程市场形势研判、市场开发能力提升、项目管理能力提升、风险管控能力提升等内容进行实操性讲解，由中国国际工程咨询协会主办，北京博纳金成信息咨询有限公司承办。</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请各单位积极组织本单位及下属单位相关人员线上参加学习，现将具体事项通知如下：</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一、培训内容</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模块一、国际工程市场前沿趋势与业务转型升级</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⚫中国对外承包工程的发展情况</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⚫“一带一路”引领下中国工程企业的发展机遇</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⚫我国对外承包工程新模式和前沿趋势解读</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⚫为什么要转型升级？往哪儿转？怎么转？</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⚫国际工程业务转型升级和风险管控</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⚫工程企业业务转型升级典型案例解析</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⚫项目融资对对外承包工程的影响？</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⚫海外市场的合规化趋势</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⚫2020年国际工程市场趋势研判</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模块二、参股投资拉动EPC与投融建营一体化</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⚫参股投资拉动EPC与投融建营一体化模式兴起的背景、价值与风险</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⚫从承包与投资项目的交易架构看风险管控</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⚫参股投资拉动EPC项目的运作实务及典型案例分析</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⚫交易结构设计</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⚫项目的实施</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⚫项目的退出</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⚫“投融建营一体化”的概念解析</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⚫“投融建营一体化”项目的运作流程</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⚫“投融建营一体化”项目运作核心考量</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⚫典型案例分析</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模块三、对外承包工程合同条件的评审要点及主要风险控制</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本主题将围绕国际工程承包EPC合同存在的核心法律与合约风险进行解析并提出防范措施，主要内容包括：</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⚫新冠病毒疫情对境内外工程合同履行影响的法律与合约分析及索赔</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⚫详细解读国际工程承包合同存在的重大法律与合约风险</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⚫通过案例的方式对上述重大风险提出具体的应对措施及其建议</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 xml:space="preserve">模块四、海外PPP项目合同及风险防范措施  </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⚫境外PPP、BOT基本知识</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⚫境外PPP、BOT项目前期开发阶段实务</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⚫境外PPP、BOT项目采购阶段实务</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⚫境外PPP、BOT项目合同谈判阶段实务</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⚫境外PPP、BOT融资实务</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⚫境外PPP、BOT税务筹划实务</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⚫境外PPP、BOT项目风险及其防范</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二、培训收益</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⚫了解当前国际工程业务发展情况，研判企业国际业务转型升级发展方向</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⚫了解海外EPC、PPP项目合同生命周期下的风险管控措施</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⚫了解和掌握EPC、PPP项目内在联系和合同管理重点及难点</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⚫做好战略应对疫情策略</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⚫提升企业海外市场的竞争力</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⚫增强新形势下企业投融资能力、项目运作能力和风险管控能力</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三、培训师资</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宋玉祥老师</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入选司法部“全国千名涉外律师人才”名单；中国对外贸易经济合作企业协会 法律专家；中国电力国际产能合作企业联盟 法律委员会委员；曾任某中央企业国际工程公司法律顾问</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业务专长：国际工程承包、境外项目投融资、境外项目运营维护、成套设备进出口等复杂贸易、技术进出口、境外项目风险防控、国际商事争议解决、索赔与反索赔</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赵东锋老师</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是国际工程法协会（ICLA）管委会委员；国际工程法协会中国区负责人；北京大学国际工程法研修项目执行主任（2016.4-2019.3）；德国斯图加特大学国际工程法律与实践专业硕士毕业论文导师；同时担任众多大型建筑企业特聘法律顾问，在国际与国内工程法律与合约、仲裁与争议解决方面，拥有丰富的实务经验。</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四、培训对象</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⚫各级政府发改、商务、外交、财政、国资等海外基础设施相关部门工作人员；</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⚫工程勘测设计、工程承包、装备制造等海外工程总承包实施企业及工程投资企业中高层管理人员或拟任工程项目优秀后备干部</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⚫基础设施投资企业、承包企业投资决策部门、计划管理部门、商务合约部门、财务和法律部门负责人及相关人员</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⚫海外事业部或国际工程公司负责人及商务、市场、经营、法务、项目管理等相关人员，海外项目经理部负责人及相关人员以及其他为国际工程企业提供合同法律等服务机构人员等</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⚫各银行从事出口信贷、基础设施与项目融资部门的管理人员、保险机构从事境外基础设施风险部门的管理人员</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⚫工程咨询公司、PPP咨询公司、会计师事务所、律师事务所、风险顾问公司等单位专业人员</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⚫高校及研究机构相关人员</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五、直播培训时间</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 xml:space="preserve">2020年5月26日-5月27日   </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视频直播在线学习 (9:00-12:00，14:00-17:00，课间休息10分钟）</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六、收费标准：</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培训费：1500元/人&lt;含电子版讲义、税费&gt; 针对疫情价格从优，疫情过后恢复2800元/人。</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证书申报：2800元/人（证书由我会颁发“《国际工程战略经理》、《国际工程风险经理》、《国际工程项目经理》”。备注：证书报名材料：报名表一份、2寸照电子照片（白底免冠彩照）、身份证复印件一份、学历证书复印件一份。</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费用可汇至以下账户。</w:t>
      </w:r>
    </w:p>
    <w:p>
      <w:pPr>
        <w:spacing w:line="400" w:lineRule="exact"/>
        <w:ind w:firstLine="560" w:firstLineChars="200"/>
        <w:rPr>
          <w:rFonts w:hint="eastAsia" w:ascii="仿宋_GB2312" w:eastAsia="仿宋_GB2312" w:cs="仿宋" w:hAnsiTheme="minorEastAsia"/>
          <w:sz w:val="28"/>
          <w:szCs w:val="28"/>
        </w:rPr>
      </w:pPr>
      <w:r>
        <w:rPr>
          <w:rFonts w:hint="eastAsia" w:ascii="仿宋_GB2312" w:eastAsia="仿宋_GB2312" w:cs="仿宋" w:hAnsiTheme="minorEastAsia"/>
          <w:sz w:val="28"/>
          <w:szCs w:val="28"/>
        </w:rPr>
        <w:t>开户名称：北京博纳金成信息咨询有限公司</w:t>
      </w:r>
    </w:p>
    <w:p>
      <w:pPr>
        <w:spacing w:line="400" w:lineRule="exact"/>
        <w:ind w:firstLine="560" w:firstLineChars="200"/>
        <w:rPr>
          <w:rFonts w:hint="eastAsia" w:ascii="仿宋_GB2312" w:eastAsia="仿宋_GB2312" w:cs="仿宋" w:hAnsiTheme="minorEastAsia"/>
          <w:sz w:val="28"/>
          <w:szCs w:val="28"/>
        </w:rPr>
      </w:pPr>
      <w:r>
        <w:rPr>
          <w:rFonts w:hint="eastAsia" w:ascii="仿宋_GB2312" w:eastAsia="仿宋_GB2312" w:cs="仿宋" w:hAnsiTheme="minorEastAsia"/>
          <w:sz w:val="28"/>
          <w:szCs w:val="28"/>
        </w:rPr>
        <w:t xml:space="preserve">开 户 行：北京农村商业银行股份有限公司宣武支行 </w:t>
      </w:r>
    </w:p>
    <w:p>
      <w:pPr>
        <w:spacing w:line="400" w:lineRule="exact"/>
        <w:ind w:firstLine="560" w:firstLineChars="200"/>
        <w:rPr>
          <w:rFonts w:hint="eastAsia" w:ascii="仿宋_GB2312" w:eastAsia="仿宋_GB2312" w:cs="仿宋" w:hAnsiTheme="minorEastAsia"/>
          <w:sz w:val="28"/>
          <w:szCs w:val="28"/>
        </w:rPr>
      </w:pPr>
      <w:r>
        <w:rPr>
          <w:rFonts w:hint="eastAsia" w:ascii="仿宋_GB2312" w:eastAsia="仿宋_GB2312" w:cs="仿宋" w:hAnsiTheme="minorEastAsia"/>
          <w:sz w:val="28"/>
          <w:szCs w:val="28"/>
        </w:rPr>
        <w:t>账    号：1901000103000012346</w:t>
      </w:r>
      <w:r>
        <w:rPr>
          <w:rFonts w:hint="eastAsia" w:ascii="仿宋_GB2312" w:eastAsia="仿宋_GB2312" w:cs="仿宋" w:hAnsiTheme="minorEastAsia"/>
          <w:sz w:val="28"/>
          <w:szCs w:val="28"/>
        </w:rPr>
        <w:tab/>
      </w:r>
      <w:r>
        <w:rPr>
          <w:rFonts w:hint="eastAsia" w:ascii="仿宋_GB2312" w:eastAsia="仿宋_GB2312" w:cs="仿宋" w:hAnsiTheme="minorEastAsia"/>
          <w:sz w:val="28"/>
          <w:szCs w:val="28"/>
        </w:rPr>
        <w:t>（行号402100007307）</w:t>
      </w:r>
    </w:p>
    <w:p>
      <w:pPr>
        <w:spacing w:line="400" w:lineRule="exact"/>
        <w:ind w:firstLine="562" w:firstLineChars="200"/>
        <w:rPr>
          <w:rFonts w:ascii="仿宋_GB2312" w:eastAsia="仿宋_GB2312" w:cs="仿宋" w:hAnsiTheme="minorEastAsia"/>
          <w:b/>
          <w:bCs/>
          <w:sz w:val="28"/>
          <w:szCs w:val="28"/>
        </w:rPr>
      </w:pPr>
      <w:r>
        <w:rPr>
          <w:rFonts w:hint="eastAsia" w:ascii="仿宋_GB2312" w:eastAsia="仿宋_GB2312" w:cs="仿宋" w:hAnsiTheme="minorEastAsia"/>
          <w:b/>
          <w:bCs/>
          <w:sz w:val="28"/>
          <w:szCs w:val="28"/>
        </w:rPr>
        <w:t>七、报名办法</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凡参加培训班的人员，请填写参会报名表；具体培训场次，汇款后及时联系工作人员，获取直播登录密码。</w:t>
      </w:r>
    </w:p>
    <w:p>
      <w:pPr>
        <w:spacing w:line="360" w:lineRule="exact"/>
        <w:textAlignment w:val="baseline"/>
        <w:rPr>
          <w:rFonts w:hint="eastAsia" w:ascii="仿宋" w:hAnsi="仿宋" w:eastAsia="仿宋"/>
          <w:color w:val="000000"/>
          <w:sz w:val="29"/>
          <w:szCs w:val="29"/>
        </w:rPr>
      </w:pPr>
      <w:r>
        <w:rPr>
          <w:rFonts w:hint="eastAsia" w:ascii="仿宋" w:hAnsi="仿宋" w:eastAsia="仿宋"/>
          <w:color w:val="000000"/>
          <w:sz w:val="29"/>
          <w:szCs w:val="29"/>
        </w:rPr>
        <w:t>报名负责人：聂红军 主任 18211071700（微信）   qq咨询：3177524020</w:t>
      </w:r>
    </w:p>
    <w:p>
      <w:pPr>
        <w:spacing w:line="360" w:lineRule="exact"/>
        <w:textAlignment w:val="baseline"/>
        <w:rPr>
          <w:rFonts w:hint="eastAsia" w:ascii="仿宋" w:hAnsi="仿宋" w:eastAsia="仿宋"/>
          <w:color w:val="000000"/>
          <w:sz w:val="29"/>
          <w:szCs w:val="29"/>
        </w:rPr>
      </w:pPr>
      <w:r>
        <w:rPr>
          <w:rFonts w:hint="eastAsia" w:ascii="仿宋" w:hAnsi="仿宋" w:eastAsia="仿宋"/>
          <w:color w:val="000000"/>
          <w:sz w:val="29"/>
          <w:szCs w:val="29"/>
        </w:rPr>
        <w:t xml:space="preserve">电话（传真）：010-87697580              邮  箱：zqgphwz@126.com   </w:t>
      </w:r>
    </w:p>
    <w:p>
      <w:pPr>
        <w:spacing w:line="400" w:lineRule="exact"/>
        <w:rPr>
          <w:rFonts w:hint="eastAsia" w:ascii="仿宋" w:hAnsi="仿宋" w:eastAsia="仿宋"/>
          <w:color w:val="000000"/>
          <w:sz w:val="29"/>
          <w:szCs w:val="29"/>
        </w:rPr>
      </w:pPr>
      <w:r>
        <w:rPr>
          <w:rFonts w:hint="eastAsia" w:ascii="仿宋" w:hAnsi="仿宋" w:eastAsia="仿宋"/>
          <w:color w:val="000000"/>
          <w:sz w:val="29"/>
          <w:szCs w:val="29"/>
        </w:rPr>
        <w:t>网址查询：</w:t>
      </w:r>
      <w:r>
        <w:rPr>
          <w:rFonts w:hint="eastAsia" w:ascii="仿宋" w:hAnsi="仿宋" w:eastAsia="仿宋"/>
          <w:color w:val="000000" w:themeColor="text1"/>
          <w:sz w:val="29"/>
          <w:szCs w:val="29"/>
          <w14:textFill>
            <w14:solidFill>
              <w14:schemeClr w14:val="tx1"/>
            </w14:solidFill>
          </w14:textFill>
        </w:rPr>
        <w:fldChar w:fldCharType="begin"/>
      </w:r>
      <w:r>
        <w:rPr>
          <w:rFonts w:hint="eastAsia" w:ascii="仿宋" w:hAnsi="仿宋" w:eastAsia="仿宋"/>
          <w:color w:val="000000" w:themeColor="text1"/>
          <w:sz w:val="29"/>
          <w:szCs w:val="29"/>
          <w14:textFill>
            <w14:solidFill>
              <w14:schemeClr w14:val="tx1"/>
            </w14:solidFill>
          </w14:textFill>
        </w:rPr>
        <w:instrText xml:space="preserve"> HYPERLINK "http://www.zqgpchina.cn/" </w:instrText>
      </w:r>
      <w:r>
        <w:rPr>
          <w:rFonts w:hint="eastAsia" w:ascii="仿宋" w:hAnsi="仿宋" w:eastAsia="仿宋"/>
          <w:color w:val="000000" w:themeColor="text1"/>
          <w:sz w:val="29"/>
          <w:szCs w:val="29"/>
          <w14:textFill>
            <w14:solidFill>
              <w14:schemeClr w14:val="tx1"/>
            </w14:solidFill>
          </w14:textFill>
        </w:rPr>
        <w:fldChar w:fldCharType="separate"/>
      </w:r>
      <w:r>
        <w:rPr>
          <w:rStyle w:val="12"/>
          <w:rFonts w:hint="eastAsia" w:ascii="仿宋" w:hAnsi="仿宋" w:eastAsia="仿宋"/>
          <w:color w:val="000000" w:themeColor="text1"/>
          <w:sz w:val="29"/>
          <w:szCs w:val="29"/>
          <w14:textFill>
            <w14:solidFill>
              <w14:schemeClr w14:val="tx1"/>
            </w14:solidFill>
          </w14:textFill>
        </w:rPr>
        <w:t>http://www.zqgpchina.cn/</w:t>
      </w:r>
      <w:r>
        <w:rPr>
          <w:rFonts w:hint="eastAsia" w:ascii="仿宋" w:hAnsi="仿宋" w:eastAsia="仿宋"/>
          <w:color w:val="000000" w:themeColor="text1"/>
          <w:sz w:val="29"/>
          <w:szCs w:val="29"/>
          <w14:textFill>
            <w14:solidFill>
              <w14:schemeClr w14:val="tx1"/>
            </w14:solidFill>
          </w14:textFill>
        </w:rPr>
        <w:fldChar w:fldCharType="end"/>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附件：参会报名表</w:t>
      </w:r>
    </w:p>
    <w:p>
      <w:pPr>
        <w:spacing w:line="400" w:lineRule="exact"/>
        <w:ind w:firstLine="560" w:firstLineChars="200"/>
        <w:rPr>
          <w:rFonts w:ascii="仿宋_GB2312" w:eastAsia="仿宋_GB2312" w:cs="仿宋" w:hAnsiTheme="minorEastAsia"/>
          <w:sz w:val="28"/>
          <w:szCs w:val="28"/>
        </w:rPr>
      </w:pPr>
    </w:p>
    <w:p>
      <w:pPr>
        <w:spacing w:line="400" w:lineRule="exact"/>
        <w:ind w:firstLine="480" w:firstLineChars="200"/>
        <w:jc w:val="right"/>
        <w:rPr>
          <w:rFonts w:ascii="仿宋_GB2312" w:eastAsia="仿宋_GB2312" w:cs="仿宋" w:hAnsiTheme="minorEastAsia"/>
          <w:sz w:val="28"/>
          <w:szCs w:val="28"/>
        </w:rPr>
      </w:pPr>
      <w:r>
        <w:rPr>
          <w:rFonts w:hint="eastAsia" w:ascii="宋体" w:hAnsi="宋体" w:eastAsia="宋体" w:cs="宋体"/>
          <w:color w:val="000000"/>
          <w:kern w:val="0"/>
          <w:sz w:val="24"/>
          <w:szCs w:val="24"/>
        </w:rPr>
        <w:drawing>
          <wp:anchor distT="0" distB="0" distL="114300" distR="114300" simplePos="0" relativeHeight="251664384" behindDoc="1" locked="0" layoutInCell="1" allowOverlap="1">
            <wp:simplePos x="0" y="0"/>
            <wp:positionH relativeFrom="column">
              <wp:posOffset>3890010</wp:posOffset>
            </wp:positionH>
            <wp:positionV relativeFrom="paragraph">
              <wp:posOffset>19050</wp:posOffset>
            </wp:positionV>
            <wp:extent cx="1695450" cy="1689735"/>
            <wp:effectExtent l="0" t="0" r="0" b="0"/>
            <wp:wrapNone/>
            <wp:docPr id="2" name="图片 4" descr="微信图片_2018062008243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微信图片_20180620082433_副本"/>
                    <pic:cNvPicPr>
                      <a:picLocks noChangeAspect="1"/>
                    </pic:cNvPicPr>
                  </pic:nvPicPr>
                  <pic:blipFill>
                    <a:blip r:embed="rId4"/>
                    <a:stretch>
                      <a:fillRect/>
                    </a:stretch>
                  </pic:blipFill>
                  <pic:spPr>
                    <a:xfrm>
                      <a:off x="0" y="0"/>
                      <a:ext cx="1695450" cy="1690027"/>
                    </a:xfrm>
                    <a:prstGeom prst="rect">
                      <a:avLst/>
                    </a:prstGeom>
                    <a:noFill/>
                    <a:ln w="9525">
                      <a:noFill/>
                    </a:ln>
                  </pic:spPr>
                </pic:pic>
              </a:graphicData>
            </a:graphic>
          </wp:anchor>
        </w:drawing>
      </w:r>
    </w:p>
    <w:p>
      <w:pPr>
        <w:spacing w:line="400" w:lineRule="exact"/>
        <w:ind w:firstLine="560" w:firstLineChars="200"/>
        <w:jc w:val="right"/>
        <w:rPr>
          <w:rFonts w:ascii="仿宋_GB2312" w:eastAsia="仿宋_GB2312" w:cs="仿宋" w:hAnsiTheme="minorEastAsia"/>
          <w:sz w:val="28"/>
          <w:szCs w:val="28"/>
        </w:rPr>
      </w:pPr>
    </w:p>
    <w:p>
      <w:pPr>
        <w:spacing w:line="400" w:lineRule="exact"/>
        <w:ind w:firstLine="560" w:firstLineChars="200"/>
        <w:jc w:val="right"/>
        <w:rPr>
          <w:rFonts w:ascii="仿宋_GB2312" w:eastAsia="仿宋_GB2312" w:cs="仿宋" w:hAnsiTheme="minorEastAsia"/>
          <w:sz w:val="28"/>
          <w:szCs w:val="28"/>
        </w:rPr>
      </w:pPr>
    </w:p>
    <w:p>
      <w:pPr>
        <w:spacing w:line="400" w:lineRule="exact"/>
        <w:ind w:firstLine="560" w:firstLineChars="200"/>
        <w:jc w:val="center"/>
        <w:rPr>
          <w:rFonts w:ascii="仿宋_GB2312" w:eastAsia="仿宋_GB2312" w:cs="仿宋" w:hAnsiTheme="minorEastAsia"/>
          <w:sz w:val="28"/>
          <w:szCs w:val="28"/>
        </w:rPr>
      </w:pPr>
      <w:r>
        <w:rPr>
          <w:rFonts w:hint="eastAsia" w:ascii="仿宋_GB2312" w:eastAsia="仿宋_GB2312" w:cs="仿宋" w:hAnsiTheme="minorEastAsia"/>
          <w:sz w:val="28"/>
          <w:szCs w:val="28"/>
        </w:rPr>
        <w:t xml:space="preserve">                                   中国国际工程咨询协会</w:t>
      </w:r>
    </w:p>
    <w:p>
      <w:pPr>
        <w:spacing w:line="400" w:lineRule="exact"/>
        <w:ind w:firstLine="560" w:firstLineChars="200"/>
        <w:rPr>
          <w:rFonts w:ascii="仿宋_GB2312" w:eastAsia="仿宋_GB2312" w:cs="仿宋" w:hAnsiTheme="minorEastAsia"/>
          <w:sz w:val="28"/>
          <w:szCs w:val="28"/>
        </w:rPr>
      </w:pPr>
      <w:r>
        <w:rPr>
          <w:rFonts w:hint="eastAsia" w:ascii="仿宋_GB2312" w:eastAsia="仿宋_GB2312" w:cs="仿宋" w:hAnsiTheme="minorEastAsia"/>
          <w:sz w:val="28"/>
          <w:szCs w:val="28"/>
        </w:rPr>
        <w:t xml:space="preserve">                                      二〇二〇年四月</w:t>
      </w:r>
      <w:r>
        <w:rPr>
          <w:rFonts w:hint="eastAsia" w:cs="仿宋" w:hAnsiTheme="minorEastAsia"/>
          <w:sz w:val="28"/>
          <w:szCs w:val="28"/>
        </w:rPr>
        <w:t>二十三</w:t>
      </w:r>
      <w:r>
        <w:rPr>
          <w:rFonts w:hint="eastAsia" w:ascii="仿宋_GB2312" w:eastAsia="仿宋_GB2312" w:cs="仿宋" w:hAnsiTheme="minorEastAsia"/>
          <w:sz w:val="28"/>
          <w:szCs w:val="28"/>
        </w:rPr>
        <w:t>日</w:t>
      </w:r>
    </w:p>
    <w:p>
      <w:pPr>
        <w:widowControl/>
        <w:ind w:left="-840" w:leftChars="-400" w:firstLine="960" w:firstLineChars="300"/>
        <w:rPr>
          <w:rFonts w:ascii="仿宋" w:hAnsi="仿宋" w:eastAsia="仿宋"/>
          <w:b/>
          <w:sz w:val="32"/>
          <w:szCs w:val="32"/>
        </w:rPr>
      </w:pPr>
    </w:p>
    <w:p>
      <w:pPr>
        <w:widowControl/>
        <w:ind w:left="-840" w:leftChars="-400" w:firstLine="960" w:firstLineChars="300"/>
        <w:rPr>
          <w:rFonts w:ascii="仿宋" w:hAnsi="仿宋" w:eastAsia="仿宋"/>
          <w:b/>
          <w:sz w:val="32"/>
          <w:szCs w:val="32"/>
        </w:rPr>
      </w:pPr>
    </w:p>
    <w:p>
      <w:pPr>
        <w:widowControl/>
        <w:ind w:left="-840" w:leftChars="-400" w:firstLine="960" w:firstLineChars="300"/>
        <w:rPr>
          <w:rFonts w:ascii="仿宋" w:hAnsi="仿宋" w:eastAsia="仿宋"/>
          <w:b/>
          <w:sz w:val="32"/>
          <w:szCs w:val="32"/>
        </w:rPr>
      </w:pPr>
    </w:p>
    <w:p>
      <w:pPr>
        <w:widowControl/>
        <w:ind w:left="-840" w:leftChars="-400" w:firstLine="960" w:firstLineChars="300"/>
        <w:rPr>
          <w:rFonts w:ascii="仿宋" w:hAnsi="仿宋" w:eastAsia="仿宋"/>
          <w:b/>
          <w:sz w:val="32"/>
          <w:szCs w:val="32"/>
        </w:rPr>
      </w:pPr>
    </w:p>
    <w:p>
      <w:pPr>
        <w:widowControl/>
        <w:rPr>
          <w:rFonts w:ascii="仿宋" w:hAnsi="仿宋" w:eastAsia="仿宋"/>
          <w:b/>
          <w:sz w:val="32"/>
          <w:szCs w:val="32"/>
        </w:rPr>
      </w:pPr>
    </w:p>
    <w:p>
      <w:pPr>
        <w:keepNext w:val="0"/>
        <w:keepLines w:val="0"/>
        <w:pageBreakBefore w:val="0"/>
        <w:widowControl/>
        <w:kinsoku/>
        <w:wordWrap/>
        <w:overflowPunct/>
        <w:topLinePunct w:val="0"/>
        <w:autoSpaceDE/>
        <w:autoSpaceDN/>
        <w:bidi w:val="0"/>
        <w:adjustRightInd/>
        <w:snapToGrid/>
        <w:spacing w:line="360" w:lineRule="exact"/>
        <w:ind w:left="-840" w:leftChars="-400" w:firstLine="840" w:firstLineChars="300"/>
        <w:textAlignment w:val="auto"/>
        <w:rPr>
          <w:rFonts w:ascii="仿宋" w:hAnsi="仿宋" w:eastAsia="仿宋"/>
          <w:sz w:val="28"/>
          <w:szCs w:val="28"/>
        </w:rPr>
      </w:pPr>
      <w:r>
        <w:rPr>
          <w:rFonts w:hint="eastAsia" w:ascii="仿宋" w:hAnsi="仿宋" w:eastAsia="仿宋"/>
          <w:b/>
          <w:sz w:val="28"/>
          <w:szCs w:val="28"/>
        </w:rPr>
        <w:t>附 件：</w:t>
      </w:r>
      <w:r>
        <w:rPr>
          <w:rFonts w:hint="eastAsia" w:ascii="仿宋" w:hAnsi="仿宋" w:eastAsia="仿宋"/>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exact"/>
        <w:ind w:left="-840" w:leftChars="-400" w:firstLine="720" w:firstLineChars="300"/>
        <w:jc w:val="center"/>
        <w:textAlignment w:val="auto"/>
        <w:rPr>
          <w:rFonts w:ascii="仿宋" w:hAnsi="仿宋" w:eastAsia="仿宋" w:cs="仿宋"/>
          <w:b/>
          <w:bCs/>
          <w:spacing w:val="-20"/>
          <w:sz w:val="28"/>
          <w:szCs w:val="28"/>
        </w:rPr>
      </w:pPr>
      <w:r>
        <w:rPr>
          <w:rFonts w:hint="eastAsia" w:ascii="仿宋" w:hAnsi="仿宋" w:eastAsia="仿宋" w:cs="仿宋"/>
          <w:b/>
          <w:bCs/>
          <w:spacing w:val="-20"/>
          <w:sz w:val="28"/>
          <w:szCs w:val="28"/>
        </w:rPr>
        <w:t xml:space="preserve">       《后疫情时代，国际工程企业战略、业务转型、风险管控及海外EPC</w:t>
      </w:r>
    </w:p>
    <w:p>
      <w:pPr>
        <w:keepNext w:val="0"/>
        <w:keepLines w:val="0"/>
        <w:pageBreakBefore w:val="0"/>
        <w:widowControl/>
        <w:kinsoku/>
        <w:wordWrap/>
        <w:overflowPunct/>
        <w:topLinePunct w:val="0"/>
        <w:autoSpaceDE/>
        <w:autoSpaceDN/>
        <w:bidi w:val="0"/>
        <w:adjustRightInd/>
        <w:snapToGrid/>
        <w:spacing w:line="360" w:lineRule="exact"/>
        <w:ind w:left="-840" w:leftChars="-400" w:firstLine="720" w:firstLineChars="300"/>
        <w:jc w:val="center"/>
        <w:textAlignment w:val="auto"/>
        <w:rPr>
          <w:rFonts w:ascii="仿宋" w:hAnsi="仿宋" w:eastAsia="仿宋" w:cs="仿宋"/>
          <w:b/>
          <w:bCs/>
          <w:spacing w:val="-20"/>
          <w:sz w:val="28"/>
          <w:szCs w:val="28"/>
        </w:rPr>
      </w:pPr>
      <w:r>
        <w:rPr>
          <w:rFonts w:hint="eastAsia" w:ascii="仿宋" w:hAnsi="仿宋" w:eastAsia="仿宋" w:cs="仿宋"/>
          <w:b/>
          <w:bCs/>
          <w:spacing w:val="-20"/>
          <w:sz w:val="28"/>
          <w:szCs w:val="28"/>
        </w:rPr>
        <w:t>与投融建营（PPP/BOT）项目运作实务》“线上直播”专题培训班参会报名表</w:t>
      </w:r>
    </w:p>
    <w:tbl>
      <w:tblPr>
        <w:tblStyle w:val="8"/>
        <w:tblpPr w:leftFromText="180" w:rightFromText="180" w:vertAnchor="text" w:horzAnchor="margin" w:tblpXSpec="center" w:tblpY="466"/>
        <w:tblOverlap w:val="never"/>
        <w:tblW w:w="10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04"/>
        <w:gridCol w:w="12"/>
        <w:gridCol w:w="972"/>
        <w:gridCol w:w="1108"/>
        <w:gridCol w:w="754"/>
        <w:gridCol w:w="641"/>
        <w:gridCol w:w="872"/>
        <w:gridCol w:w="875"/>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单位名称</w:t>
            </w:r>
          </w:p>
        </w:tc>
        <w:tc>
          <w:tcPr>
            <w:tcW w:w="5563" w:type="dxa"/>
            <w:gridSpan w:val="7"/>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87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行业类别</w:t>
            </w:r>
          </w:p>
        </w:tc>
        <w:tc>
          <w:tcPr>
            <w:tcW w:w="2346"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通讯地址</w:t>
            </w:r>
          </w:p>
        </w:tc>
        <w:tc>
          <w:tcPr>
            <w:tcW w:w="5563" w:type="dxa"/>
            <w:gridSpan w:val="7"/>
            <w:vAlign w:val="center"/>
          </w:tcPr>
          <w:p>
            <w:pPr>
              <w:keepNext w:val="0"/>
              <w:keepLines w:val="0"/>
              <w:pageBreakBefore w:val="0"/>
              <w:kinsoku/>
              <w:wordWrap/>
              <w:overflowPunct/>
              <w:topLinePunct w:val="0"/>
              <w:autoSpaceDE/>
              <w:autoSpaceDN/>
              <w:bidi w:val="0"/>
              <w:adjustRightInd/>
              <w:snapToGrid/>
              <w:spacing w:line="360" w:lineRule="exact"/>
              <w:ind w:firstLine="1200" w:firstLineChars="500"/>
              <w:textAlignment w:val="auto"/>
              <w:rPr>
                <w:rFonts w:ascii="仿宋" w:hAnsi="仿宋" w:eastAsia="仿宋"/>
                <w:bCs/>
                <w:sz w:val="24"/>
                <w:szCs w:val="24"/>
              </w:rPr>
            </w:pPr>
          </w:p>
        </w:tc>
        <w:tc>
          <w:tcPr>
            <w:tcW w:w="87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邮编</w:t>
            </w:r>
          </w:p>
        </w:tc>
        <w:tc>
          <w:tcPr>
            <w:tcW w:w="2346"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联 系 人</w:t>
            </w:r>
          </w:p>
        </w:tc>
        <w:tc>
          <w:tcPr>
            <w:tcW w:w="120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Cs/>
                <w:sz w:val="24"/>
                <w:szCs w:val="24"/>
              </w:rPr>
            </w:pPr>
          </w:p>
        </w:tc>
        <w:tc>
          <w:tcPr>
            <w:tcW w:w="984"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部门</w:t>
            </w:r>
          </w:p>
        </w:tc>
        <w:tc>
          <w:tcPr>
            <w:tcW w:w="110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Cs/>
                <w:sz w:val="24"/>
                <w:szCs w:val="24"/>
              </w:rPr>
            </w:pPr>
          </w:p>
        </w:tc>
        <w:tc>
          <w:tcPr>
            <w:tcW w:w="75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职务</w:t>
            </w:r>
          </w:p>
        </w:tc>
        <w:tc>
          <w:tcPr>
            <w:tcW w:w="1513"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Cs/>
                <w:sz w:val="24"/>
                <w:szCs w:val="24"/>
              </w:rPr>
            </w:pPr>
          </w:p>
        </w:tc>
        <w:tc>
          <w:tcPr>
            <w:tcW w:w="87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手机</w:t>
            </w:r>
          </w:p>
        </w:tc>
        <w:tc>
          <w:tcPr>
            <w:tcW w:w="2346"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电话/区号</w:t>
            </w:r>
          </w:p>
        </w:tc>
        <w:tc>
          <w:tcPr>
            <w:tcW w:w="3296" w:type="dxa"/>
            <w:gridSpan w:val="4"/>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75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传真</w:t>
            </w:r>
          </w:p>
        </w:tc>
        <w:tc>
          <w:tcPr>
            <w:tcW w:w="1513"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87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邮箱</w:t>
            </w:r>
          </w:p>
        </w:tc>
        <w:tc>
          <w:tcPr>
            <w:tcW w:w="2346"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姓  名</w:t>
            </w:r>
          </w:p>
        </w:tc>
        <w:tc>
          <w:tcPr>
            <w:tcW w:w="121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性别</w:t>
            </w:r>
          </w:p>
        </w:tc>
        <w:tc>
          <w:tcPr>
            <w:tcW w:w="97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职务</w:t>
            </w:r>
          </w:p>
        </w:tc>
        <w:tc>
          <w:tcPr>
            <w:tcW w:w="18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联系电话</w:t>
            </w:r>
          </w:p>
        </w:tc>
        <w:tc>
          <w:tcPr>
            <w:tcW w:w="1513"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Cs/>
                <w:sz w:val="24"/>
                <w:szCs w:val="24"/>
              </w:rPr>
              <w:t>手机</w:t>
            </w:r>
          </w:p>
        </w:tc>
        <w:tc>
          <w:tcPr>
            <w:tcW w:w="3221"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color w:val="000000"/>
                <w:sz w:val="24"/>
                <w:szCs w:val="24"/>
              </w:rPr>
            </w:pPr>
            <w:r>
              <w:rPr>
                <w:rFonts w:hint="eastAsia" w:ascii="仿宋" w:hAnsi="仿宋" w:eastAsia="仿宋"/>
                <w:bCs/>
                <w:color w:val="00000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121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97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18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1513"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3221"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121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97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18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1513"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3221"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121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97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18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1513"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3221"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121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97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1862"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1513"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c>
          <w:tcPr>
            <w:tcW w:w="3221"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Cs/>
                <w:sz w:val="24"/>
                <w:szCs w:val="24"/>
              </w:rPr>
            </w:pPr>
            <w:r>
              <w:rPr>
                <w:rFonts w:hint="eastAsia" w:ascii="仿宋" w:hAnsi="仿宋" w:eastAsia="仿宋"/>
                <w:b/>
                <w:sz w:val="24"/>
                <w:szCs w:val="24"/>
              </w:rPr>
              <w:t>证书申报</w:t>
            </w:r>
          </w:p>
        </w:tc>
        <w:tc>
          <w:tcPr>
            <w:tcW w:w="8784" w:type="dxa"/>
            <w:gridSpan w:val="9"/>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仿宋" w:hAnsi="仿宋" w:eastAsia="仿宋" w:cs="仿宋"/>
                <w:bCs/>
                <w:sz w:val="24"/>
                <w:szCs w:val="24"/>
              </w:rPr>
            </w:pPr>
            <w:r>
              <w:rPr>
                <w:rFonts w:hint="eastAsia" w:ascii="仿宋" w:hAnsi="仿宋" w:eastAsia="仿宋" w:cs="仿宋"/>
                <w:sz w:val="24"/>
                <w:szCs w:val="24"/>
              </w:rPr>
              <w:sym w:font="Wingdings 2" w:char="00A3"/>
            </w:r>
            <w:r>
              <w:rPr>
                <w:rFonts w:hint="eastAsia" w:ascii="仿宋" w:hAnsi="仿宋" w:eastAsia="仿宋" w:cs="仿宋"/>
                <w:sz w:val="24"/>
                <w:szCs w:val="24"/>
              </w:rPr>
              <w:t>国际工程战略经理       □国际工程风险经理        □国际工程项目经理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 w:hAnsi="仿宋" w:eastAsia="仿宋"/>
                <w:b/>
                <w:sz w:val="24"/>
                <w:szCs w:val="24"/>
              </w:rPr>
            </w:pPr>
            <w:r>
              <w:rPr>
                <w:rFonts w:hint="eastAsia" w:ascii="仿宋" w:hAnsi="仿宋" w:eastAsia="仿宋"/>
                <w:b/>
                <w:sz w:val="24"/>
                <w:szCs w:val="24"/>
              </w:rPr>
              <w:t>付款方式</w:t>
            </w:r>
          </w:p>
        </w:tc>
        <w:tc>
          <w:tcPr>
            <w:tcW w:w="4691" w:type="dxa"/>
            <w:gridSpan w:val="6"/>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仿宋" w:hAnsi="仿宋" w:eastAsia="仿宋" w:cs="仿宋"/>
                <w:sz w:val="24"/>
                <w:szCs w:val="24"/>
              </w:rPr>
            </w:pPr>
            <w:r>
              <w:rPr>
                <w:rFonts w:hint="eastAsia" w:ascii="仿宋" w:hAnsi="仿宋" w:eastAsia="仿宋"/>
                <w:bCs/>
                <w:sz w:val="24"/>
                <w:szCs w:val="24"/>
              </w:rPr>
              <w:t>□通过银行                □通过网银</w:t>
            </w:r>
            <w:r>
              <w:rPr>
                <w:rFonts w:hint="eastAsia" w:ascii="仿宋" w:hAnsi="仿宋" w:eastAsia="仿宋"/>
                <w:b/>
                <w:sz w:val="24"/>
                <w:szCs w:val="24"/>
              </w:rPr>
              <w:t xml:space="preserve"> </w:t>
            </w:r>
          </w:p>
        </w:tc>
        <w:tc>
          <w:tcPr>
            <w:tcW w:w="872" w:type="dxa"/>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仿宋" w:hAnsi="仿宋" w:eastAsia="仿宋"/>
                <w:b/>
                <w:sz w:val="24"/>
                <w:szCs w:val="24"/>
              </w:rPr>
            </w:pPr>
            <w:r>
              <w:rPr>
                <w:rFonts w:hint="eastAsia" w:ascii="仿宋" w:hAnsi="仿宋" w:eastAsia="仿宋"/>
                <w:b/>
                <w:sz w:val="24"/>
                <w:szCs w:val="24"/>
              </w:rPr>
              <w:t>金额</w:t>
            </w:r>
          </w:p>
        </w:tc>
        <w:tc>
          <w:tcPr>
            <w:tcW w:w="3221" w:type="dxa"/>
            <w:gridSpan w:val="2"/>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
                <w:bCs/>
                <w:sz w:val="24"/>
                <w:szCs w:val="24"/>
              </w:rPr>
            </w:pPr>
            <w:r>
              <w:rPr>
                <w:rFonts w:hint="eastAsia" w:ascii="仿宋" w:hAnsi="仿宋" w:eastAsia="仿宋"/>
                <w:b/>
                <w:bCs/>
                <w:sz w:val="24"/>
                <w:szCs w:val="24"/>
              </w:rPr>
              <w:t>发票类别</w:t>
            </w:r>
          </w:p>
        </w:tc>
        <w:tc>
          <w:tcPr>
            <w:tcW w:w="8784" w:type="dxa"/>
            <w:gridSpan w:val="9"/>
          </w:tcPr>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
                <w:bCs/>
                <w:sz w:val="24"/>
                <w:szCs w:val="24"/>
              </w:rPr>
            </w:pPr>
            <w:r>
              <w:rPr>
                <w:rFonts w:hint="eastAsia" w:ascii="仿宋" w:hAnsi="仿宋" w:eastAsia="仿宋"/>
                <w:b/>
                <w:bCs/>
                <w:sz w:val="24"/>
                <w:szCs w:val="24"/>
              </w:rPr>
              <w:t>增值税（□普通□专用）发票,开票信息如下：</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
                <w:bCs/>
                <w:sz w:val="24"/>
                <w:szCs w:val="24"/>
              </w:rPr>
            </w:pPr>
            <w:r>
              <w:rPr>
                <w:rFonts w:hint="eastAsia" w:ascii="仿宋" w:hAnsi="仿宋" w:eastAsia="仿宋"/>
                <w:b/>
                <w:bCs/>
                <w:sz w:val="24"/>
                <w:szCs w:val="24"/>
              </w:rPr>
              <w:t>单 位 名 称：</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
                <w:bCs/>
                <w:sz w:val="24"/>
                <w:szCs w:val="24"/>
              </w:rPr>
            </w:pPr>
            <w:r>
              <w:rPr>
                <w:rFonts w:hint="eastAsia" w:ascii="仿宋" w:hAnsi="仿宋" w:eastAsia="仿宋"/>
                <w:b/>
                <w:bCs/>
                <w:sz w:val="24"/>
                <w:szCs w:val="24"/>
              </w:rPr>
              <w:t>税       号：</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
                <w:bCs/>
                <w:sz w:val="24"/>
                <w:szCs w:val="24"/>
              </w:rPr>
            </w:pPr>
            <w:r>
              <w:rPr>
                <w:rFonts w:hint="eastAsia" w:ascii="仿宋" w:hAnsi="仿宋" w:eastAsia="仿宋"/>
                <w:b/>
                <w:bCs/>
                <w:sz w:val="24"/>
                <w:szCs w:val="24"/>
              </w:rPr>
              <w:t>地址、 电话：</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
                <w:bCs/>
                <w:sz w:val="24"/>
                <w:szCs w:val="24"/>
              </w:rPr>
            </w:pPr>
            <w:r>
              <w:rPr>
                <w:rFonts w:hint="eastAsia" w:ascii="仿宋" w:hAnsi="仿宋" w:eastAsia="仿宋"/>
                <w:b/>
                <w:bCs/>
                <w:sz w:val="24"/>
                <w:szCs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Cs/>
                <w:sz w:val="24"/>
                <w:szCs w:val="24"/>
              </w:rPr>
            </w:pPr>
            <w:r>
              <w:rPr>
                <w:rFonts w:hint="eastAsia" w:ascii="仿宋" w:hAnsi="仿宋" w:eastAsia="仿宋"/>
                <w:b/>
                <w:bCs/>
                <w:sz w:val="24"/>
                <w:szCs w:val="24"/>
              </w:rPr>
              <w:t>指定收款账     户</w:t>
            </w:r>
          </w:p>
        </w:tc>
        <w:tc>
          <w:tcPr>
            <w:tcW w:w="8784"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b/>
                <w:bCs/>
                <w:sz w:val="24"/>
                <w:szCs w:val="24"/>
              </w:rPr>
            </w:pPr>
            <w:r>
              <w:rPr>
                <w:rFonts w:hint="eastAsia" w:ascii="仿宋" w:hAnsi="仿宋" w:eastAsia="仿宋"/>
                <w:b/>
                <w:bCs/>
                <w:sz w:val="24"/>
                <w:szCs w:val="24"/>
              </w:rPr>
              <w:t>开户名称：北京博纳金成信息咨询有限公司</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仿宋" w:hAnsi="仿宋" w:eastAsia="仿宋"/>
                <w:b/>
                <w:bCs/>
                <w:sz w:val="24"/>
                <w:szCs w:val="24"/>
              </w:rPr>
            </w:pPr>
            <w:r>
              <w:rPr>
                <w:rFonts w:hint="eastAsia" w:ascii="仿宋" w:hAnsi="仿宋" w:eastAsia="仿宋"/>
                <w:b/>
                <w:bCs/>
                <w:sz w:val="24"/>
                <w:szCs w:val="24"/>
              </w:rPr>
              <w:t xml:space="preserve">开 户 行：北京农村商业银行股份有限公司宣武支行 </w:t>
            </w: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
                <w:bCs/>
                <w:sz w:val="24"/>
                <w:szCs w:val="24"/>
              </w:rPr>
            </w:pPr>
            <w:r>
              <w:rPr>
                <w:rFonts w:hint="eastAsia" w:ascii="仿宋" w:hAnsi="仿宋" w:eastAsia="仿宋"/>
                <w:b/>
                <w:bCs/>
                <w:sz w:val="24"/>
                <w:szCs w:val="24"/>
              </w:rPr>
              <w:t>账    号：1901000103000012346</w:t>
            </w:r>
            <w:r>
              <w:rPr>
                <w:rFonts w:hint="eastAsia" w:ascii="仿宋" w:hAnsi="仿宋" w:eastAsia="仿宋"/>
                <w:b/>
                <w:bCs/>
                <w:sz w:val="24"/>
                <w:szCs w:val="24"/>
              </w:rPr>
              <w:tab/>
            </w:r>
            <w:r>
              <w:rPr>
                <w:rFonts w:hint="eastAsia" w:ascii="仿宋" w:hAnsi="仿宋" w:eastAsia="仿宋"/>
                <w:b/>
                <w:bCs/>
                <w:sz w:val="24"/>
                <w:szCs w:val="24"/>
              </w:rPr>
              <w:t>（行号402100007307）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21"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
                <w:bCs/>
                <w:sz w:val="24"/>
                <w:szCs w:val="24"/>
              </w:rPr>
            </w:pPr>
            <w:r>
              <w:rPr>
                <w:rFonts w:hint="eastAsia" w:ascii="仿宋" w:hAnsi="仿宋" w:eastAsia="仿宋"/>
                <w:b/>
                <w:bCs/>
                <w:sz w:val="24"/>
                <w:szCs w:val="24"/>
              </w:rPr>
              <w:t>备注</w:t>
            </w:r>
          </w:p>
        </w:tc>
        <w:tc>
          <w:tcPr>
            <w:tcW w:w="8784"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
                <w:bCs/>
                <w:sz w:val="24"/>
                <w:szCs w:val="24"/>
              </w:rPr>
            </w:pPr>
            <w:r>
              <w:rPr>
                <w:rFonts w:hint="eastAsia" w:ascii="仿宋" w:hAnsi="仿宋" w:eastAsia="仿宋"/>
                <w:b/>
                <w:bCs/>
                <w:sz w:val="24"/>
                <w:szCs w:val="24"/>
              </w:rPr>
              <w:t>请将参会报名表回传或E-mail至会务组，在报名后3日内将培训费通过银行等方式支付，会务组确认到款后即可获取直播登录密码。</w:t>
            </w:r>
          </w:p>
        </w:tc>
      </w:tr>
    </w:tbl>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sz w:val="24"/>
          <w:szCs w:val="24"/>
        </w:rPr>
      </w:pPr>
    </w:p>
    <w:p>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bCs/>
          <w:sz w:val="24"/>
          <w:szCs w:val="24"/>
        </w:rPr>
      </w:pPr>
      <w:r>
        <w:rPr>
          <w:rFonts w:hint="eastAsia" w:ascii="仿宋" w:hAnsi="仿宋" w:eastAsia="仿宋"/>
          <w:bCs/>
          <w:sz w:val="24"/>
          <w:szCs w:val="24"/>
        </w:rPr>
        <w:t>备注：请尽早报名，额满为止。参会报名表复制有效</w:t>
      </w:r>
    </w:p>
    <w:p>
      <w:pPr>
        <w:spacing w:line="360" w:lineRule="exact"/>
        <w:textAlignment w:val="baseline"/>
        <w:rPr>
          <w:rFonts w:hint="eastAsia" w:ascii="仿宋" w:hAnsi="仿宋" w:eastAsia="仿宋"/>
          <w:color w:val="000000"/>
          <w:sz w:val="29"/>
          <w:szCs w:val="29"/>
        </w:rPr>
      </w:pPr>
      <w:r>
        <w:rPr>
          <w:rFonts w:hint="eastAsia" w:ascii="仿宋" w:hAnsi="仿宋" w:eastAsia="仿宋"/>
          <w:color w:val="000000"/>
          <w:sz w:val="29"/>
          <w:szCs w:val="29"/>
        </w:rPr>
        <w:t>报名负责人：聂红军 主任 18211071700（微信）   qq咨询：3177524020</w:t>
      </w:r>
    </w:p>
    <w:p>
      <w:pPr>
        <w:spacing w:line="360" w:lineRule="exact"/>
        <w:textAlignment w:val="baseline"/>
        <w:rPr>
          <w:rFonts w:hint="eastAsia" w:ascii="仿宋" w:hAnsi="仿宋" w:eastAsia="仿宋"/>
          <w:color w:val="000000"/>
          <w:sz w:val="29"/>
          <w:szCs w:val="29"/>
        </w:rPr>
      </w:pPr>
      <w:r>
        <w:rPr>
          <w:rFonts w:hint="eastAsia" w:ascii="仿宋" w:hAnsi="仿宋" w:eastAsia="仿宋"/>
          <w:color w:val="000000"/>
          <w:sz w:val="29"/>
          <w:szCs w:val="29"/>
        </w:rPr>
        <w:t xml:space="preserve">电话（传真）：010-87697580               邮  箱：zqgphwz@126.com   </w:t>
      </w:r>
    </w:p>
    <w:p>
      <w:pPr>
        <w:keepNext w:val="0"/>
        <w:keepLines w:val="0"/>
        <w:pageBreakBefore w:val="0"/>
        <w:kinsoku/>
        <w:wordWrap/>
        <w:overflowPunct/>
        <w:topLinePunct w:val="0"/>
        <w:autoSpaceDE/>
        <w:autoSpaceDN/>
        <w:bidi w:val="0"/>
        <w:adjustRightInd/>
        <w:snapToGrid/>
        <w:spacing w:line="360" w:lineRule="exact"/>
        <w:textAlignment w:val="auto"/>
        <w:rPr>
          <w:rFonts w:cs="仿宋" w:asciiTheme="majorEastAsia" w:hAnsiTheme="majorEastAsia" w:eastAsiaTheme="majorEastAsia"/>
          <w:sz w:val="28"/>
          <w:szCs w:val="28"/>
        </w:rPr>
      </w:pPr>
      <w:bookmarkStart w:id="0" w:name="_GoBack"/>
      <w:bookmarkEnd w:id="0"/>
      <w:r>
        <w:rPr>
          <w:rFonts w:hint="eastAsia" w:ascii="仿宋" w:hAnsi="仿宋" w:eastAsia="仿宋"/>
          <w:color w:val="000000"/>
          <w:sz w:val="29"/>
          <w:szCs w:val="29"/>
        </w:rPr>
        <w:t>网址查询：http://www.zqgpchina.cn/</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6BD"/>
    <w:rsid w:val="000128E9"/>
    <w:rsid w:val="0003131E"/>
    <w:rsid w:val="00044CA8"/>
    <w:rsid w:val="00082F30"/>
    <w:rsid w:val="000B071E"/>
    <w:rsid w:val="000C199E"/>
    <w:rsid w:val="000E048B"/>
    <w:rsid w:val="000F75B9"/>
    <w:rsid w:val="00106388"/>
    <w:rsid w:val="00106CAE"/>
    <w:rsid w:val="00120884"/>
    <w:rsid w:val="001277DD"/>
    <w:rsid w:val="00132E74"/>
    <w:rsid w:val="00144F3B"/>
    <w:rsid w:val="00162D35"/>
    <w:rsid w:val="001A35CF"/>
    <w:rsid w:val="001E0566"/>
    <w:rsid w:val="001F71F2"/>
    <w:rsid w:val="00213EC2"/>
    <w:rsid w:val="00221F49"/>
    <w:rsid w:val="0022211C"/>
    <w:rsid w:val="00223356"/>
    <w:rsid w:val="002260CE"/>
    <w:rsid w:val="00245528"/>
    <w:rsid w:val="00252A7E"/>
    <w:rsid w:val="00277595"/>
    <w:rsid w:val="0029306F"/>
    <w:rsid w:val="002F566C"/>
    <w:rsid w:val="003733E5"/>
    <w:rsid w:val="00373B17"/>
    <w:rsid w:val="003947C8"/>
    <w:rsid w:val="00397DDA"/>
    <w:rsid w:val="003A056B"/>
    <w:rsid w:val="003C3A06"/>
    <w:rsid w:val="003D0F20"/>
    <w:rsid w:val="003D3CC4"/>
    <w:rsid w:val="003D62B2"/>
    <w:rsid w:val="003E77E4"/>
    <w:rsid w:val="003F1AA6"/>
    <w:rsid w:val="003F7099"/>
    <w:rsid w:val="0040041B"/>
    <w:rsid w:val="004268B2"/>
    <w:rsid w:val="00456FA4"/>
    <w:rsid w:val="00461D49"/>
    <w:rsid w:val="00462583"/>
    <w:rsid w:val="00462970"/>
    <w:rsid w:val="004642CC"/>
    <w:rsid w:val="00485513"/>
    <w:rsid w:val="004B4C9F"/>
    <w:rsid w:val="004F63F3"/>
    <w:rsid w:val="004F789B"/>
    <w:rsid w:val="00500281"/>
    <w:rsid w:val="0051389A"/>
    <w:rsid w:val="00521886"/>
    <w:rsid w:val="0052256D"/>
    <w:rsid w:val="00524B1E"/>
    <w:rsid w:val="00547ACA"/>
    <w:rsid w:val="005A47A4"/>
    <w:rsid w:val="005B31D0"/>
    <w:rsid w:val="005D63D2"/>
    <w:rsid w:val="005F4D51"/>
    <w:rsid w:val="00607443"/>
    <w:rsid w:val="00613B68"/>
    <w:rsid w:val="006230F2"/>
    <w:rsid w:val="00635DC0"/>
    <w:rsid w:val="006713EC"/>
    <w:rsid w:val="0067577F"/>
    <w:rsid w:val="00677B48"/>
    <w:rsid w:val="00697437"/>
    <w:rsid w:val="006A47D5"/>
    <w:rsid w:val="006A4FE3"/>
    <w:rsid w:val="006A7318"/>
    <w:rsid w:val="006B1D7A"/>
    <w:rsid w:val="006B63FA"/>
    <w:rsid w:val="006C14A5"/>
    <w:rsid w:val="006F4379"/>
    <w:rsid w:val="00730C01"/>
    <w:rsid w:val="007317CD"/>
    <w:rsid w:val="00741161"/>
    <w:rsid w:val="00745D2A"/>
    <w:rsid w:val="00760906"/>
    <w:rsid w:val="00790A7A"/>
    <w:rsid w:val="007C773D"/>
    <w:rsid w:val="00821B0D"/>
    <w:rsid w:val="008529A8"/>
    <w:rsid w:val="00862795"/>
    <w:rsid w:val="008676D5"/>
    <w:rsid w:val="00874247"/>
    <w:rsid w:val="00877901"/>
    <w:rsid w:val="008C327B"/>
    <w:rsid w:val="008E3481"/>
    <w:rsid w:val="008F0DE2"/>
    <w:rsid w:val="008F315E"/>
    <w:rsid w:val="00901653"/>
    <w:rsid w:val="00917B5D"/>
    <w:rsid w:val="0092024D"/>
    <w:rsid w:val="00943E35"/>
    <w:rsid w:val="00977FF7"/>
    <w:rsid w:val="009955BF"/>
    <w:rsid w:val="00995A93"/>
    <w:rsid w:val="009C0A35"/>
    <w:rsid w:val="009C3999"/>
    <w:rsid w:val="009D6045"/>
    <w:rsid w:val="009E3F69"/>
    <w:rsid w:val="009F3F02"/>
    <w:rsid w:val="00A05955"/>
    <w:rsid w:val="00A2514D"/>
    <w:rsid w:val="00A66C68"/>
    <w:rsid w:val="00A74638"/>
    <w:rsid w:val="00A812A9"/>
    <w:rsid w:val="00AA3BD7"/>
    <w:rsid w:val="00AA3C8B"/>
    <w:rsid w:val="00AB4A2A"/>
    <w:rsid w:val="00AC5AE7"/>
    <w:rsid w:val="00AC691E"/>
    <w:rsid w:val="00AF5CB5"/>
    <w:rsid w:val="00B1684C"/>
    <w:rsid w:val="00B41CA1"/>
    <w:rsid w:val="00B46804"/>
    <w:rsid w:val="00B908C6"/>
    <w:rsid w:val="00B93900"/>
    <w:rsid w:val="00BB6258"/>
    <w:rsid w:val="00BD2F2B"/>
    <w:rsid w:val="00C256D4"/>
    <w:rsid w:val="00C805C6"/>
    <w:rsid w:val="00C92D84"/>
    <w:rsid w:val="00C9744A"/>
    <w:rsid w:val="00CA3DFC"/>
    <w:rsid w:val="00CA76AE"/>
    <w:rsid w:val="00CC1468"/>
    <w:rsid w:val="00CE2B97"/>
    <w:rsid w:val="00D022BB"/>
    <w:rsid w:val="00D10067"/>
    <w:rsid w:val="00D158C4"/>
    <w:rsid w:val="00D91440"/>
    <w:rsid w:val="00DC4EDE"/>
    <w:rsid w:val="00DE1295"/>
    <w:rsid w:val="00DE173B"/>
    <w:rsid w:val="00E116BD"/>
    <w:rsid w:val="00E245BF"/>
    <w:rsid w:val="00E323BE"/>
    <w:rsid w:val="00E62E43"/>
    <w:rsid w:val="00E675C2"/>
    <w:rsid w:val="00E73ED7"/>
    <w:rsid w:val="00E95406"/>
    <w:rsid w:val="00E96FEB"/>
    <w:rsid w:val="00EB46C0"/>
    <w:rsid w:val="00EC474A"/>
    <w:rsid w:val="00ED4698"/>
    <w:rsid w:val="00EF788D"/>
    <w:rsid w:val="00F0124A"/>
    <w:rsid w:val="00F07757"/>
    <w:rsid w:val="00F31C23"/>
    <w:rsid w:val="00F368E8"/>
    <w:rsid w:val="00F802D1"/>
    <w:rsid w:val="00FD0C66"/>
    <w:rsid w:val="00FE2F0F"/>
    <w:rsid w:val="00FE4556"/>
    <w:rsid w:val="00FF212B"/>
    <w:rsid w:val="01AC1EF8"/>
    <w:rsid w:val="023A49EA"/>
    <w:rsid w:val="02BC0309"/>
    <w:rsid w:val="05881F54"/>
    <w:rsid w:val="05C14C87"/>
    <w:rsid w:val="06653B1A"/>
    <w:rsid w:val="06D214A6"/>
    <w:rsid w:val="084B642F"/>
    <w:rsid w:val="0A1A158E"/>
    <w:rsid w:val="0A831DCA"/>
    <w:rsid w:val="0AE27F66"/>
    <w:rsid w:val="0C126279"/>
    <w:rsid w:val="0D330897"/>
    <w:rsid w:val="0E4B7179"/>
    <w:rsid w:val="0EDC62BE"/>
    <w:rsid w:val="10901C78"/>
    <w:rsid w:val="11AB3434"/>
    <w:rsid w:val="12BB6ABF"/>
    <w:rsid w:val="13B70C8F"/>
    <w:rsid w:val="13D91D16"/>
    <w:rsid w:val="13EA2458"/>
    <w:rsid w:val="14C761E6"/>
    <w:rsid w:val="15280D9B"/>
    <w:rsid w:val="15A179FF"/>
    <w:rsid w:val="16A84F2D"/>
    <w:rsid w:val="17264B7B"/>
    <w:rsid w:val="18B3639C"/>
    <w:rsid w:val="193879E9"/>
    <w:rsid w:val="1B883A01"/>
    <w:rsid w:val="1CD17305"/>
    <w:rsid w:val="1D914C51"/>
    <w:rsid w:val="20304500"/>
    <w:rsid w:val="21725FE7"/>
    <w:rsid w:val="22153385"/>
    <w:rsid w:val="235C2CF6"/>
    <w:rsid w:val="24F557E6"/>
    <w:rsid w:val="28963A52"/>
    <w:rsid w:val="29587380"/>
    <w:rsid w:val="2A076AA2"/>
    <w:rsid w:val="2A104FB4"/>
    <w:rsid w:val="2AA66317"/>
    <w:rsid w:val="2AC3687D"/>
    <w:rsid w:val="2CE64354"/>
    <w:rsid w:val="2D187014"/>
    <w:rsid w:val="2D996180"/>
    <w:rsid w:val="2DB33B6D"/>
    <w:rsid w:val="2DFB2C04"/>
    <w:rsid w:val="2E0459A7"/>
    <w:rsid w:val="30A9785A"/>
    <w:rsid w:val="31CD2B55"/>
    <w:rsid w:val="333D5BF1"/>
    <w:rsid w:val="33481916"/>
    <w:rsid w:val="33B5715F"/>
    <w:rsid w:val="36B66B36"/>
    <w:rsid w:val="37022A3D"/>
    <w:rsid w:val="37117386"/>
    <w:rsid w:val="372533EB"/>
    <w:rsid w:val="374C2F21"/>
    <w:rsid w:val="376E3756"/>
    <w:rsid w:val="3832219E"/>
    <w:rsid w:val="39292708"/>
    <w:rsid w:val="3C78462F"/>
    <w:rsid w:val="3C9601A4"/>
    <w:rsid w:val="3E262246"/>
    <w:rsid w:val="3FEA5768"/>
    <w:rsid w:val="423C1C80"/>
    <w:rsid w:val="42440ECC"/>
    <w:rsid w:val="44AC6B2C"/>
    <w:rsid w:val="45651AA4"/>
    <w:rsid w:val="45947E31"/>
    <w:rsid w:val="478D06E2"/>
    <w:rsid w:val="47CE36B2"/>
    <w:rsid w:val="490C7017"/>
    <w:rsid w:val="49C13C1C"/>
    <w:rsid w:val="4AE5284D"/>
    <w:rsid w:val="4BE614D6"/>
    <w:rsid w:val="4C2A1933"/>
    <w:rsid w:val="4C540BE7"/>
    <w:rsid w:val="4D8B4E69"/>
    <w:rsid w:val="4DA67E63"/>
    <w:rsid w:val="4E0E537B"/>
    <w:rsid w:val="4E9C5B35"/>
    <w:rsid w:val="4F6B34F0"/>
    <w:rsid w:val="516D593A"/>
    <w:rsid w:val="525A369D"/>
    <w:rsid w:val="531342D2"/>
    <w:rsid w:val="53453055"/>
    <w:rsid w:val="550852B6"/>
    <w:rsid w:val="56FC02E8"/>
    <w:rsid w:val="58161803"/>
    <w:rsid w:val="585E6BCA"/>
    <w:rsid w:val="59FC2ECF"/>
    <w:rsid w:val="5C862DC1"/>
    <w:rsid w:val="5F895158"/>
    <w:rsid w:val="5FBF5A77"/>
    <w:rsid w:val="60325DB8"/>
    <w:rsid w:val="6325607E"/>
    <w:rsid w:val="6407746F"/>
    <w:rsid w:val="677463D0"/>
    <w:rsid w:val="67DF5BA3"/>
    <w:rsid w:val="68CC7563"/>
    <w:rsid w:val="6A8B6340"/>
    <w:rsid w:val="6BB76890"/>
    <w:rsid w:val="6C65672D"/>
    <w:rsid w:val="6CC544EA"/>
    <w:rsid w:val="71295413"/>
    <w:rsid w:val="74FC6041"/>
    <w:rsid w:val="757E1A5D"/>
    <w:rsid w:val="75A322B4"/>
    <w:rsid w:val="7727047C"/>
    <w:rsid w:val="78880933"/>
    <w:rsid w:val="798E518E"/>
    <w:rsid w:val="7E2973AC"/>
    <w:rsid w:val="7EB25BA3"/>
    <w:rsid w:val="7F9E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4"/>
    <w:basedOn w:val="1"/>
    <w:next w:val="1"/>
    <w:link w:val="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9"/>
    <w:semiHidden/>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99"/>
    <w:rPr>
      <w:b/>
      <w:bCs/>
    </w:rPr>
  </w:style>
  <w:style w:type="character" w:styleId="11">
    <w:name w:val="page number"/>
    <w:basedOn w:val="9"/>
    <w:qFormat/>
    <w:uiPriority w:val="0"/>
  </w:style>
  <w:style w:type="character" w:styleId="12">
    <w:name w:val="Hyperlink"/>
    <w:basedOn w:val="9"/>
    <w:semiHidden/>
    <w:unhideWhenUsed/>
    <w:uiPriority w:val="99"/>
    <w:rPr>
      <w:color w:val="0000FF"/>
      <w:u w:val="single"/>
    </w:rPr>
  </w:style>
  <w:style w:type="character" w:customStyle="1" w:styleId="13">
    <w:name w:val="页眉 Char"/>
    <w:basedOn w:val="9"/>
    <w:link w:val="6"/>
    <w:qFormat/>
    <w:uiPriority w:val="99"/>
    <w:rPr>
      <w:sz w:val="18"/>
      <w:szCs w:val="18"/>
    </w:rPr>
  </w:style>
  <w:style w:type="character" w:customStyle="1" w:styleId="14">
    <w:name w:val="页脚 Char"/>
    <w:basedOn w:val="9"/>
    <w:link w:val="5"/>
    <w:qFormat/>
    <w:uiPriority w:val="99"/>
    <w:rPr>
      <w:sz w:val="18"/>
      <w:szCs w:val="18"/>
    </w:rPr>
  </w:style>
  <w:style w:type="character" w:customStyle="1" w:styleId="15">
    <w:name w:val="标题 2 Char"/>
    <w:basedOn w:val="9"/>
    <w:link w:val="2"/>
    <w:qFormat/>
    <w:uiPriority w:val="9"/>
    <w:rPr>
      <w:rFonts w:ascii="宋体" w:hAnsi="宋体" w:eastAsia="宋体" w:cs="宋体"/>
      <w:b/>
      <w:bCs/>
      <w:kern w:val="0"/>
      <w:sz w:val="36"/>
      <w:szCs w:val="36"/>
    </w:rPr>
  </w:style>
  <w:style w:type="character" w:customStyle="1" w:styleId="16">
    <w:name w:val="标题 4 Char"/>
    <w:basedOn w:val="9"/>
    <w:link w:val="3"/>
    <w:semiHidden/>
    <w:qFormat/>
    <w:uiPriority w:val="9"/>
    <w:rPr>
      <w:rFonts w:asciiTheme="majorHAnsi" w:hAnsiTheme="majorHAnsi" w:eastAsiaTheme="majorEastAsia" w:cstheme="majorBidi"/>
      <w:b/>
      <w:bCs/>
      <w:sz w:val="28"/>
      <w:szCs w:val="28"/>
    </w:rPr>
  </w:style>
  <w:style w:type="paragraph" w:styleId="17">
    <w:name w:val="List Paragraph"/>
    <w:basedOn w:val="1"/>
    <w:qFormat/>
    <w:uiPriority w:val="34"/>
    <w:pPr>
      <w:ind w:firstLine="420" w:firstLineChars="200"/>
    </w:pPr>
  </w:style>
  <w:style w:type="paragraph" w:customStyle="1" w:styleId="18">
    <w:name w:val="列出段落1"/>
    <w:basedOn w:val="1"/>
    <w:qFormat/>
    <w:uiPriority w:val="99"/>
    <w:pPr>
      <w:ind w:firstLine="420" w:firstLineChars="200"/>
    </w:pPr>
    <w:rPr>
      <w:rFonts w:ascii="Calibri" w:hAnsi="Calibri"/>
    </w:rPr>
  </w:style>
  <w:style w:type="character" w:customStyle="1" w:styleId="19">
    <w:name w:val="日期 Char"/>
    <w:basedOn w:val="9"/>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511</Words>
  <Characters>2918</Characters>
  <Lines>24</Lines>
  <Paragraphs>6</Paragraphs>
  <TotalTime>1</TotalTime>
  <ScaleCrop>false</ScaleCrop>
  <LinksUpToDate>false</LinksUpToDate>
  <CharactersWithSpaces>3423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2019-12-18T06:14:00Z</dcterms:created>
  <dc:creator>Windows 用户</dc:creator>
  <cp:lastModifiedBy>Administrator</cp:lastModifiedBy>
  <cp:lastPrinted>2019-12-11T06:17:00Z</cp:lastPrinted>
  <dcterms:modified xsi:type="dcterms:W3CDTF">2020-04-26T01:06:24Z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