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Theme="minorEastAsia" w:hAnsiTheme="minorEastAsia" w:eastAsiaTheme="minorEastAsia" w:cstheme="minorEastAsia"/>
          <w:color w:val="FF0000"/>
          <w:kern w:val="0"/>
          <w:sz w:val="70"/>
          <w:szCs w:val="70"/>
        </w:rPr>
      </w:pPr>
      <w:r>
        <w:rPr>
          <w:rFonts w:hint="eastAsia" w:asciiTheme="minorEastAsia" w:hAnsiTheme="minorEastAsia" w:eastAsiaTheme="minorEastAsia" w:cstheme="minorEastAsia"/>
          <w:color w:val="FF0000"/>
          <w:kern w:val="0"/>
          <w:sz w:val="70"/>
          <w:szCs w:val="70"/>
        </w:rPr>
        <w:t>中 国 投 资 协 会</w:t>
      </w:r>
    </w:p>
    <w:p>
      <w:pPr>
        <w:jc w:val="distribute"/>
        <w:rPr>
          <w:rFonts w:hint="eastAsia" w:asciiTheme="minorEastAsia" w:hAnsiTheme="minorEastAsia" w:eastAsiaTheme="minorEastAsia" w:cstheme="minorEastAsia"/>
          <w:color w:val="FF0000"/>
          <w:w w:val="90"/>
          <w:kern w:val="0"/>
          <w:sz w:val="66"/>
          <w:szCs w:val="66"/>
        </w:rPr>
      </w:pPr>
      <w:r>
        <w:rPr>
          <w:rFonts w:hint="eastAsia" w:asciiTheme="minorEastAsia" w:hAnsiTheme="minorEastAsia" w:eastAsiaTheme="minorEastAsia" w:cstheme="minorEastAsia"/>
          <w:color w:val="FF0000"/>
          <w:w w:val="90"/>
          <w:kern w:val="0"/>
          <w:sz w:val="70"/>
          <w:szCs w:val="70"/>
        </w:rPr>
        <w:t>项目投融资专业委员会文件</w:t>
      </w:r>
    </w:p>
    <w:p>
      <w:pPr>
        <w:widowControl/>
        <w:shd w:val="clear" w:color="auto" w:fill="FFFFFF"/>
        <w:spacing w:after="222"/>
        <w:jc w:val="center"/>
        <w:outlineLvl w:val="1"/>
        <w:rPr>
          <w:rFonts w:hint="eastAsia" w:asciiTheme="minorEastAsia" w:hAnsiTheme="minorEastAsia" w:eastAsiaTheme="minorEastAsia" w:cstheme="minorEastAsia"/>
          <w:b/>
          <w:bCs/>
          <w:color w:val="333333"/>
          <w:spacing w:val="9"/>
          <w:kern w:val="0"/>
          <w:sz w:val="32"/>
          <w:szCs w:val="32"/>
          <w:lang w:val="en-US" w:eastAsia="zh-CN"/>
        </w:rPr>
      </w:pPr>
      <w:r>
        <w:rPr>
          <w:rFonts w:hint="eastAsia" w:asciiTheme="minorEastAsia" w:hAnsiTheme="minorEastAsia" w:eastAsiaTheme="minorEastAsia" w:cstheme="minorEastAsia"/>
          <w:bCs/>
          <w:sz w:val="44"/>
          <w:szCs w:val="44"/>
        </w:rPr>
        <mc:AlternateContent>
          <mc:Choice Requires="wps">
            <w:drawing>
              <wp:anchor distT="0" distB="0" distL="114300" distR="114300" simplePos="0" relativeHeight="251658240" behindDoc="0" locked="0" layoutInCell="1" allowOverlap="1">
                <wp:simplePos x="0" y="0"/>
                <wp:positionH relativeFrom="page">
                  <wp:posOffset>1233170</wp:posOffset>
                </wp:positionH>
                <wp:positionV relativeFrom="paragraph">
                  <wp:posOffset>728980</wp:posOffset>
                </wp:positionV>
                <wp:extent cx="5943600" cy="635"/>
                <wp:effectExtent l="0" t="13970" r="0" b="15875"/>
                <wp:wrapSquare wrapText="bothSides"/>
                <wp:docPr id="1" name="直线 3"/>
                <wp:cNvGraphicFramePr/>
                <a:graphic xmlns:a="http://schemas.openxmlformats.org/drawingml/2006/main">
                  <a:graphicData uri="http://schemas.microsoft.com/office/word/2010/wordprocessingShape">
                    <wps:wsp>
                      <wps:cNvCnPr/>
                      <wps:spPr>
                        <a:xfrm>
                          <a:off x="0" y="0"/>
                          <a:ext cx="59436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7.1pt;margin-top:57.4pt;height:0.05pt;width:468pt;mso-position-horizontal-relative:page;mso-wrap-distance-bottom:0pt;mso-wrap-distance-left:9pt;mso-wrap-distance-right:9pt;mso-wrap-distance-top:0pt;z-index:251658240;mso-width-relative:page;mso-height-relative:page;" filled="f" stroked="t" coordsize="21600,21600" o:gfxdata="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FnvuC1gAAAAwBAAAPAAAAAAAAAAEAIAAAACIA&#10;AABkcnMvZG93bnJldi54bWxQSwECFAAUAAAACACHTuJAaOd8T9IBAACQAwAADgAAAAAAAAABACAA&#10;AAAlAQAAZHJzL2Uyb0RvYy54bWxQSwUGAAAAAAYABgBZAQAAaQUAAAAA&#10;">
                <v:fill on="f" focussize="0,0"/>
                <v:stroke weight="2.25pt" color="#FF0000" joinstyle="round"/>
                <v:imagedata o:title=""/>
                <o:lock v:ext="edit" aspectratio="f"/>
                <w10:wrap type="square"/>
              </v:line>
            </w:pict>
          </mc:Fallback>
        </mc:AlternateContent>
      </w:r>
      <w:r>
        <w:rPr>
          <w:rFonts w:hint="eastAsia" w:asciiTheme="minorEastAsia" w:hAnsiTheme="minorEastAsia" w:eastAsiaTheme="minorEastAsia" w:cstheme="minorEastAsia"/>
          <w:sz w:val="30"/>
          <w:szCs w:val="30"/>
        </w:rPr>
        <w:t>投融培字</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2020</w:t>
      </w:r>
      <w:r>
        <w:rPr>
          <w:rFonts w:hint="eastAsia" w:asciiTheme="minorEastAsia" w:hAnsiTheme="minorEastAsia" w:eastAsiaTheme="minorEastAsia" w:cstheme="minorEastAsia"/>
          <w:sz w:val="30"/>
          <w:szCs w:val="30"/>
          <w:lang w:eastAsia="zh-CN"/>
        </w:rPr>
        <w:t>】</w:t>
      </w:r>
      <w:r>
        <w:rPr>
          <w:rFonts w:hint="eastAsia" w:asciiTheme="minorEastAsia" w:hAnsiTheme="minorEastAsia" w:cstheme="minorEastAsia"/>
          <w:sz w:val="30"/>
          <w:szCs w:val="30"/>
          <w:lang w:val="en-US" w:eastAsia="zh-CN"/>
        </w:rPr>
        <w:t>21</w:t>
      </w:r>
      <w:r>
        <w:rPr>
          <w:rFonts w:hint="eastAsia" w:asciiTheme="minorEastAsia" w:hAnsiTheme="minorEastAsia" w:eastAsiaTheme="minorEastAsia" w:cstheme="minorEastAsia"/>
          <w:sz w:val="30"/>
          <w:szCs w:val="30"/>
          <w:lang w:val="en-US" w:eastAsia="zh-CN"/>
        </w:rPr>
        <w:t>号</w:t>
      </w:r>
    </w:p>
    <w:p>
      <w:pPr>
        <w:widowControl/>
        <w:shd w:val="clear" w:color="auto" w:fill="FFFFFF"/>
        <w:spacing w:after="222"/>
        <w:jc w:val="center"/>
        <w:outlineLvl w:val="1"/>
        <w:rPr>
          <w:rFonts w:hint="eastAsia" w:asciiTheme="minorEastAsia" w:hAnsiTheme="minorEastAsia" w:eastAsiaTheme="minorEastAsia" w:cstheme="minorEastAsia"/>
          <w:b/>
          <w:bCs/>
          <w:color w:val="333333"/>
          <w:spacing w:val="9"/>
          <w:kern w:val="0"/>
          <w:sz w:val="32"/>
          <w:szCs w:val="32"/>
        </w:rPr>
      </w:pPr>
      <w:r>
        <w:rPr>
          <w:rFonts w:hint="eastAsia" w:asciiTheme="minorEastAsia" w:hAnsiTheme="minorEastAsia" w:eastAsiaTheme="minorEastAsia" w:cstheme="minorEastAsia"/>
          <w:b/>
          <w:bCs/>
          <w:color w:val="333333"/>
          <w:spacing w:val="9"/>
          <w:kern w:val="0"/>
          <w:sz w:val="32"/>
          <w:szCs w:val="32"/>
          <w:lang w:val="en-US" w:eastAsia="zh-CN"/>
        </w:rPr>
        <w:t xml:space="preserve"> </w:t>
      </w:r>
      <w:r>
        <w:rPr>
          <w:rFonts w:hint="eastAsia" w:asciiTheme="minorEastAsia" w:hAnsiTheme="minorEastAsia" w:eastAsiaTheme="minorEastAsia" w:cstheme="minorEastAsia"/>
          <w:b/>
          <w:bCs/>
          <w:color w:val="333333"/>
          <w:spacing w:val="9"/>
          <w:kern w:val="0"/>
          <w:sz w:val="32"/>
          <w:szCs w:val="32"/>
        </w:rPr>
        <w:t>关于举办地方政府‘两新一重’项目包装及最新基础设施投融资模式设计与</w:t>
      </w:r>
      <w:r>
        <w:rPr>
          <w:rFonts w:hint="eastAsia" w:asciiTheme="minorEastAsia" w:hAnsiTheme="minorEastAsia" w:eastAsiaTheme="minorEastAsia" w:cstheme="minorEastAsia"/>
          <w:b/>
          <w:bCs/>
          <w:color w:val="333333"/>
          <w:spacing w:val="9"/>
          <w:kern w:val="0"/>
          <w:sz w:val="32"/>
          <w:szCs w:val="32"/>
          <w:lang w:val="en-US" w:eastAsia="zh-CN"/>
        </w:rPr>
        <w:t>融资</w:t>
      </w:r>
      <w:r>
        <w:rPr>
          <w:rFonts w:hint="eastAsia" w:asciiTheme="minorEastAsia" w:hAnsiTheme="minorEastAsia" w:eastAsiaTheme="minorEastAsia" w:cstheme="minorEastAsia"/>
          <w:b/>
          <w:bCs/>
          <w:color w:val="333333"/>
          <w:spacing w:val="9"/>
          <w:kern w:val="0"/>
          <w:sz w:val="32"/>
          <w:szCs w:val="32"/>
        </w:rPr>
        <w:t>工具应用培训班的通知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各有关单位：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根据中央内循环为主的发展战略，</w:t>
      </w:r>
      <w:r>
        <w:rPr>
          <w:rStyle w:val="13"/>
          <w:rFonts w:hint="eastAsia" w:asciiTheme="minorEastAsia" w:hAnsiTheme="minorEastAsia" w:eastAsiaTheme="minorEastAsia" w:cstheme="minorEastAsia"/>
          <w:color w:val="000000" w:themeColor="text1"/>
          <w:sz w:val="28"/>
          <w:szCs w:val="28"/>
          <w14:textFill>
            <w14:solidFill>
              <w14:schemeClr w14:val="tx1"/>
            </w14:solidFill>
          </w14:textFill>
        </w:rPr>
        <w:t>2020年5月22日，李克强总理在</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"https://baike.baidu.com/item/2020%E5%B9%B4%E5%9B%BD%E5%8A%A1%E9%99%A2%E6%94%BF%E5%BA%9C%E5%B7%A5%E4%BD%9C%E6%8A%A5%E5%91%8A/50154100" \t "_blank" </w:instrText>
      </w:r>
      <w:r>
        <w:rPr>
          <w:rFonts w:hint="eastAsia" w:asciiTheme="minorEastAsia" w:hAnsiTheme="minorEastAsia" w:eastAsiaTheme="minorEastAsia" w:cstheme="minorEastAsia"/>
        </w:rPr>
        <w:fldChar w:fldCharType="separate"/>
      </w:r>
      <w:r>
        <w:rPr>
          <w:rStyle w:val="13"/>
          <w:rFonts w:hint="eastAsia" w:asciiTheme="minorEastAsia" w:hAnsiTheme="minorEastAsia" w:eastAsiaTheme="minorEastAsia" w:cstheme="minorEastAsia"/>
          <w:color w:val="000000" w:themeColor="text1"/>
          <w:sz w:val="28"/>
          <w:szCs w:val="28"/>
          <w14:textFill>
            <w14:solidFill>
              <w14:schemeClr w14:val="tx1"/>
            </w14:solidFill>
          </w14:textFill>
        </w:rPr>
        <w:t>2020年国务院政府工作报告</w:t>
      </w:r>
      <w:r>
        <w:rPr>
          <w:rStyle w:val="13"/>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Style w:val="13"/>
          <w:rFonts w:hint="eastAsia" w:asciiTheme="minorEastAsia" w:hAnsiTheme="minorEastAsia" w:eastAsiaTheme="minorEastAsia" w:cstheme="minorEastAsia"/>
          <w:color w:val="000000" w:themeColor="text1"/>
          <w:sz w:val="28"/>
          <w:szCs w:val="28"/>
          <w14:textFill>
            <w14:solidFill>
              <w14:schemeClr w14:val="tx1"/>
            </w14:solidFill>
          </w14:textFill>
        </w:rPr>
        <w:t>中提出，重点支持“两新一重”建设。在</w:t>
      </w:r>
      <w:r>
        <w:rPr>
          <w:rFonts w:hint="eastAsia" w:asciiTheme="minorEastAsia" w:hAnsiTheme="minorEastAsia" w:eastAsiaTheme="minorEastAsia" w:cstheme="minorEastAsia"/>
          <w:sz w:val="28"/>
          <w:szCs w:val="28"/>
        </w:rPr>
        <w:t>国务院和国家发改委的要求下，全国区县正在加快推进城镇化补短板强弱项工作，大力提升区县公共设施和服务能力，促进公共服务设施提标扩面、环境卫生设施提级扩能、市政公用设施提挡升级、产业培育设施提质增效，适应农民日益增加的到县城就业安家需求，扩大有效投资、释放消费潜力、拓展市场纵深，为坚定实施扩大内需战略和新型城镇化战略提供重要支撑。</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县城是我国推进工业化城镇化的重要空间、城镇体系的重要一环、城乡融合发展的关键纽带。</w:t>
      </w:r>
      <w:r>
        <w:rPr>
          <w:rFonts w:hint="eastAsia" w:asciiTheme="minorEastAsia" w:hAnsiTheme="minorEastAsia" w:eastAsiaTheme="minorEastAsia" w:cstheme="minorEastAsia"/>
          <w:color w:val="000000"/>
          <w:sz w:val="28"/>
          <w:szCs w:val="28"/>
        </w:rPr>
        <w:t>在此背景下，国家发改委发布了《县城城镇化补短板强弱项工作的通知》（发改规划〔2020〕831号），并通过地方专项债券、信贷政策工具与专项企业债券等给予地方一</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定的支持。  </w:t>
      </w:r>
    </w:p>
    <w:p>
      <w:pPr>
        <w:keepNext w:val="0"/>
        <w:keepLines w:val="0"/>
        <w:pageBreakBefore w:val="0"/>
        <w:kinsoku/>
        <w:wordWrap/>
        <w:overflowPunct/>
        <w:topLinePunct w:val="0"/>
        <w:autoSpaceDE/>
        <w:autoSpaceDN/>
        <w:bidi w:val="0"/>
        <w:adjustRightInd/>
        <w:snapToGrid/>
        <w:spacing w:line="440" w:lineRule="exact"/>
        <w:ind w:firstLine="624"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16"/>
          <w:kern w:val="0"/>
          <w:sz w:val="28"/>
          <w:szCs w:val="28"/>
          <w14:textFill>
            <w14:solidFill>
              <w14:schemeClr w14:val="tx1"/>
            </w14:solidFill>
          </w14:textFill>
        </w:rPr>
        <w:t>在债务严监管的新形势下，地方政府如何策划、谋划项目，地方融资平台公司如何转型、快速打造一个AA级新平台公司，城市新区、县域经济、产业园区和新型城镇化项目如何运作，投资人如何策划参与政府基建项目，施工企业如何在“两金”压控背景下合规参与政府投资类项目将成为落实</w:t>
      </w:r>
      <w:r>
        <w:rPr>
          <w:rFonts w:hint="eastAsia" w:asciiTheme="minorEastAsia" w:hAnsiTheme="minorEastAsia" w:eastAsiaTheme="minorEastAsia" w:cstheme="minorEastAsia"/>
          <w:bCs/>
          <w:color w:val="000000" w:themeColor="text1"/>
          <w:spacing w:val="9"/>
          <w:kern w:val="0"/>
          <w:sz w:val="28"/>
          <w:szCs w:val="28"/>
          <w14:textFill>
            <w14:solidFill>
              <w14:schemeClr w14:val="tx1"/>
            </w14:solidFill>
          </w14:textFill>
        </w:rPr>
        <w:t>“两新一重”政策重点。</w:t>
      </w:r>
      <w:r>
        <w:rPr>
          <w:rFonts w:hint="eastAsia" w:asciiTheme="minorEastAsia" w:hAnsiTheme="minorEastAsia" w:eastAsiaTheme="minorEastAsia" w:cstheme="minorEastAsia"/>
          <w:color w:val="000000" w:themeColor="text1"/>
          <w:sz w:val="28"/>
          <w:szCs w:val="28"/>
          <w14:textFill>
            <w14:solidFill>
              <w14:schemeClr w14:val="tx1"/>
            </w14:solidFill>
          </w14:textFill>
        </w:rPr>
        <w:t>为了帮助政府有关部门、平台公司、各金融机构、参与政府项目的国企民企及投资类企业系统学习掌握政府融资体制机制的转变、地方政府项目的谋划与落地、详解区县级政府可使用的最新投融资工具，以及最新政策工具的实务提高地方经济可持续发展能力，特</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举办“</w:t>
      </w:r>
      <w:r>
        <w:rPr>
          <w:rFonts w:hint="eastAsia" w:asciiTheme="minorEastAsia" w:hAnsiTheme="minorEastAsia" w:eastAsiaTheme="minorEastAsia" w:cstheme="minorEastAsia"/>
          <w:bCs/>
          <w:color w:val="000000" w:themeColor="text1"/>
          <w:spacing w:val="9"/>
          <w:kern w:val="0"/>
          <w:sz w:val="28"/>
          <w:szCs w:val="28"/>
          <w14:textFill>
            <w14:solidFill>
              <w14:schemeClr w14:val="tx1"/>
            </w14:solidFill>
          </w14:textFill>
        </w:rPr>
        <w:t>地方政府‘两新一重’项目包装及最新基础设施投融资模式设计与融资工具应用</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cstheme="minorEastAsia"/>
          <w:bCs/>
          <w:color w:val="000000" w:themeColor="text1"/>
          <w:sz w:val="28"/>
          <w:szCs w:val="28"/>
          <w:lang w:eastAsia="zh-CN"/>
          <w14:textFill>
            <w14:solidFill>
              <w14:schemeClr w14:val="tx1"/>
            </w14:solidFill>
          </w14:textFill>
        </w:rPr>
        <w:t>培训班</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现将具体事项通知如下：</w:t>
      </w:r>
    </w:p>
    <w:p>
      <w:pPr>
        <w:keepNext w:val="0"/>
        <w:keepLines w:val="0"/>
        <w:pageBreakBefore w:val="0"/>
        <w:kinsoku/>
        <w:wordWrap/>
        <w:overflowPunct/>
        <w:topLinePunct w:val="0"/>
        <w:autoSpaceDE/>
        <w:autoSpaceDN/>
        <w:bidi w:val="0"/>
        <w:adjustRightInd/>
        <w:snapToGrid/>
        <w:spacing w:line="440" w:lineRule="exact"/>
        <w:jc w:val="left"/>
        <w:rPr>
          <w:rFonts w:ascii="黑体" w:hAnsi="黑体" w:eastAsia="黑体" w:cs="黑体"/>
          <w:sz w:val="28"/>
          <w:szCs w:val="28"/>
        </w:rPr>
      </w:pPr>
      <w:r>
        <w:rPr>
          <w:rFonts w:hint="eastAsia" w:ascii="黑体" w:hAnsi="黑体" w:eastAsia="黑体" w:cs="黑体"/>
          <w:sz w:val="28"/>
          <w:szCs w:val="28"/>
        </w:rPr>
        <w:t>一、组织机构</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主办单位：中国投资协会项目投融资专业委员会</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承办单位：北京中科善若教育咨询有限公司</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pPr>
      <w:r>
        <w:rPr>
          <w:rFonts w:hint="eastAsia" w:asciiTheme="minorEastAsia" w:hAnsiTheme="minorEastAsia" w:cstheme="minorEastAsia"/>
          <w:b/>
          <w:bCs w:val="0"/>
          <w:color w:val="000000" w:themeColor="text1"/>
          <w:sz w:val="28"/>
          <w:szCs w:val="28"/>
          <w:lang w:eastAsia="zh-CN"/>
          <w14:textFill>
            <w14:solidFill>
              <w14:schemeClr w14:val="tx1"/>
            </w14:solidFill>
          </w14:textFill>
        </w:rPr>
        <w:t>二、培训</w:t>
      </w:r>
      <w:r>
        <w:rPr>
          <w:rFonts w:hint="eastAsia" w:asciiTheme="minorEastAsia" w:hAnsiTheme="minorEastAsia" w:eastAsiaTheme="minorEastAsia" w:cstheme="minorEastAsia"/>
          <w:b/>
          <w:bCs w:val="0"/>
          <w:color w:val="000000" w:themeColor="text1"/>
          <w:sz w:val="28"/>
          <w:szCs w:val="28"/>
          <w14:textFill>
            <w14:solidFill>
              <w14:schemeClr w14:val="tx1"/>
            </w14:solidFill>
          </w14:textFill>
        </w:rPr>
        <w:t>内容：</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b/>
          <w:sz w:val="28"/>
          <w:szCs w:val="28"/>
        </w:rPr>
      </w:pPr>
      <w:r>
        <w:rPr>
          <w:rFonts w:hint="eastAsia" w:asciiTheme="minorEastAsia" w:hAnsiTheme="minorEastAsia" w:cstheme="minorEastAsia"/>
          <w:b/>
          <w:sz w:val="28"/>
          <w:szCs w:val="28"/>
          <w:lang w:eastAsia="zh-CN"/>
        </w:rPr>
        <w:t>（</w:t>
      </w:r>
      <w:r>
        <w:rPr>
          <w:rFonts w:hint="eastAsia" w:asciiTheme="minorEastAsia" w:hAnsiTheme="minorEastAsia" w:eastAsiaTheme="minorEastAsia" w:cstheme="minorEastAsia"/>
          <w:b/>
          <w:sz w:val="28"/>
          <w:szCs w:val="28"/>
        </w:rPr>
        <w:t>一</w:t>
      </w:r>
      <w:r>
        <w:rPr>
          <w:rFonts w:hint="eastAsia" w:asciiTheme="minorEastAsia" w:hAnsiTheme="minorEastAsia" w:cstheme="minorEastAsia"/>
          <w:b/>
          <w:sz w:val="28"/>
          <w:szCs w:val="28"/>
          <w:lang w:eastAsia="zh-CN"/>
        </w:rPr>
        <w:t>）</w:t>
      </w:r>
      <w:r>
        <w:rPr>
          <w:rFonts w:hint="eastAsia" w:asciiTheme="minorEastAsia" w:hAnsiTheme="minorEastAsia" w:eastAsiaTheme="minorEastAsia" w:cstheme="minorEastAsia"/>
          <w:b/>
          <w:sz w:val="28"/>
          <w:szCs w:val="28"/>
        </w:rPr>
        <w:t>政府项目投融资模式简述</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1．政府直接投资</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2．政府合规性融资</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3．企业投资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000000"/>
          <w:sz w:val="28"/>
          <w:szCs w:val="28"/>
          <w:lang w:eastAsia="zh-CN"/>
        </w:rPr>
        <w:t>（</w:t>
      </w:r>
      <w:r>
        <w:rPr>
          <w:rFonts w:hint="eastAsia" w:asciiTheme="minorEastAsia" w:hAnsiTheme="minorEastAsia" w:eastAsiaTheme="minorEastAsia" w:cstheme="minorEastAsia"/>
          <w:b/>
          <w:bCs/>
          <w:color w:val="000000"/>
          <w:sz w:val="28"/>
          <w:szCs w:val="28"/>
          <w:lang w:val="en-US" w:eastAsia="zh-CN"/>
        </w:rPr>
        <w:t>二</w:t>
      </w:r>
      <w:r>
        <w:rPr>
          <w:rFonts w:hint="eastAsia" w:asciiTheme="minorEastAsia" w:hAnsiTheme="minorEastAsia" w:eastAsiaTheme="minorEastAsia" w:cstheme="minorEastAsia"/>
          <w:b/>
          <w:bCs/>
          <w:color w:val="000000"/>
          <w:sz w:val="28"/>
          <w:szCs w:val="28"/>
          <w:lang w:eastAsia="zh-CN"/>
        </w:rPr>
        <w:t>）</w:t>
      </w:r>
      <w:r>
        <w:rPr>
          <w:rFonts w:hint="eastAsia" w:asciiTheme="minorEastAsia" w:hAnsiTheme="minorEastAsia" w:eastAsiaTheme="minorEastAsia" w:cstheme="minorEastAsia"/>
          <w:b/>
          <w:bCs/>
          <w:color w:val="000000"/>
          <w:sz w:val="28"/>
          <w:szCs w:val="28"/>
        </w:rPr>
        <w:t>详解区县级政府项目投融资模式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rPr>
        <w:t>）最新政策解析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rPr>
        <w:t>）县城补短板强弱项的相关政策与发展趋势</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rPr>
        <w:t>）区县级政府的投融资整体境况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rPr>
        <w:t>）区县级融资平台的定位与展望</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w:t>
      </w:r>
      <w:r>
        <w:rPr>
          <w:rFonts w:hint="eastAsia" w:asciiTheme="minorEastAsia" w:hAnsiTheme="minorEastAsia" w:eastAsiaTheme="minorEastAsia" w:cstheme="minorEastAsia"/>
          <w:b/>
          <w:bCs/>
          <w:color w:val="000000"/>
          <w:sz w:val="28"/>
          <w:szCs w:val="28"/>
          <w:lang w:eastAsia="zh-CN"/>
        </w:rPr>
        <w:t>三</w:t>
      </w:r>
      <w:r>
        <w:rPr>
          <w:rFonts w:hint="eastAsia" w:asciiTheme="minorEastAsia" w:hAnsiTheme="minorEastAsia" w:eastAsiaTheme="minorEastAsia" w:cstheme="minorEastAsia"/>
          <w:b/>
          <w:bCs/>
          <w:color w:val="000000"/>
          <w:sz w:val="28"/>
          <w:szCs w:val="28"/>
        </w:rPr>
        <w:t>）财政投融资模式详解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1.地方政府债券</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2.PPP模式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 ABO模式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4.特许经营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w:t>
      </w:r>
      <w:r>
        <w:rPr>
          <w:rFonts w:hint="eastAsia" w:asciiTheme="minorEastAsia" w:hAnsiTheme="minorEastAsia" w:eastAsiaTheme="minorEastAsia" w:cstheme="minorEastAsia"/>
          <w:b/>
          <w:bCs/>
          <w:color w:val="000000"/>
          <w:sz w:val="28"/>
          <w:szCs w:val="28"/>
          <w:lang w:eastAsia="zh-CN"/>
        </w:rPr>
        <w:t>四</w:t>
      </w:r>
      <w:r>
        <w:rPr>
          <w:rFonts w:hint="eastAsia" w:asciiTheme="minorEastAsia" w:hAnsiTheme="minorEastAsia" w:eastAsiaTheme="minorEastAsia" w:cstheme="minorEastAsia"/>
          <w:b/>
          <w:bCs/>
          <w:color w:val="000000"/>
          <w:sz w:val="28"/>
          <w:szCs w:val="28"/>
        </w:rPr>
        <w:t>）平台公司投融资模式详解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1.企业债与公司债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2.银行信贷业务创新模式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3.融资租赁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4.定向债务融资工具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5.供应链融资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6.标准化票据融资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7.平台公司如何从资金循环打造成资本循环和资源循环的投融资模式</w:t>
      </w:r>
    </w:p>
    <w:p>
      <w:pPr>
        <w:keepNext w:val="0"/>
        <w:keepLines w:val="0"/>
        <w:pageBreakBefore w:val="0"/>
        <w:kinsoku/>
        <w:wordWrap/>
        <w:overflowPunct/>
        <w:topLinePunct w:val="0"/>
        <w:autoSpaceDE/>
        <w:autoSpaceDN/>
        <w:bidi w:val="0"/>
        <w:adjustRightInd/>
        <w:snapToGrid/>
        <w:spacing w:line="440" w:lineRule="exact"/>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w:t>
      </w:r>
      <w:r>
        <w:rPr>
          <w:rFonts w:hint="eastAsia" w:asciiTheme="minorEastAsia" w:hAnsiTheme="minorEastAsia" w:cstheme="minorEastAsia"/>
          <w:b/>
          <w:bCs/>
          <w:sz w:val="28"/>
          <w:szCs w:val="28"/>
          <w:lang w:eastAsia="zh-CN"/>
        </w:rPr>
        <w:t>五</w:t>
      </w:r>
      <w:r>
        <w:rPr>
          <w:rFonts w:hint="eastAsia" w:asciiTheme="minorEastAsia" w:hAnsiTheme="minorEastAsia" w:eastAsiaTheme="minorEastAsia" w:cstheme="minorEastAsia"/>
          <w:b/>
          <w:bCs/>
          <w:sz w:val="28"/>
          <w:szCs w:val="28"/>
        </w:rPr>
        <w:t>）转型平台公司及央企国企市场化承接政府公益性项目</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1．平台公司参与公益性项目的政策性支持</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2．国有企业参与公益性项目的合规性流程</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3．企业投资项目的核准与备案</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4．平台公司及央企国企市场化参与公益性项目的模式介绍（ABO、自求平衡、资源补偿、融资代建、财政补贴建设项目融资模式等模式）</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5．市场化承接政府公益性项目过程中如何将政府的违规增信转化为合规的现金流</w:t>
      </w:r>
    </w:p>
    <w:p>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baseline"/>
        <w:rPr>
          <w:rFonts w:hint="eastAsia" w:asciiTheme="minorEastAsia" w:hAnsiTheme="minorEastAsia" w:eastAsiaTheme="minorEastAsia" w:cstheme="minorEastAsia"/>
          <w:spacing w:val="8"/>
          <w:kern w:val="0"/>
          <w:sz w:val="28"/>
          <w:szCs w:val="28"/>
        </w:rPr>
      </w:pPr>
      <w:r>
        <w:rPr>
          <w:rFonts w:hint="eastAsia" w:asciiTheme="minorEastAsia" w:hAnsiTheme="minorEastAsia" w:eastAsiaTheme="minorEastAsia" w:cstheme="minorEastAsia"/>
          <w:spacing w:val="8"/>
          <w:kern w:val="0"/>
          <w:sz w:val="28"/>
          <w:szCs w:val="28"/>
        </w:rPr>
        <w:t>6．如何盘活存量资产，非经营性项目（死资产）如何设计现金流（盘活）</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8"/>
          <w:kern w:val="0"/>
          <w:sz w:val="28"/>
          <w:szCs w:val="28"/>
        </w:rPr>
        <w:t>7．基础设施REITs试点政策解读及带来的业务机会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000000" w:themeColor="text1"/>
          <w:spacing w:val="16"/>
          <w:sz w:val="28"/>
          <w:szCs w:val="28"/>
          <w:lang w:eastAsia="zh-CN"/>
          <w14:textFill>
            <w14:solidFill>
              <w14:schemeClr w14:val="tx1"/>
            </w14:solidFill>
          </w14:textFill>
        </w:rPr>
        <w:t>（六）</w:t>
      </w:r>
      <w:r>
        <w:rPr>
          <w:rFonts w:hint="eastAsia" w:asciiTheme="minorEastAsia" w:hAnsiTheme="minorEastAsia" w:eastAsiaTheme="minorEastAsia" w:cstheme="minorEastAsia"/>
          <w:b/>
          <w:bCs/>
          <w:color w:val="000000" w:themeColor="text1"/>
          <w:spacing w:val="16"/>
          <w:sz w:val="28"/>
          <w:szCs w:val="28"/>
          <w14:textFill>
            <w14:solidFill>
              <w14:schemeClr w14:val="tx1"/>
            </w14:solidFill>
          </w14:textFill>
        </w:rPr>
        <w:t>区县级平台公司债券工作操作指南</w:t>
      </w:r>
      <w:r>
        <w:rPr>
          <w:rFonts w:hint="eastAsia" w:asciiTheme="minorEastAsia" w:hAnsiTheme="minorEastAsia" w:eastAsiaTheme="minorEastAsia" w:cstheme="minorEastAsia"/>
          <w:b/>
          <w:color w:val="000000" w:themeColor="text1"/>
          <w:sz w:val="28"/>
          <w:szCs w:val="28"/>
          <w14:textFill>
            <w14:solidFill>
              <w14:schemeClr w14:val="tx1"/>
            </w14:solidFill>
          </w14:textFill>
        </w:rPr>
        <w:br w:type="textWrapping"/>
      </w: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rPr>
        <w:t>区县级平台发债要求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融资平台的重组与改革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相关财务指标与资产规模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政府配套支持与评级安排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rPr>
        <w:t>详解债券种类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公司债与企业债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专项企业债券的种类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债贷组合应用的可行性分析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4</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存量项目发行债券</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rPr>
        <w:t>增信与发行成本</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发债成本构成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债务成本利率展望</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增信方式与募集规模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4.</w:t>
      </w:r>
      <w:r>
        <w:rPr>
          <w:rFonts w:hint="eastAsia" w:asciiTheme="minorEastAsia" w:hAnsiTheme="minorEastAsia" w:eastAsiaTheme="minorEastAsia" w:cstheme="minorEastAsia"/>
          <w:color w:val="000000"/>
          <w:sz w:val="28"/>
          <w:szCs w:val="28"/>
        </w:rPr>
        <w:t>县级发行工作展望</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政策环境支持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信贷与货币市场展望</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“非标转标”的大趋势</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b/>
          <w:sz w:val="28"/>
          <w:szCs w:val="28"/>
        </w:rPr>
      </w:pPr>
      <w:r>
        <w:rPr>
          <w:rFonts w:hint="eastAsia" w:asciiTheme="minorEastAsia" w:hAnsiTheme="minorEastAsia" w:cstheme="minorEastAsia"/>
          <w:b/>
          <w:sz w:val="28"/>
          <w:szCs w:val="28"/>
          <w:lang w:eastAsia="zh-CN"/>
        </w:rPr>
        <w:t>（七）</w:t>
      </w:r>
      <w:r>
        <w:rPr>
          <w:rFonts w:hint="eastAsia" w:asciiTheme="minorEastAsia" w:hAnsiTheme="minorEastAsia" w:eastAsiaTheme="minorEastAsia" w:cstheme="minorEastAsia"/>
          <w:b/>
          <w:sz w:val="28"/>
          <w:szCs w:val="28"/>
        </w:rPr>
        <w:t>地方政府专项债券</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专项债发行现状</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color w:val="000000"/>
          <w:spacing w:val="16"/>
          <w:kern w:val="0"/>
          <w:sz w:val="28"/>
          <w:szCs w:val="28"/>
        </w:rPr>
        <w:t>2021年债券发行的筹备与展望</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地方政府专项债券的类型及应用要点</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新增专项债券（普通专项债、项目收益专项债）</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再融资专项债券</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普通专项债券与项目收益专项债券的区别</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重大项目专项债券（国常会及财政部最新部署安排）</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专项债券的要素实务</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构成专项债券内容的八大要素</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各要素的实操应用要点及注意事项</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专项债券与其他模式的组合应用及操作要点</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专项债券+项目资本金的进入及退出操作要点分析</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专项债券+银行贷款实务应用中的注意事项</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专项债券+PPP模式结合的要点分析</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color w:val="000000" w:themeColor="text1"/>
          <w:spacing w:val="16"/>
          <w:kern w:val="0"/>
          <w:sz w:val="28"/>
          <w:szCs w:val="28"/>
          <w14:textFill>
            <w14:solidFill>
              <w14:schemeClr w14:val="tx1"/>
            </w14:solidFill>
          </w14:textFill>
        </w:rPr>
        <w:t>专项债与片区开发的结合应用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3"/>
        <w:jc w:val="both"/>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区县级包装项目要点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3"/>
        <w:jc w:val="both"/>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重点靠向“两新一重”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3"/>
        <w:jc w:val="both"/>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老旧小区与城市更新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3"/>
        <w:jc w:val="both"/>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县域经济与产业发展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3"/>
        <w:jc w:val="both"/>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本与期限的安排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3"/>
        <w:jc w:val="both"/>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更改资金用途指南</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szCs w:val="28"/>
          <w14:textFill>
            <w14:solidFill>
              <w14:schemeClr w14:val="tx1"/>
            </w14:solidFill>
          </w14:textFill>
        </w:rPr>
        <w:t>专项债相关案例分析</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b/>
          <w:sz w:val="28"/>
          <w:szCs w:val="28"/>
        </w:rPr>
      </w:pPr>
      <w:r>
        <w:rPr>
          <w:rFonts w:hint="eastAsia" w:asciiTheme="minorEastAsia" w:hAnsiTheme="minorEastAsia" w:cstheme="minorEastAsia"/>
          <w:b/>
          <w:sz w:val="28"/>
          <w:szCs w:val="28"/>
          <w:lang w:eastAsia="zh-CN"/>
        </w:rPr>
        <w:t>（八）</w:t>
      </w:r>
      <w:r>
        <w:rPr>
          <w:rFonts w:hint="eastAsia" w:asciiTheme="minorEastAsia" w:hAnsiTheme="minorEastAsia" w:eastAsiaTheme="minorEastAsia" w:cstheme="minorEastAsia"/>
          <w:b/>
          <w:sz w:val="28"/>
          <w:szCs w:val="28"/>
        </w:rPr>
        <w:t>产业新城及片区综合开发项目投融资模式解析</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采用开发型PPP模式</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开发型PPP模式的操作要点及案例分享</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资源补偿的合规性</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资源补偿的土地招拍挂问题</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投融资问题</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非PPP模式下平台公司及社会资本的参与模式</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bCs/>
          <w:sz w:val="28"/>
          <w:szCs w:val="28"/>
        </w:rPr>
        <w:t>国发〔2019〕11号文后，</w:t>
      </w:r>
      <w:r>
        <w:rPr>
          <w:rFonts w:hint="eastAsia" w:asciiTheme="minorEastAsia" w:hAnsiTheme="minorEastAsia" w:eastAsiaTheme="minorEastAsia" w:cstheme="minorEastAsia"/>
          <w:sz w:val="28"/>
          <w:szCs w:val="28"/>
        </w:rPr>
        <w:t>管委会+平台+上市模式的操作要点及案例分享</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如何以企业投资模式市场化运作片区开发项目</w:t>
      </w:r>
      <w:r>
        <w:rPr>
          <w:rFonts w:hint="eastAsia" w:asciiTheme="minorEastAsia" w:hAnsiTheme="minorEastAsia" w:eastAsiaTheme="minorEastAsia" w:cstheme="minorEastAsia"/>
          <w:bCs/>
          <w:sz w:val="28"/>
          <w:szCs w:val="28"/>
        </w:rPr>
        <w:t>（未来项目的实施，高度依赖项目自身的盈利能力和社会资本的资金筹集能力）</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土地的问题</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房地产开发的资金平衡问题</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运用产业基金</w:t>
      </w:r>
    </w:p>
    <w:p>
      <w:pPr>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如何实现产业资源的整合</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Theme="minorEastAsia" w:hAnsiTheme="minorEastAsia" w:eastAsiaTheme="minorEastAsia" w:cstheme="minorEastAsia"/>
          <w:color w:val="000000"/>
          <w:spacing w:val="16"/>
          <w:kern w:val="0"/>
          <w:sz w:val="28"/>
          <w:szCs w:val="28"/>
        </w:rPr>
      </w:pPr>
      <w:r>
        <w:rPr>
          <w:rFonts w:hint="eastAsia" w:asciiTheme="minorEastAsia" w:hAnsiTheme="minorEastAsia" w:cstheme="minorEastAsia"/>
          <w:b/>
          <w:bCs/>
          <w:color w:val="000000" w:themeColor="text1"/>
          <w:spacing w:val="16"/>
          <w:kern w:val="0"/>
          <w:sz w:val="28"/>
          <w:szCs w:val="28"/>
          <w:lang w:eastAsia="zh-CN"/>
          <w14:textFill>
            <w14:solidFill>
              <w14:schemeClr w14:val="tx1"/>
            </w14:solidFill>
          </w14:textFill>
        </w:rPr>
        <w:t>（九）</w:t>
      </w:r>
      <w:r>
        <w:rPr>
          <w:rFonts w:hint="eastAsia" w:asciiTheme="minorEastAsia" w:hAnsiTheme="minorEastAsia" w:eastAsiaTheme="minorEastAsia" w:cstheme="minorEastAsia"/>
          <w:b/>
          <w:bCs/>
          <w:color w:val="000000" w:themeColor="text1"/>
          <w:spacing w:val="16"/>
          <w:kern w:val="0"/>
          <w:sz w:val="28"/>
          <w:szCs w:val="28"/>
          <w14:textFill>
            <w14:solidFill>
              <w14:schemeClr w14:val="tx1"/>
            </w14:solidFill>
          </w14:textFill>
        </w:rPr>
        <w:t>县区项目投融资模式策划与包装</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br w:type="textWrapping"/>
      </w:r>
      <w:r>
        <w:rPr>
          <w:rFonts w:hint="eastAsia" w:asciiTheme="minorEastAsia" w:hAnsiTheme="minorEastAsia" w:eastAsiaTheme="minorEastAsia" w:cstheme="minorEastAsia"/>
          <w:color w:val="000000"/>
          <w:spacing w:val="16"/>
          <w:kern w:val="0"/>
          <w:sz w:val="28"/>
          <w:szCs w:val="28"/>
        </w:rPr>
        <w:t>1.如何实现项目合规有效的现金流</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color w:val="000000"/>
          <w:spacing w:val="16"/>
          <w:kern w:val="0"/>
          <w:sz w:val="28"/>
          <w:szCs w:val="28"/>
        </w:rPr>
        <w:t>2.区县级项目的谋划要点</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Theme="minorEastAsia" w:hAnsiTheme="minorEastAsia" w:eastAsiaTheme="minorEastAsia" w:cstheme="minorEastAsia"/>
          <w:color w:val="000000"/>
          <w:spacing w:val="16"/>
          <w:kern w:val="0"/>
          <w:sz w:val="28"/>
          <w:szCs w:val="28"/>
        </w:rPr>
      </w:pPr>
      <w:r>
        <w:rPr>
          <w:rFonts w:hint="eastAsia" w:asciiTheme="minorEastAsia" w:hAnsiTheme="minorEastAsia" w:eastAsiaTheme="minorEastAsia" w:cstheme="minorEastAsia"/>
          <w:color w:val="000000"/>
          <w:spacing w:val="16"/>
          <w:kern w:val="0"/>
          <w:sz w:val="28"/>
          <w:szCs w:val="28"/>
        </w:rPr>
        <w:t>3.项目谋划的合规与风险要点</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Theme="minorEastAsia" w:hAnsiTheme="minorEastAsia" w:eastAsiaTheme="minorEastAsia" w:cstheme="minorEastAsia"/>
          <w:color w:val="000000"/>
          <w:spacing w:val="16"/>
          <w:kern w:val="0"/>
          <w:sz w:val="28"/>
          <w:szCs w:val="28"/>
        </w:rPr>
      </w:pPr>
      <w:r>
        <w:rPr>
          <w:rFonts w:hint="eastAsia" w:asciiTheme="minorEastAsia" w:hAnsiTheme="minorEastAsia" w:eastAsiaTheme="minorEastAsia" w:cstheme="minorEastAsia"/>
          <w:color w:val="000000"/>
          <w:spacing w:val="16"/>
          <w:kern w:val="0"/>
          <w:sz w:val="28"/>
          <w:szCs w:val="28"/>
        </w:rPr>
        <w:t>4.策划新型城镇化项目的重点领域及方向</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Theme="minorEastAsia" w:hAnsiTheme="minorEastAsia" w:eastAsiaTheme="minorEastAsia" w:cstheme="minorEastAsia"/>
          <w:color w:val="000000"/>
          <w:spacing w:val="16"/>
          <w:kern w:val="0"/>
          <w:sz w:val="28"/>
          <w:szCs w:val="28"/>
        </w:rPr>
      </w:pPr>
      <w:r>
        <w:rPr>
          <w:rFonts w:hint="eastAsia" w:asciiTheme="minorEastAsia" w:hAnsiTheme="minorEastAsia" w:eastAsiaTheme="minorEastAsia" w:cstheme="minorEastAsia"/>
          <w:color w:val="000000"/>
          <w:spacing w:val="16"/>
          <w:kern w:val="0"/>
          <w:sz w:val="28"/>
          <w:szCs w:val="28"/>
        </w:rPr>
        <w:t>5.如何谋划“两新一重”项目</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Theme="minorEastAsia" w:hAnsiTheme="minorEastAsia" w:eastAsiaTheme="minorEastAsia" w:cstheme="minorEastAsia"/>
          <w:color w:val="000000"/>
          <w:spacing w:val="16"/>
          <w:kern w:val="0"/>
          <w:sz w:val="28"/>
          <w:szCs w:val="28"/>
        </w:rPr>
      </w:pPr>
      <w:r>
        <w:rPr>
          <w:rFonts w:hint="eastAsia" w:asciiTheme="minorEastAsia" w:hAnsiTheme="minorEastAsia" w:eastAsiaTheme="minorEastAsia" w:cstheme="minorEastAsia"/>
          <w:color w:val="000000"/>
          <w:spacing w:val="16"/>
          <w:kern w:val="0"/>
          <w:sz w:val="28"/>
          <w:szCs w:val="28"/>
        </w:rPr>
        <w:t>6.投资与运营的分离模式</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Theme="minorEastAsia" w:hAnsiTheme="minorEastAsia" w:eastAsiaTheme="minorEastAsia" w:cstheme="minorEastAsia"/>
          <w:color w:val="000000"/>
          <w:spacing w:val="16"/>
          <w:kern w:val="0"/>
          <w:sz w:val="28"/>
          <w:szCs w:val="28"/>
        </w:rPr>
      </w:pPr>
      <w:r>
        <w:rPr>
          <w:rFonts w:hint="eastAsia" w:asciiTheme="minorEastAsia" w:hAnsiTheme="minorEastAsia" w:eastAsiaTheme="minorEastAsia" w:cstheme="minorEastAsia"/>
          <w:color w:val="000000"/>
          <w:spacing w:val="16"/>
          <w:kern w:val="0"/>
          <w:sz w:val="28"/>
          <w:szCs w:val="28"/>
        </w:rPr>
        <w:t>7.基建投资与产业招商组合应用</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Theme="minorEastAsia" w:hAnsiTheme="minorEastAsia" w:eastAsiaTheme="minorEastAsia" w:cstheme="minorEastAsia"/>
          <w:color w:val="000000"/>
          <w:spacing w:val="16"/>
          <w:kern w:val="0"/>
          <w:sz w:val="28"/>
          <w:szCs w:val="28"/>
        </w:rPr>
      </w:pPr>
      <w:r>
        <w:rPr>
          <w:rFonts w:hint="eastAsia" w:asciiTheme="minorEastAsia" w:hAnsiTheme="minorEastAsia" w:eastAsiaTheme="minorEastAsia" w:cstheme="minorEastAsia"/>
          <w:color w:val="000000"/>
          <w:spacing w:val="16"/>
          <w:kern w:val="0"/>
          <w:sz w:val="28"/>
          <w:szCs w:val="28"/>
        </w:rPr>
        <w:t>8.搭建财政与融资平台合规的资金循环</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Theme="minorEastAsia" w:hAnsiTheme="minorEastAsia" w:eastAsiaTheme="minorEastAsia" w:cstheme="minorEastAsia"/>
          <w:color w:val="000000"/>
          <w:spacing w:val="16"/>
          <w:kern w:val="0"/>
          <w:sz w:val="28"/>
          <w:szCs w:val="28"/>
        </w:rPr>
      </w:pPr>
      <w:r>
        <w:rPr>
          <w:rFonts w:hint="eastAsia" w:asciiTheme="minorEastAsia" w:hAnsiTheme="minorEastAsia" w:eastAsiaTheme="minorEastAsia" w:cstheme="minorEastAsia"/>
          <w:color w:val="000000"/>
          <w:spacing w:val="16"/>
          <w:kern w:val="0"/>
          <w:sz w:val="28"/>
          <w:szCs w:val="28"/>
        </w:rPr>
        <w:t>9.投融资与土地财政的有效衔接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rPr>
          <w:rFonts w:hint="eastAsia" w:asciiTheme="minorEastAsia" w:hAnsiTheme="minorEastAsia" w:eastAsiaTheme="minorEastAsia" w:cstheme="minorEastAsia"/>
          <w:b/>
          <w:sz w:val="30"/>
          <w:szCs w:val="30"/>
        </w:rPr>
      </w:pPr>
      <w:r>
        <w:rPr>
          <w:rFonts w:hint="eastAsia" w:asciiTheme="minorEastAsia" w:hAnsiTheme="minorEastAsia" w:cstheme="minorEastAsia"/>
          <w:b/>
          <w:sz w:val="30"/>
          <w:szCs w:val="30"/>
          <w:lang w:eastAsia="zh-CN"/>
        </w:rPr>
        <w:t>二、授课师资</w:t>
      </w:r>
    </w:p>
    <w:p>
      <w:pPr>
        <w:keepNext w:val="0"/>
        <w:keepLines w:val="0"/>
        <w:pageBreakBefore w:val="0"/>
        <w:widowControl/>
        <w:kinsoku/>
        <w:wordWrap/>
        <w:overflowPunct/>
        <w:topLinePunct w:val="0"/>
        <w:autoSpaceDE/>
        <w:autoSpaceDN/>
        <w:bidi w:val="0"/>
        <w:adjustRightInd/>
        <w:snapToGrid/>
        <w:spacing w:line="440" w:lineRule="exact"/>
        <w:ind w:firstLine="624" w:firstLineChars="200"/>
        <w:jc w:val="left"/>
        <w:rPr>
          <w:rFonts w:hint="eastAsia" w:asciiTheme="minorEastAsia" w:hAnsiTheme="minorEastAsia" w:eastAsiaTheme="minorEastAsia" w:cstheme="minorEastAsia"/>
          <w:color w:val="000000"/>
          <w:spacing w:val="16"/>
          <w:kern w:val="0"/>
          <w:sz w:val="28"/>
          <w:szCs w:val="28"/>
          <w:lang w:val="en-US"/>
        </w:rPr>
      </w:pPr>
      <w:r>
        <w:rPr>
          <w:rFonts w:hint="eastAsia" w:asciiTheme="minorEastAsia" w:hAnsiTheme="minorEastAsia" w:eastAsiaTheme="minorEastAsia" w:cstheme="minorEastAsia"/>
          <w:color w:val="000000"/>
          <w:spacing w:val="16"/>
          <w:kern w:val="0"/>
          <w:sz w:val="28"/>
          <w:szCs w:val="28"/>
          <w:lang w:val="en-US"/>
        </w:rPr>
        <w:t>发改委、财政部双库专家，PPP实操负责人，证券公司，律师事务所，会计师事务、咨询公司等实操专家；以专题讲座、案例分析、在线答疑相结合的形式进行讲解。</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rPr>
          <w:rFonts w:hint="eastAsia" w:asciiTheme="minorEastAsia" w:hAnsiTheme="minorEastAsia" w:eastAsiaTheme="minorEastAsia" w:cstheme="minorEastAsia"/>
          <w:b/>
          <w:sz w:val="30"/>
          <w:szCs w:val="30"/>
        </w:rPr>
      </w:pPr>
      <w:r>
        <w:rPr>
          <w:rFonts w:hint="eastAsia" w:asciiTheme="minorEastAsia" w:hAnsiTheme="minorEastAsia" w:cstheme="minorEastAsia"/>
          <w:b/>
          <w:sz w:val="30"/>
          <w:szCs w:val="30"/>
          <w:lang w:eastAsia="zh-CN"/>
        </w:rPr>
        <w:t>三、</w:t>
      </w:r>
      <w:r>
        <w:rPr>
          <w:rFonts w:hint="eastAsia" w:asciiTheme="minorEastAsia" w:hAnsiTheme="minorEastAsia" w:eastAsiaTheme="minorEastAsia" w:cstheme="minorEastAsia"/>
          <w:b/>
          <w:sz w:val="30"/>
          <w:szCs w:val="30"/>
        </w:rPr>
        <w:t>时间地点</w:t>
      </w:r>
    </w:p>
    <w:p>
      <w:pPr>
        <w:pStyle w:val="3"/>
        <w:keepNext w:val="0"/>
        <w:keepLines w:val="0"/>
        <w:pageBreakBefore w:val="0"/>
        <w:widowControl w:val="0"/>
        <w:kinsoku/>
        <w:wordWrap/>
        <w:overflowPunct/>
        <w:topLinePunct w:val="0"/>
        <w:autoSpaceDE/>
        <w:autoSpaceDN/>
        <w:bidi w:val="0"/>
        <w:adjustRightInd/>
        <w:snapToGrid/>
        <w:spacing w:line="440" w:lineRule="exact"/>
        <w:ind w:left="0" w:right="0" w:firstLine="624" w:firstLineChars="200"/>
        <w:jc w:val="left"/>
        <w:textAlignment w:val="auto"/>
        <w:rPr>
          <w:rFonts w:hint="eastAsia" w:asciiTheme="minorEastAsia" w:hAnsiTheme="minorEastAsia" w:eastAsiaTheme="minorEastAsia" w:cstheme="minorEastAsia"/>
          <w:color w:val="000000"/>
          <w:spacing w:val="16"/>
          <w:kern w:val="0"/>
          <w:sz w:val="28"/>
          <w:szCs w:val="28"/>
          <w:lang w:val="en-US" w:eastAsia="zh-CN" w:bidi="ar-SA"/>
        </w:rPr>
      </w:pPr>
      <w:r>
        <w:rPr>
          <w:rFonts w:hint="eastAsia" w:asciiTheme="minorEastAsia" w:hAnsiTheme="minorEastAsia" w:eastAsiaTheme="minorEastAsia" w:cstheme="minorEastAsia"/>
          <w:color w:val="000000"/>
          <w:spacing w:val="16"/>
          <w:kern w:val="0"/>
          <w:sz w:val="28"/>
          <w:szCs w:val="28"/>
          <w:lang w:val="en-US" w:eastAsia="zh-CN" w:bidi="ar-SA"/>
        </w:rPr>
        <w:t>2020年10月22日—10月26日 西安市（22日全天报到）</w:t>
      </w:r>
    </w:p>
    <w:p>
      <w:pPr>
        <w:pStyle w:val="3"/>
        <w:keepNext w:val="0"/>
        <w:keepLines w:val="0"/>
        <w:pageBreakBefore w:val="0"/>
        <w:widowControl w:val="0"/>
        <w:kinsoku/>
        <w:wordWrap/>
        <w:overflowPunct/>
        <w:topLinePunct w:val="0"/>
        <w:autoSpaceDE/>
        <w:autoSpaceDN/>
        <w:bidi w:val="0"/>
        <w:adjustRightInd/>
        <w:snapToGrid/>
        <w:spacing w:line="440" w:lineRule="exact"/>
        <w:ind w:left="0" w:right="0" w:firstLine="624" w:firstLineChars="200"/>
        <w:jc w:val="left"/>
        <w:textAlignment w:val="auto"/>
        <w:rPr>
          <w:rFonts w:hint="eastAsia" w:asciiTheme="minorEastAsia" w:hAnsiTheme="minorEastAsia" w:eastAsiaTheme="minorEastAsia" w:cstheme="minorEastAsia"/>
          <w:color w:val="000000"/>
          <w:spacing w:val="16"/>
          <w:kern w:val="0"/>
          <w:sz w:val="28"/>
          <w:szCs w:val="28"/>
          <w:lang w:val="en-US" w:eastAsia="zh-CN" w:bidi="ar-SA"/>
        </w:rPr>
      </w:pPr>
      <w:r>
        <w:rPr>
          <w:rFonts w:hint="eastAsia" w:asciiTheme="minorEastAsia" w:hAnsiTheme="minorEastAsia" w:eastAsiaTheme="minorEastAsia" w:cstheme="minorEastAsia"/>
          <w:color w:val="000000"/>
          <w:spacing w:val="16"/>
          <w:kern w:val="0"/>
          <w:sz w:val="28"/>
          <w:szCs w:val="28"/>
          <w:lang w:val="en-US" w:eastAsia="zh-CN" w:bidi="ar-SA"/>
        </w:rPr>
        <w:t>2020年11月18日—11月22日 成都市（18日全天报到）</w:t>
      </w:r>
    </w:p>
    <w:p>
      <w:pPr>
        <w:pStyle w:val="3"/>
        <w:keepNext w:val="0"/>
        <w:keepLines w:val="0"/>
        <w:pageBreakBefore w:val="0"/>
        <w:widowControl w:val="0"/>
        <w:kinsoku/>
        <w:wordWrap/>
        <w:overflowPunct/>
        <w:topLinePunct w:val="0"/>
        <w:autoSpaceDE/>
        <w:autoSpaceDN/>
        <w:bidi w:val="0"/>
        <w:adjustRightInd/>
        <w:snapToGrid/>
        <w:spacing w:line="440" w:lineRule="exact"/>
        <w:ind w:left="0" w:right="0" w:firstLine="624" w:firstLineChars="200"/>
        <w:jc w:val="left"/>
        <w:textAlignment w:val="auto"/>
        <w:rPr>
          <w:rFonts w:hint="eastAsia" w:asciiTheme="minorEastAsia" w:hAnsiTheme="minorEastAsia" w:eastAsiaTheme="minorEastAsia" w:cstheme="minorEastAsia"/>
          <w:color w:val="000000"/>
          <w:spacing w:val="16"/>
          <w:kern w:val="0"/>
          <w:sz w:val="28"/>
          <w:szCs w:val="28"/>
          <w:lang w:val="en-US" w:eastAsia="zh-CN" w:bidi="ar-SA"/>
        </w:rPr>
      </w:pPr>
      <w:r>
        <w:rPr>
          <w:rFonts w:hint="eastAsia" w:asciiTheme="minorEastAsia" w:hAnsiTheme="minorEastAsia" w:eastAsiaTheme="minorEastAsia" w:cstheme="minorEastAsia"/>
          <w:color w:val="000000"/>
          <w:spacing w:val="16"/>
          <w:kern w:val="0"/>
          <w:sz w:val="28"/>
          <w:szCs w:val="28"/>
          <w:lang w:val="en-US" w:eastAsia="zh-CN" w:bidi="ar-SA"/>
        </w:rPr>
        <w:t>2020年12月16日-</w:t>
      </w:r>
      <w:r>
        <w:rPr>
          <w:rFonts w:hint="eastAsia" w:asciiTheme="minorEastAsia" w:hAnsiTheme="minorEastAsia" w:cstheme="minorEastAsia"/>
          <w:color w:val="000000"/>
          <w:spacing w:val="16"/>
          <w:kern w:val="0"/>
          <w:sz w:val="28"/>
          <w:szCs w:val="28"/>
          <w:lang w:val="en-US" w:eastAsia="zh-CN" w:bidi="ar-SA"/>
        </w:rPr>
        <w:t>-</w:t>
      </w:r>
      <w:r>
        <w:rPr>
          <w:rFonts w:hint="eastAsia" w:asciiTheme="minorEastAsia" w:hAnsiTheme="minorEastAsia" w:eastAsiaTheme="minorEastAsia" w:cstheme="minorEastAsia"/>
          <w:color w:val="000000"/>
          <w:spacing w:val="16"/>
          <w:kern w:val="0"/>
          <w:sz w:val="28"/>
          <w:szCs w:val="28"/>
          <w:lang w:val="en-US" w:eastAsia="zh-CN" w:bidi="ar-SA"/>
        </w:rPr>
        <w:t>12月20日 南京市（16日全天报到）</w:t>
      </w:r>
    </w:p>
    <w:p>
      <w:pPr>
        <w:pStyle w:val="3"/>
        <w:keepNext w:val="0"/>
        <w:keepLines w:val="0"/>
        <w:pageBreakBefore w:val="0"/>
        <w:widowControl w:val="0"/>
        <w:kinsoku/>
        <w:wordWrap/>
        <w:overflowPunct/>
        <w:topLinePunct w:val="0"/>
        <w:autoSpaceDE/>
        <w:autoSpaceDN/>
        <w:bidi w:val="0"/>
        <w:adjustRightInd/>
        <w:snapToGrid/>
        <w:spacing w:line="440" w:lineRule="exact"/>
        <w:ind w:left="0" w:right="0" w:firstLine="624" w:firstLineChars="200"/>
        <w:jc w:val="left"/>
        <w:textAlignment w:val="auto"/>
        <w:rPr>
          <w:rFonts w:hint="eastAsia" w:asciiTheme="minorEastAsia" w:hAnsiTheme="minorEastAsia" w:eastAsiaTheme="minorEastAsia" w:cstheme="minorEastAsia"/>
          <w:color w:val="000000"/>
          <w:spacing w:val="16"/>
          <w:kern w:val="0"/>
          <w:sz w:val="28"/>
          <w:szCs w:val="28"/>
          <w:lang w:val="en-US" w:eastAsia="zh-CN" w:bidi="ar-SA"/>
        </w:rPr>
      </w:pPr>
      <w:r>
        <w:rPr>
          <w:rFonts w:hint="eastAsia" w:asciiTheme="minorEastAsia" w:hAnsiTheme="minorEastAsia" w:eastAsiaTheme="minorEastAsia" w:cstheme="minorEastAsia"/>
          <w:color w:val="000000"/>
          <w:spacing w:val="16"/>
          <w:kern w:val="0"/>
          <w:sz w:val="28"/>
          <w:szCs w:val="28"/>
          <w:lang w:val="en-US" w:eastAsia="zh-CN" w:bidi="ar-SA"/>
        </w:rPr>
        <w:t>2020年12月23日</w:t>
      </w:r>
      <w:r>
        <w:rPr>
          <w:rFonts w:hint="eastAsia" w:asciiTheme="minorEastAsia" w:hAnsiTheme="minorEastAsia" w:cstheme="minorEastAsia"/>
          <w:color w:val="000000"/>
          <w:spacing w:val="16"/>
          <w:kern w:val="0"/>
          <w:sz w:val="28"/>
          <w:szCs w:val="28"/>
          <w:lang w:val="en-US" w:eastAsia="zh-CN" w:bidi="ar-SA"/>
        </w:rPr>
        <w:t>-</w:t>
      </w:r>
      <w:r>
        <w:rPr>
          <w:rFonts w:hint="eastAsia" w:asciiTheme="minorEastAsia" w:hAnsiTheme="minorEastAsia" w:eastAsiaTheme="minorEastAsia" w:cstheme="minorEastAsia"/>
          <w:color w:val="000000"/>
          <w:spacing w:val="16"/>
          <w:kern w:val="0"/>
          <w:sz w:val="28"/>
          <w:szCs w:val="28"/>
          <w:lang w:val="en-US" w:eastAsia="zh-CN" w:bidi="ar-SA"/>
        </w:rPr>
        <w:t>-12月27日 长沙市（23日全天报到）</w:t>
      </w:r>
    </w:p>
    <w:p>
      <w:pPr>
        <w:pStyle w:val="3"/>
        <w:keepNext w:val="0"/>
        <w:keepLines w:val="0"/>
        <w:pageBreakBefore w:val="0"/>
        <w:widowControl w:val="0"/>
        <w:kinsoku/>
        <w:wordWrap/>
        <w:overflowPunct/>
        <w:topLinePunct w:val="0"/>
        <w:autoSpaceDE/>
        <w:autoSpaceDN/>
        <w:bidi w:val="0"/>
        <w:adjustRightInd/>
        <w:snapToGrid/>
        <w:spacing w:line="440" w:lineRule="exact"/>
        <w:ind w:left="0" w:right="0" w:firstLine="624" w:firstLineChars="200"/>
        <w:jc w:val="left"/>
        <w:textAlignment w:val="auto"/>
        <w:rPr>
          <w:rFonts w:hint="eastAsia" w:asciiTheme="minorEastAsia" w:hAnsiTheme="minorEastAsia" w:eastAsiaTheme="minorEastAsia" w:cstheme="minorEastAsia"/>
          <w:color w:val="000000"/>
          <w:spacing w:val="16"/>
          <w:kern w:val="0"/>
          <w:sz w:val="28"/>
          <w:szCs w:val="28"/>
          <w:lang w:val="en-US" w:eastAsia="zh-CN" w:bidi="ar-SA"/>
        </w:rPr>
      </w:pPr>
      <w:r>
        <w:rPr>
          <w:rFonts w:hint="eastAsia" w:asciiTheme="minorEastAsia" w:hAnsiTheme="minorEastAsia" w:eastAsiaTheme="minorEastAsia" w:cstheme="minorEastAsia"/>
          <w:color w:val="000000"/>
          <w:spacing w:val="16"/>
          <w:kern w:val="0"/>
          <w:sz w:val="28"/>
          <w:szCs w:val="28"/>
          <w:lang w:val="en-US" w:eastAsia="zh-CN" w:bidi="ar-SA"/>
        </w:rPr>
        <w:t>2021年01月14日</w:t>
      </w:r>
      <w:r>
        <w:rPr>
          <w:rFonts w:hint="eastAsia" w:asciiTheme="minorEastAsia" w:hAnsiTheme="minorEastAsia" w:cstheme="minorEastAsia"/>
          <w:color w:val="000000"/>
          <w:spacing w:val="16"/>
          <w:kern w:val="0"/>
          <w:sz w:val="28"/>
          <w:szCs w:val="28"/>
          <w:lang w:val="en-US" w:eastAsia="zh-CN" w:bidi="ar-SA"/>
        </w:rPr>
        <w:t>-</w:t>
      </w:r>
      <w:r>
        <w:rPr>
          <w:rFonts w:hint="eastAsia" w:asciiTheme="minorEastAsia" w:hAnsiTheme="minorEastAsia" w:eastAsiaTheme="minorEastAsia" w:cstheme="minorEastAsia"/>
          <w:color w:val="000000"/>
          <w:spacing w:val="16"/>
          <w:kern w:val="0"/>
          <w:sz w:val="28"/>
          <w:szCs w:val="28"/>
          <w:lang w:val="en-US" w:eastAsia="zh-CN" w:bidi="ar-SA"/>
        </w:rPr>
        <w:t>-01月19日 海口市（14日全天报到）</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rPr>
          <w:rFonts w:hint="eastAsia" w:asciiTheme="minorEastAsia" w:hAnsiTheme="minorEastAsia" w:cstheme="minorEastAsia"/>
          <w:b/>
          <w:bCs w:val="0"/>
          <w:sz w:val="30"/>
          <w:szCs w:val="30"/>
          <w:lang w:eastAsia="zh-CN"/>
        </w:rPr>
      </w:pPr>
      <w:r>
        <w:rPr>
          <w:rFonts w:hint="eastAsia" w:asciiTheme="minorEastAsia" w:hAnsiTheme="minorEastAsia" w:cstheme="minorEastAsia"/>
          <w:b/>
          <w:bCs w:val="0"/>
          <w:sz w:val="30"/>
          <w:szCs w:val="30"/>
          <w:lang w:eastAsia="zh-CN"/>
        </w:rPr>
        <w:t>四、培训对象</w:t>
      </w:r>
    </w:p>
    <w:p>
      <w:pPr>
        <w:pStyle w:val="3"/>
        <w:keepNext w:val="0"/>
        <w:keepLines w:val="0"/>
        <w:pageBreakBefore w:val="0"/>
        <w:widowControl w:val="0"/>
        <w:kinsoku/>
        <w:wordWrap/>
        <w:overflowPunct/>
        <w:topLinePunct w:val="0"/>
        <w:autoSpaceDE/>
        <w:autoSpaceDN/>
        <w:bidi w:val="0"/>
        <w:adjustRightInd/>
        <w:snapToGrid/>
        <w:spacing w:line="440" w:lineRule="exact"/>
        <w:ind w:left="0" w:right="0" w:firstLine="624" w:firstLineChars="200"/>
        <w:jc w:val="left"/>
        <w:textAlignment w:val="auto"/>
        <w:rPr>
          <w:rFonts w:hint="eastAsia" w:asciiTheme="minorEastAsia" w:hAnsiTheme="minorEastAsia" w:eastAsiaTheme="minorEastAsia" w:cstheme="minorEastAsia"/>
          <w:color w:val="000000"/>
          <w:spacing w:val="16"/>
          <w:kern w:val="0"/>
          <w:sz w:val="28"/>
          <w:szCs w:val="28"/>
          <w:lang w:val="en-US" w:eastAsia="zh-CN" w:bidi="ar-SA"/>
        </w:rPr>
      </w:pPr>
      <w:r>
        <w:rPr>
          <w:rFonts w:hint="eastAsia" w:asciiTheme="minorEastAsia" w:hAnsiTheme="minorEastAsia" w:eastAsiaTheme="minorEastAsia" w:cstheme="minorEastAsia"/>
          <w:color w:val="000000"/>
          <w:spacing w:val="16"/>
          <w:kern w:val="0"/>
          <w:sz w:val="28"/>
          <w:szCs w:val="28"/>
          <w:lang w:val="en-US" w:eastAsia="zh-CN" w:bidi="ar-SA"/>
        </w:rPr>
        <w:t>副县级以上领导干部；各乡镇办书记、乡镇长（主任），涉及发改、土地、扶贫、水利、城建、企业等工作领域的负责同志，区/县委常委部门第一副职，人大机关、政协机关联系经济工作的同志；发改委、教育局、工信局、民政局、财政局、自然资源与规划局、住建局、交通局、农业农村局、林业局、水利局、商务局、文广体旅局、卫健委、审计局、统计局、市场监督管理局、大项目办、扶贫办等项目主管负责人；区/县各平台公司主要负责人及所属项目负责人；工商界企业家，参与新型城镇化、新基建和政府项目的央企、国企、上市公司高管及项目负责人；证券公司、商业银行、借贷公司、基金公司、担保公司、评级公司高管等。行业</w:t>
      </w:r>
      <w:r>
        <w:rPr>
          <w:rFonts w:hint="eastAsia" w:asciiTheme="minorEastAsia" w:hAnsiTheme="minorEastAsia" w:cstheme="minorEastAsia"/>
          <w:color w:val="000000"/>
          <w:spacing w:val="16"/>
          <w:kern w:val="0"/>
          <w:sz w:val="28"/>
          <w:szCs w:val="28"/>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rPr>
          <w:rFonts w:hint="eastAsia" w:asciiTheme="minorEastAsia" w:hAnsiTheme="minorEastAsia" w:eastAsiaTheme="minorEastAsia" w:cstheme="minorEastAsia"/>
          <w:b/>
          <w:bCs w:val="0"/>
          <w:sz w:val="30"/>
          <w:szCs w:val="30"/>
        </w:rPr>
      </w:pPr>
      <w:r>
        <w:rPr>
          <w:rFonts w:hint="eastAsia" w:asciiTheme="minorEastAsia" w:hAnsiTheme="minorEastAsia" w:cstheme="minorEastAsia"/>
          <w:b/>
          <w:bCs w:val="0"/>
          <w:sz w:val="30"/>
          <w:szCs w:val="30"/>
          <w:lang w:val="en-US" w:eastAsia="zh-CN"/>
        </w:rPr>
        <w:t>五、</w:t>
      </w:r>
      <w:r>
        <w:rPr>
          <w:rFonts w:hint="eastAsia" w:asciiTheme="minorEastAsia" w:hAnsiTheme="minorEastAsia" w:eastAsiaTheme="minorEastAsia" w:cstheme="minorEastAsia"/>
          <w:b/>
          <w:bCs w:val="0"/>
          <w:sz w:val="30"/>
          <w:szCs w:val="30"/>
        </w:rPr>
        <w:t>培训费用</w:t>
      </w:r>
    </w:p>
    <w:p>
      <w:pPr>
        <w:keepNext w:val="0"/>
        <w:keepLines w:val="0"/>
        <w:pageBreakBefore w:val="0"/>
        <w:widowControl w:val="0"/>
        <w:kinsoku/>
        <w:wordWrap/>
        <w:overflowPunct/>
        <w:topLinePunct w:val="0"/>
        <w:autoSpaceDE/>
        <w:autoSpaceDN/>
        <w:bidi w:val="0"/>
        <w:adjustRightInd/>
        <w:snapToGrid/>
        <w:spacing w:line="440" w:lineRule="exact"/>
        <w:ind w:firstLine="624" w:firstLineChars="200"/>
        <w:textAlignment w:val="auto"/>
        <w:rPr>
          <w:rFonts w:hint="eastAsia" w:asciiTheme="minorEastAsia" w:hAnsiTheme="minorEastAsia" w:eastAsiaTheme="minorEastAsia" w:cstheme="minorEastAsia"/>
          <w:color w:val="000000"/>
          <w:spacing w:val="16"/>
          <w:kern w:val="0"/>
          <w:sz w:val="28"/>
          <w:szCs w:val="28"/>
          <w:lang w:val="en-US" w:eastAsia="zh-CN" w:bidi="ar-SA"/>
        </w:rPr>
      </w:pPr>
      <w:r>
        <w:rPr>
          <w:rFonts w:hint="eastAsia" w:asciiTheme="minorEastAsia" w:hAnsiTheme="minorEastAsia" w:eastAsiaTheme="minorEastAsia" w:cstheme="minorEastAsia"/>
          <w:color w:val="000000"/>
          <w:spacing w:val="16"/>
          <w:kern w:val="0"/>
          <w:sz w:val="28"/>
          <w:szCs w:val="28"/>
          <w:lang w:val="en-US" w:eastAsia="zh-CN" w:bidi="ar-SA"/>
        </w:rPr>
        <w:t>A项.2980元/人（含培训费、资料费、课件、场地、会议期间午餐），住宿统一安排，费用自理。</w:t>
      </w:r>
    </w:p>
    <w:p>
      <w:pPr>
        <w:keepNext w:val="0"/>
        <w:keepLines w:val="0"/>
        <w:pageBreakBefore w:val="0"/>
        <w:widowControl w:val="0"/>
        <w:kinsoku/>
        <w:wordWrap/>
        <w:overflowPunct/>
        <w:topLinePunct w:val="0"/>
        <w:autoSpaceDE/>
        <w:autoSpaceDN/>
        <w:bidi w:val="0"/>
        <w:adjustRightInd/>
        <w:snapToGrid/>
        <w:spacing w:line="440" w:lineRule="exact"/>
        <w:ind w:firstLine="624" w:firstLineChars="200"/>
        <w:textAlignment w:val="auto"/>
        <w:rPr>
          <w:rFonts w:hint="eastAsia" w:asciiTheme="minorEastAsia" w:hAnsiTheme="minorEastAsia" w:eastAsiaTheme="minorEastAsia" w:cstheme="minorEastAsia"/>
          <w:color w:val="000000"/>
          <w:spacing w:val="16"/>
          <w:kern w:val="0"/>
          <w:sz w:val="28"/>
          <w:szCs w:val="28"/>
          <w:lang w:val="en-US" w:eastAsia="zh-CN" w:bidi="ar-SA"/>
        </w:rPr>
      </w:pPr>
      <w:r>
        <w:rPr>
          <w:rFonts w:hint="eastAsia" w:asciiTheme="minorEastAsia" w:hAnsiTheme="minorEastAsia" w:eastAsiaTheme="minorEastAsia" w:cstheme="minorEastAsia"/>
          <w:color w:val="000000"/>
          <w:spacing w:val="16"/>
          <w:kern w:val="0"/>
          <w:sz w:val="28"/>
          <w:szCs w:val="28"/>
          <w:lang w:val="en-US" w:eastAsia="zh-CN" w:bidi="ar-SA"/>
        </w:rPr>
        <w:t>B项.3980元/人（含证书、培训费、资料费、课件、场地、会议期间午餐），住宿统一安排，费用自理。</w:t>
      </w:r>
    </w:p>
    <w:p>
      <w:pPr>
        <w:keepNext w:val="0"/>
        <w:keepLines w:val="0"/>
        <w:pageBreakBefore w:val="0"/>
        <w:widowControl w:val="0"/>
        <w:kinsoku/>
        <w:wordWrap/>
        <w:overflowPunct/>
        <w:topLinePunct w:val="0"/>
        <w:autoSpaceDE/>
        <w:autoSpaceDN/>
        <w:bidi w:val="0"/>
        <w:adjustRightInd/>
        <w:snapToGrid/>
        <w:spacing w:line="440" w:lineRule="exact"/>
        <w:ind w:firstLine="624" w:firstLineChars="200"/>
        <w:textAlignment w:val="auto"/>
        <w:rPr>
          <w:rFonts w:hint="eastAsia" w:asciiTheme="minorEastAsia" w:hAnsiTheme="minorEastAsia" w:eastAsiaTheme="minorEastAsia" w:cstheme="minorEastAsia"/>
          <w:color w:val="000000"/>
          <w:spacing w:val="16"/>
          <w:kern w:val="0"/>
          <w:sz w:val="28"/>
          <w:szCs w:val="28"/>
          <w:lang w:val="en-US" w:eastAsia="zh-CN" w:bidi="ar-SA"/>
        </w:rPr>
      </w:pPr>
      <w:r>
        <w:rPr>
          <w:rFonts w:hint="eastAsia" w:asciiTheme="minorEastAsia" w:hAnsiTheme="minorEastAsia" w:eastAsiaTheme="minorEastAsia" w:cstheme="minorEastAsia"/>
          <w:color w:val="000000"/>
          <w:spacing w:val="16"/>
          <w:kern w:val="0"/>
          <w:sz w:val="28"/>
          <w:szCs w:val="28"/>
          <w:lang w:val="en-US" w:eastAsia="zh-CN" w:bidi="ar-SA"/>
        </w:rPr>
        <w:t>C项.5980元/人（含证书、培训费、资料费、课件、场地、会议期间食宿）。</w:t>
      </w:r>
    </w:p>
    <w:p>
      <w:pPr>
        <w:keepNext w:val="0"/>
        <w:keepLines w:val="0"/>
        <w:pageBreakBefore w:val="0"/>
        <w:widowControl w:val="0"/>
        <w:kinsoku/>
        <w:wordWrap/>
        <w:overflowPunct/>
        <w:topLinePunct w:val="0"/>
        <w:autoSpaceDE/>
        <w:autoSpaceDN/>
        <w:bidi w:val="0"/>
        <w:adjustRightInd/>
        <w:snapToGrid/>
        <w:spacing w:line="440" w:lineRule="exact"/>
        <w:ind w:firstLine="780" w:firstLineChars="250"/>
        <w:textAlignment w:val="auto"/>
        <w:rPr>
          <w:rFonts w:hint="eastAsia" w:asciiTheme="minorEastAsia" w:hAnsiTheme="minorEastAsia" w:eastAsiaTheme="minorEastAsia" w:cstheme="minorEastAsia"/>
          <w:color w:val="000000"/>
          <w:spacing w:val="16"/>
          <w:kern w:val="0"/>
          <w:sz w:val="28"/>
          <w:szCs w:val="28"/>
          <w:lang w:val="en-US" w:eastAsia="zh-CN" w:bidi="ar-SA"/>
        </w:rPr>
      </w:pPr>
      <w:r>
        <w:rPr>
          <w:rFonts w:hint="eastAsia" w:asciiTheme="minorEastAsia" w:hAnsiTheme="minorEastAsia" w:eastAsiaTheme="minorEastAsia" w:cstheme="minorEastAsia"/>
          <w:color w:val="000000"/>
          <w:spacing w:val="16"/>
          <w:kern w:val="0"/>
          <w:sz w:val="28"/>
          <w:szCs w:val="28"/>
          <w:lang w:val="en-US" w:eastAsia="zh-CN" w:bidi="ar-SA"/>
        </w:rPr>
        <w:t xml:space="preserve">备注：证书由中国国家人事人才培训网、北京企业管理咨询协会共同颁发《投融资管理师》《金融风险管理师》，证书可在国培网网站人才数据库查询。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pacing w:val="16"/>
          <w:kern w:val="0"/>
          <w:sz w:val="28"/>
          <w:szCs w:val="28"/>
          <w:lang w:val="en-US" w:eastAsia="zh-CN" w:bidi="ar-SA"/>
        </w:rPr>
      </w:pPr>
      <w:r>
        <w:rPr>
          <w:rFonts w:hint="eastAsia" w:asciiTheme="minorEastAsia" w:hAnsiTheme="minorEastAsia" w:eastAsiaTheme="minorEastAsia" w:cstheme="minorEastAsia"/>
          <w:color w:val="000000"/>
          <w:spacing w:val="16"/>
          <w:kern w:val="0"/>
          <w:sz w:val="28"/>
          <w:szCs w:val="28"/>
          <w:lang w:val="en-US" w:eastAsia="zh-CN" w:bidi="ar-SA"/>
        </w:rPr>
        <w:t>需提供报名材料：报名表、2寸电子照片（白底免冠彩照）、身份证复印件、学历证书复印件各一份。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30"/>
          <w:szCs w:val="30"/>
        </w:rPr>
      </w:pPr>
      <w:r>
        <w:rPr>
          <w:rFonts w:hint="eastAsia" w:asciiTheme="minorEastAsia" w:hAnsiTheme="minorEastAsia" w:cstheme="minorEastAsia"/>
          <w:b/>
          <w:bCs/>
          <w:color w:val="000000"/>
          <w:sz w:val="28"/>
          <w:szCs w:val="28"/>
          <w:lang w:eastAsia="zh-CN"/>
        </w:rPr>
        <w:t>六、</w:t>
      </w:r>
      <w:r>
        <w:rPr>
          <w:rFonts w:hint="eastAsia" w:asciiTheme="minorEastAsia" w:hAnsiTheme="minorEastAsia" w:eastAsiaTheme="minorEastAsia" w:cstheme="minorEastAsia"/>
          <w:b/>
          <w:bCs/>
          <w:sz w:val="30"/>
          <w:szCs w:val="30"/>
        </w:rPr>
        <w:t>联系方式</w:t>
      </w:r>
    </w:p>
    <w:p>
      <w:pPr>
        <w:autoSpaceDE w:val="0"/>
        <w:autoSpaceDN w:val="0"/>
        <w:adjustRightInd w:val="0"/>
        <w:spacing w:line="330" w:lineRule="exact"/>
        <w:jc w:val="left"/>
        <w:rPr>
          <w:rFonts w:hint="eastAsia" w:asciiTheme="minorEastAsia" w:hAnsiTheme="minorEastAsia" w:eastAsiaTheme="minorEastAsia" w:cstheme="minorEastAsia"/>
          <w:color w:val="000000"/>
          <w:spacing w:val="16"/>
          <w:kern w:val="0"/>
          <w:sz w:val="28"/>
          <w:szCs w:val="28"/>
          <w:lang w:val="en-US" w:eastAsia="zh-CN" w:bidi="ar-SA"/>
        </w:rPr>
      </w:pPr>
      <w:r>
        <w:rPr>
          <w:rFonts w:hint="eastAsia" w:asciiTheme="minorEastAsia" w:hAnsiTheme="minorEastAsia" w:eastAsiaTheme="minorEastAsia" w:cstheme="minorEastAsia"/>
          <w:color w:val="000000"/>
          <w:spacing w:val="16"/>
          <w:kern w:val="0"/>
          <w:sz w:val="28"/>
          <w:szCs w:val="28"/>
          <w:lang w:val="en-US" w:eastAsia="zh-CN" w:bidi="ar-SA"/>
        </w:rPr>
        <w:t xml:space="preserve">报名负责人：聂红军 主任18211071700（微信）  </w:t>
      </w:r>
    </w:p>
    <w:p>
      <w:pPr>
        <w:autoSpaceDE w:val="0"/>
        <w:autoSpaceDN w:val="0"/>
        <w:adjustRightInd w:val="0"/>
        <w:spacing w:line="330" w:lineRule="exact"/>
        <w:jc w:val="left"/>
        <w:rPr>
          <w:rFonts w:hint="eastAsia" w:asciiTheme="minorEastAsia" w:hAnsiTheme="minorEastAsia" w:eastAsiaTheme="minorEastAsia" w:cstheme="minorEastAsia"/>
          <w:color w:val="000000"/>
          <w:spacing w:val="16"/>
          <w:kern w:val="0"/>
          <w:sz w:val="28"/>
          <w:szCs w:val="28"/>
          <w:lang w:val="en-US" w:eastAsia="zh-CN" w:bidi="ar-SA"/>
        </w:rPr>
      </w:pPr>
      <w:r>
        <w:rPr>
          <w:rFonts w:hint="eastAsia" w:asciiTheme="minorEastAsia" w:hAnsiTheme="minorEastAsia" w:eastAsiaTheme="minorEastAsia" w:cstheme="minorEastAsia"/>
          <w:color w:val="000000"/>
          <w:spacing w:val="16"/>
          <w:kern w:val="0"/>
          <w:sz w:val="28"/>
          <w:szCs w:val="28"/>
          <w:lang w:val="en-US" w:eastAsia="zh-CN" w:bidi="ar-SA"/>
        </w:rPr>
        <w:t xml:space="preserve">电话（传真）：010-87697580    邮  箱：zqgphwz@126.com  </w:t>
      </w:r>
    </w:p>
    <w:p>
      <w:pPr>
        <w:autoSpaceDE w:val="0"/>
        <w:autoSpaceDN w:val="0"/>
        <w:adjustRightInd w:val="0"/>
        <w:spacing w:line="330" w:lineRule="exact"/>
        <w:jc w:val="left"/>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color w:val="000000"/>
          <w:spacing w:val="16"/>
          <w:kern w:val="0"/>
          <w:sz w:val="28"/>
          <w:szCs w:val="28"/>
          <w:lang w:val="en-US" w:eastAsia="zh-CN" w:bidi="ar-SA"/>
        </w:rPr>
        <w:t>网址查询：http://www.zqgpchina.cn/  qq咨询：3177524020</w:t>
      </w:r>
    </w:p>
    <w:p>
      <w:pPr>
        <w:spacing w:line="300" w:lineRule="exact"/>
        <w:ind w:left="840" w:hanging="840" w:hangingChars="300"/>
        <w:rPr>
          <w:rFonts w:hint="eastAsia" w:asciiTheme="minorEastAsia" w:hAnsiTheme="minorEastAsia" w:eastAsiaTheme="minorEastAsia" w:cstheme="minorEastAsia"/>
          <w:b/>
          <w:bCs/>
          <w:color w:val="333333"/>
          <w:spacing w:val="9"/>
          <w:kern w:val="0"/>
          <w:sz w:val="28"/>
          <w:szCs w:val="28"/>
          <w:lang w:val="en-US" w:eastAsia="zh-CN"/>
        </w:rPr>
      </w:pPr>
      <w:r>
        <w:rPr>
          <w:rFonts w:hint="eastAsia" w:asciiTheme="minorEastAsia" w:hAnsiTheme="minorEastAsia" w:eastAsiaTheme="minorEastAsia" w:cstheme="minorEastAsia"/>
          <w:bCs/>
          <w:color w:val="000000"/>
          <w:sz w:val="28"/>
          <w:szCs w:val="28"/>
        </w:rPr>
        <w:t>附件：</w:t>
      </w:r>
      <w:r>
        <w:rPr>
          <w:rFonts w:hint="eastAsia" w:asciiTheme="minorEastAsia" w:hAnsiTheme="minorEastAsia" w:eastAsiaTheme="minorEastAsia" w:cstheme="minorEastAsia"/>
          <w:b/>
          <w:bCs/>
          <w:color w:val="333333"/>
          <w:spacing w:val="9"/>
          <w:kern w:val="0"/>
          <w:sz w:val="28"/>
          <w:szCs w:val="28"/>
        </w:rPr>
        <w:t>地方政府‘两新一重’项目包装及最新基础设施投融资模式设计与</w:t>
      </w:r>
      <w:r>
        <w:rPr>
          <w:rFonts w:hint="eastAsia" w:asciiTheme="minorEastAsia" w:hAnsiTheme="minorEastAsia" w:eastAsiaTheme="minorEastAsia" w:cstheme="minorEastAsia"/>
          <w:b/>
          <w:bCs/>
          <w:color w:val="333333"/>
          <w:spacing w:val="9"/>
          <w:kern w:val="0"/>
          <w:sz w:val="28"/>
          <w:szCs w:val="28"/>
          <w:lang w:val="en-US" w:eastAsia="zh-CN"/>
        </w:rPr>
        <w:t>融资</w:t>
      </w:r>
      <w:r>
        <w:rPr>
          <w:rFonts w:hint="eastAsia" w:asciiTheme="minorEastAsia" w:hAnsiTheme="minorEastAsia" w:eastAsiaTheme="minorEastAsia" w:cstheme="minorEastAsia"/>
          <w:b/>
          <w:bCs/>
          <w:color w:val="333333"/>
          <w:spacing w:val="9"/>
          <w:kern w:val="0"/>
          <w:sz w:val="28"/>
          <w:szCs w:val="28"/>
        </w:rPr>
        <w:t>工具应用报名</w:t>
      </w:r>
      <w:r>
        <w:rPr>
          <w:rFonts w:hint="eastAsia" w:asciiTheme="minorEastAsia" w:hAnsiTheme="minorEastAsia" w:eastAsiaTheme="minorEastAsia" w:cstheme="minorEastAsia"/>
          <w:b/>
          <w:bCs/>
          <w:color w:val="333333"/>
          <w:spacing w:val="9"/>
          <w:kern w:val="0"/>
          <w:sz w:val="28"/>
          <w:szCs w:val="28"/>
          <w:lang w:val="en-US" w:eastAsia="zh-CN"/>
        </w:rPr>
        <w:t>回执表</w:t>
      </w:r>
    </w:p>
    <w:p>
      <w:pPr>
        <w:spacing w:line="300" w:lineRule="exact"/>
        <w:rPr>
          <w:rFonts w:hint="eastAsia" w:asciiTheme="minorEastAsia" w:hAnsiTheme="minorEastAsia" w:eastAsiaTheme="minorEastAsia" w:cstheme="minorEastAsia"/>
          <w:b/>
          <w:bCs/>
          <w:color w:val="333333"/>
          <w:spacing w:val="9"/>
          <w:kern w:val="0"/>
          <w:sz w:val="28"/>
          <w:szCs w:val="28"/>
          <w:lang w:val="en-US" w:eastAsia="zh-CN"/>
        </w:rPr>
      </w:pPr>
    </w:p>
    <w:p>
      <w:pPr>
        <w:spacing w:line="300" w:lineRule="exact"/>
        <w:rPr>
          <w:rFonts w:hint="eastAsia" w:asciiTheme="minorEastAsia" w:hAnsiTheme="minorEastAsia" w:eastAsiaTheme="minorEastAsia" w:cstheme="minorEastAsia"/>
          <w:b/>
          <w:sz w:val="30"/>
          <w:szCs w:val="30"/>
          <w:lang w:val="en-US" w:eastAsia="zh-CN"/>
        </w:rPr>
      </w:pPr>
    </w:p>
    <w:p>
      <w:pPr>
        <w:spacing w:line="300" w:lineRule="exact"/>
        <w:rPr>
          <w:rFonts w:hint="eastAsia" w:asciiTheme="minorEastAsia" w:hAnsiTheme="minorEastAsia" w:eastAsiaTheme="minorEastAsia" w:cstheme="minorEastAsia"/>
          <w:b/>
          <w:sz w:val="30"/>
          <w:szCs w:val="30"/>
          <w:lang w:val="en-US" w:eastAsia="zh-CN"/>
        </w:rPr>
      </w:pPr>
    </w:p>
    <w:p>
      <w:pPr>
        <w:spacing w:line="300" w:lineRule="exact"/>
        <w:rPr>
          <w:rFonts w:hint="eastAsia" w:asciiTheme="minorEastAsia" w:hAnsiTheme="minorEastAsia" w:eastAsiaTheme="minorEastAsia" w:cstheme="minorEastAsia"/>
          <w:b/>
          <w:sz w:val="30"/>
          <w:szCs w:val="30"/>
          <w:lang w:val="en-US" w:eastAsia="zh-CN"/>
        </w:rPr>
      </w:pPr>
    </w:p>
    <w:p>
      <w:pPr>
        <w:spacing w:line="300" w:lineRule="exact"/>
        <w:rPr>
          <w:rFonts w:hint="eastAsia" w:asciiTheme="minorEastAsia" w:hAnsiTheme="minorEastAsia" w:eastAsiaTheme="minorEastAsia" w:cstheme="minorEastAsia"/>
          <w:b/>
          <w:sz w:val="30"/>
          <w:szCs w:val="30"/>
          <w:lang w:val="en-US" w:eastAsia="zh-CN"/>
        </w:rPr>
      </w:pPr>
    </w:p>
    <w:p>
      <w:pPr>
        <w:spacing w:line="300" w:lineRule="exact"/>
        <w:rPr>
          <w:rFonts w:hint="eastAsia" w:asciiTheme="minorEastAsia" w:hAnsiTheme="minorEastAsia" w:eastAsiaTheme="minorEastAsia" w:cstheme="minorEastAsia"/>
          <w:b/>
          <w:sz w:val="30"/>
          <w:szCs w:val="30"/>
          <w:lang w:val="en-US" w:eastAsia="zh-CN"/>
        </w:rPr>
      </w:pPr>
      <w:r>
        <w:rPr>
          <w:rFonts w:hint="eastAsia" w:ascii="仿宋" w:hAnsi="仿宋" w:eastAsia="仿宋" w:cs="宋体"/>
          <w:color w:val="000000"/>
          <w:sz w:val="24"/>
          <w:szCs w:val="24"/>
          <w:lang w:val="en-US" w:eastAsia="zh-CN"/>
        </w:rPr>
        <w:drawing>
          <wp:anchor distT="0" distB="0" distL="114935" distR="114935" simplePos="0" relativeHeight="251659264" behindDoc="0" locked="0" layoutInCell="1" allowOverlap="1">
            <wp:simplePos x="0" y="0"/>
            <wp:positionH relativeFrom="column">
              <wp:posOffset>3246755</wp:posOffset>
            </wp:positionH>
            <wp:positionV relativeFrom="paragraph">
              <wp:posOffset>15240</wp:posOffset>
            </wp:positionV>
            <wp:extent cx="1310640" cy="1280160"/>
            <wp:effectExtent l="0" t="0" r="0" b="0"/>
            <wp:wrapNone/>
            <wp:docPr id="2" name="图片 2" descr="微信图片_2020092417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924173628"/>
                    <pic:cNvPicPr>
                      <a:picLocks noChangeAspect="1"/>
                    </pic:cNvPicPr>
                  </pic:nvPicPr>
                  <pic:blipFill>
                    <a:blip r:embed="rId4"/>
                    <a:stretch>
                      <a:fillRect/>
                    </a:stretch>
                  </pic:blipFill>
                  <pic:spPr>
                    <a:xfrm>
                      <a:off x="0" y="0"/>
                      <a:ext cx="1310640" cy="1280160"/>
                    </a:xfrm>
                    <a:prstGeom prst="rect">
                      <a:avLst/>
                    </a:prstGeom>
                  </pic:spPr>
                </pic:pic>
              </a:graphicData>
            </a:graphic>
          </wp:anchor>
        </w:drawing>
      </w:r>
    </w:p>
    <w:p>
      <w:pPr>
        <w:autoSpaceDE/>
        <w:autoSpaceDN/>
        <w:adjustRightInd/>
        <w:spacing w:line="380" w:lineRule="exact"/>
        <w:ind w:firstLine="602" w:firstLineChars="200"/>
        <w:jc w:val="both"/>
        <w:rPr>
          <w:rFonts w:ascii="仿宋" w:hAnsi="仿宋" w:eastAsia="仿宋" w:cs="仿宋"/>
          <w:bCs/>
          <w:kern w:val="2"/>
          <w:sz w:val="28"/>
          <w:szCs w:val="28"/>
        </w:rPr>
      </w:pPr>
      <w:r>
        <w:rPr>
          <w:rFonts w:hint="eastAsia" w:asciiTheme="minorEastAsia" w:hAnsiTheme="minorEastAsia" w:eastAsiaTheme="minorEastAsia" w:cstheme="minorEastAsia"/>
          <w:b/>
          <w:sz w:val="30"/>
          <w:szCs w:val="30"/>
          <w:lang w:val="en-US" w:eastAsia="zh-CN"/>
        </w:rPr>
        <w:t xml:space="preserve">                                    </w:t>
      </w:r>
    </w:p>
    <w:p>
      <w:pPr>
        <w:autoSpaceDE/>
        <w:autoSpaceDN/>
        <w:adjustRightInd/>
        <w:spacing w:line="560" w:lineRule="exact"/>
        <w:ind w:firstLine="4320" w:firstLineChars="1800"/>
        <w:jc w:val="both"/>
        <w:rPr>
          <w:rFonts w:hint="eastAsia" w:ascii="仿宋" w:hAnsi="仿宋" w:eastAsia="仿宋" w:cs="宋体"/>
          <w:color w:val="000000"/>
          <w:sz w:val="24"/>
          <w:szCs w:val="24"/>
        </w:rPr>
      </w:pPr>
      <w:r>
        <w:rPr>
          <w:rFonts w:hint="eastAsia" w:ascii="仿宋" w:hAnsi="仿宋" w:eastAsia="仿宋" w:cs="宋体"/>
          <w:color w:val="000000"/>
          <w:sz w:val="24"/>
          <w:szCs w:val="24"/>
        </w:rPr>
        <w:t>中国投资</w:t>
      </w:r>
      <w:r>
        <w:rPr>
          <w:rFonts w:hint="eastAsia" w:ascii="仿宋" w:hAnsi="仿宋" w:eastAsia="仿宋" w:cs="宋体"/>
          <w:color w:val="000000"/>
          <w:sz w:val="24"/>
          <w:szCs w:val="24"/>
          <w:lang w:val="en-US" w:eastAsia="zh-CN"/>
        </w:rPr>
        <w:t xml:space="preserve">                </w:t>
      </w:r>
      <w:r>
        <w:rPr>
          <w:rFonts w:hint="eastAsia" w:ascii="仿宋" w:hAnsi="仿宋" w:eastAsia="仿宋" w:cs="宋体"/>
          <w:color w:val="000000"/>
          <w:sz w:val="24"/>
          <w:szCs w:val="24"/>
        </w:rPr>
        <w:t>业委员会</w:t>
      </w:r>
    </w:p>
    <w:p>
      <w:pPr>
        <w:keepNext w:val="0"/>
        <w:keepLines w:val="0"/>
        <w:pageBreakBefore w:val="0"/>
        <w:kinsoku/>
        <w:wordWrap/>
        <w:overflowPunct/>
        <w:topLinePunct w:val="0"/>
        <w:bidi w:val="0"/>
        <w:snapToGrid/>
        <w:spacing w:line="500" w:lineRule="exact"/>
        <w:textAlignment w:val="auto"/>
        <w:rPr>
          <w:rFonts w:ascii="仿宋" w:hAnsi="仿宋" w:eastAsia="仿宋" w:cs="仿宋"/>
          <w:b/>
          <w:bCs/>
          <w:kern w:val="2"/>
          <w:sz w:val="28"/>
          <w:szCs w:val="28"/>
        </w:rPr>
      </w:pPr>
      <w:r>
        <w:rPr>
          <w:rFonts w:ascii="仿宋" w:hAnsi="仿宋" w:eastAsia="仿宋" w:cs="仿宋"/>
          <w:b/>
          <w:bCs/>
          <w:kern w:val="2"/>
          <w:sz w:val="28"/>
          <w:szCs w:val="28"/>
        </w:rPr>
        <w:t xml:space="preserve">       </w:t>
      </w:r>
    </w:p>
    <w:p>
      <w:pPr>
        <w:keepNext w:val="0"/>
        <w:keepLines w:val="0"/>
        <w:pageBreakBefore w:val="0"/>
        <w:kinsoku/>
        <w:wordWrap/>
        <w:overflowPunct/>
        <w:topLinePunct w:val="0"/>
        <w:bidi w:val="0"/>
        <w:snapToGrid/>
        <w:spacing w:line="500" w:lineRule="exact"/>
        <w:textAlignment w:val="auto"/>
        <w:rPr>
          <w:rFonts w:hint="eastAsia" w:ascii="黑体" w:hAnsi="黑体" w:eastAsia="黑体" w:cs="黑体"/>
          <w:bCs/>
          <w:color w:val="000000"/>
          <w:sz w:val="28"/>
          <w:szCs w:val="28"/>
          <w:lang w:eastAsia="zh-CN"/>
        </w:rPr>
      </w:pPr>
      <w:r>
        <w:rPr>
          <w:rFonts w:ascii="仿宋" w:hAnsi="仿宋" w:eastAsia="仿宋" w:cs="仿宋"/>
          <w:b/>
          <w:bCs/>
          <w:kern w:val="2"/>
          <w:sz w:val="28"/>
          <w:szCs w:val="28"/>
        </w:rPr>
        <w:t xml:space="preserve">   </w:t>
      </w:r>
    </w:p>
    <w:p>
      <w:pPr>
        <w:spacing w:line="300" w:lineRule="exact"/>
        <w:jc w:val="both"/>
        <w:rPr>
          <w:rFonts w:hint="eastAsia" w:asciiTheme="minorEastAsia" w:hAnsiTheme="minorEastAsia" w:eastAsiaTheme="minorEastAsia" w:cstheme="minorEastAsia"/>
          <w:b/>
          <w:bCs/>
          <w:color w:val="333333"/>
          <w:spacing w:val="9"/>
          <w:kern w:val="0"/>
          <w:sz w:val="28"/>
          <w:szCs w:val="28"/>
        </w:rPr>
      </w:pPr>
    </w:p>
    <w:p>
      <w:pPr>
        <w:spacing w:line="300" w:lineRule="exact"/>
        <w:jc w:val="center"/>
        <w:rPr>
          <w:rFonts w:hint="eastAsia" w:asciiTheme="minorEastAsia" w:hAnsiTheme="minorEastAsia" w:eastAsiaTheme="minorEastAsia" w:cstheme="minorEastAsia"/>
          <w:b/>
          <w:bCs/>
          <w:color w:val="333333"/>
          <w:spacing w:val="9"/>
          <w:kern w:val="0"/>
          <w:sz w:val="28"/>
          <w:szCs w:val="28"/>
        </w:rPr>
      </w:pPr>
    </w:p>
    <w:p>
      <w:pPr>
        <w:spacing w:line="300" w:lineRule="exact"/>
        <w:jc w:val="center"/>
        <w:rPr>
          <w:rFonts w:hint="eastAsia" w:asciiTheme="minorEastAsia" w:hAnsiTheme="minorEastAsia" w:eastAsiaTheme="minorEastAsia" w:cstheme="minorEastAsia"/>
          <w:b/>
          <w:bCs/>
          <w:color w:val="333333"/>
          <w:spacing w:val="9"/>
          <w:kern w:val="0"/>
          <w:sz w:val="28"/>
          <w:szCs w:val="28"/>
          <w:lang w:val="en-US" w:eastAsia="zh-CN"/>
        </w:rPr>
      </w:pPr>
      <w:r>
        <w:rPr>
          <w:rFonts w:hint="eastAsia" w:asciiTheme="minorEastAsia" w:hAnsiTheme="minorEastAsia" w:eastAsiaTheme="minorEastAsia" w:cstheme="minorEastAsia"/>
          <w:b/>
          <w:bCs/>
          <w:color w:val="333333"/>
          <w:spacing w:val="9"/>
          <w:kern w:val="0"/>
          <w:sz w:val="28"/>
          <w:szCs w:val="28"/>
        </w:rPr>
        <w:t>地方政府‘两新一重’项目包装及最新基础设施投融资模式设计与</w:t>
      </w:r>
      <w:r>
        <w:rPr>
          <w:rFonts w:hint="eastAsia" w:asciiTheme="minorEastAsia" w:hAnsiTheme="minorEastAsia" w:eastAsiaTheme="minorEastAsia" w:cstheme="minorEastAsia"/>
          <w:b/>
          <w:bCs/>
          <w:color w:val="333333"/>
          <w:spacing w:val="9"/>
          <w:kern w:val="0"/>
          <w:sz w:val="28"/>
          <w:szCs w:val="28"/>
          <w:lang w:val="en-US" w:eastAsia="zh-CN"/>
        </w:rPr>
        <w:t>融资</w:t>
      </w:r>
      <w:r>
        <w:rPr>
          <w:rFonts w:hint="eastAsia" w:asciiTheme="minorEastAsia" w:hAnsiTheme="minorEastAsia" w:eastAsiaTheme="minorEastAsia" w:cstheme="minorEastAsia"/>
          <w:b/>
          <w:bCs/>
          <w:color w:val="333333"/>
          <w:spacing w:val="9"/>
          <w:kern w:val="0"/>
          <w:sz w:val="28"/>
          <w:szCs w:val="28"/>
        </w:rPr>
        <w:t>工具应用设计与</w:t>
      </w:r>
      <w:r>
        <w:rPr>
          <w:rFonts w:hint="eastAsia" w:asciiTheme="minorEastAsia" w:hAnsiTheme="minorEastAsia" w:eastAsiaTheme="minorEastAsia" w:cstheme="minorEastAsia"/>
          <w:b/>
          <w:bCs/>
          <w:color w:val="333333"/>
          <w:spacing w:val="9"/>
          <w:kern w:val="0"/>
          <w:sz w:val="28"/>
          <w:szCs w:val="28"/>
          <w:lang w:val="en-US" w:eastAsia="zh-CN"/>
        </w:rPr>
        <w:t>融资</w:t>
      </w:r>
      <w:r>
        <w:rPr>
          <w:rFonts w:hint="eastAsia" w:asciiTheme="minorEastAsia" w:hAnsiTheme="minorEastAsia" w:eastAsiaTheme="minorEastAsia" w:cstheme="minorEastAsia"/>
          <w:b/>
          <w:bCs/>
          <w:color w:val="333333"/>
          <w:spacing w:val="9"/>
          <w:kern w:val="0"/>
          <w:sz w:val="28"/>
          <w:szCs w:val="28"/>
        </w:rPr>
        <w:t>工具应</w:t>
      </w:r>
      <w:r>
        <w:rPr>
          <w:rFonts w:hint="eastAsia" w:asciiTheme="minorEastAsia" w:hAnsiTheme="minorEastAsia" w:eastAsiaTheme="minorEastAsia" w:cstheme="minorEastAsia"/>
          <w:b/>
          <w:bCs/>
          <w:color w:val="333333"/>
          <w:spacing w:val="9"/>
          <w:kern w:val="0"/>
          <w:sz w:val="28"/>
          <w:szCs w:val="28"/>
          <w:lang w:val="en-US" w:eastAsia="zh-CN"/>
        </w:rPr>
        <w:t>用报名回执表</w:t>
      </w:r>
    </w:p>
    <w:tbl>
      <w:tblPr>
        <w:tblStyle w:val="7"/>
        <w:tblpPr w:leftFromText="180" w:rightFromText="180" w:vertAnchor="page" w:horzAnchor="page" w:tblpX="1409" w:tblpY="276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687"/>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tc>
        <w:tc>
          <w:tcPr>
            <w:tcW w:w="4959" w:type="dxa"/>
            <w:gridSpan w:val="5"/>
            <w:vAlign w:val="center"/>
          </w:tcPr>
          <w:p>
            <w:pPr>
              <w:spacing w:line="360" w:lineRule="exact"/>
              <w:ind w:right="-147" w:rightChars="-70"/>
              <w:jc w:val="center"/>
              <w:rPr>
                <w:rFonts w:hint="eastAsia" w:asciiTheme="minorEastAsia" w:hAnsiTheme="minorEastAsia" w:eastAsiaTheme="minorEastAsia" w:cstheme="minorEastAsia"/>
                <w:sz w:val="24"/>
              </w:rPr>
            </w:pPr>
          </w:p>
        </w:tc>
        <w:tc>
          <w:tcPr>
            <w:tcW w:w="850" w:type="dxa"/>
            <w:gridSpan w:val="2"/>
            <w:vAlign w:val="center"/>
          </w:tcPr>
          <w:p>
            <w:pPr>
              <w:spacing w:line="360" w:lineRule="exact"/>
              <w:ind w:right="-147" w:rightChars="-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邮编</w:t>
            </w:r>
          </w:p>
        </w:tc>
        <w:tc>
          <w:tcPr>
            <w:tcW w:w="2275" w:type="dxa"/>
            <w:gridSpan w:val="2"/>
            <w:vAlign w:val="center"/>
          </w:tcPr>
          <w:p>
            <w:pPr>
              <w:spacing w:line="360" w:lineRule="exact"/>
              <w:ind w:right="-147"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单位地址</w:t>
            </w:r>
          </w:p>
        </w:tc>
        <w:tc>
          <w:tcPr>
            <w:tcW w:w="8084" w:type="dxa"/>
            <w:gridSpan w:val="9"/>
            <w:vAlign w:val="center"/>
          </w:tcPr>
          <w:p>
            <w:pPr>
              <w:spacing w:line="360" w:lineRule="exact"/>
              <w:ind w:right="-147"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tc>
        <w:tc>
          <w:tcPr>
            <w:tcW w:w="2131" w:type="dxa"/>
            <w:gridSpan w:val="2"/>
            <w:vAlign w:val="center"/>
          </w:tcPr>
          <w:p>
            <w:pPr>
              <w:spacing w:line="360" w:lineRule="exact"/>
              <w:ind w:right="-147" w:rightChars="-70" w:firstLine="960"/>
              <w:rPr>
                <w:rFonts w:hint="eastAsia" w:asciiTheme="minorEastAsia" w:hAnsiTheme="minorEastAsia" w:eastAsiaTheme="minorEastAsia" w:cstheme="minorEastAsia"/>
                <w:sz w:val="24"/>
              </w:rPr>
            </w:pPr>
          </w:p>
        </w:tc>
        <w:tc>
          <w:tcPr>
            <w:tcW w:w="2828" w:type="dxa"/>
            <w:gridSpan w:val="3"/>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职位/岗位</w:t>
            </w:r>
          </w:p>
        </w:tc>
        <w:tc>
          <w:tcPr>
            <w:tcW w:w="3125" w:type="dxa"/>
            <w:gridSpan w:val="4"/>
            <w:vAlign w:val="center"/>
          </w:tcPr>
          <w:p>
            <w:pPr>
              <w:spacing w:line="360" w:lineRule="exact"/>
              <w:ind w:right="-147"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办公电话</w:t>
            </w:r>
          </w:p>
        </w:tc>
        <w:tc>
          <w:tcPr>
            <w:tcW w:w="2131" w:type="dxa"/>
            <w:gridSpan w:val="2"/>
            <w:vAlign w:val="center"/>
          </w:tcPr>
          <w:p>
            <w:pPr>
              <w:spacing w:line="360" w:lineRule="exact"/>
              <w:ind w:right="-147" w:rightChars="-70"/>
              <w:rPr>
                <w:rFonts w:hint="eastAsia" w:asciiTheme="minorEastAsia" w:hAnsiTheme="minorEastAsia" w:eastAsiaTheme="minorEastAsia" w:cstheme="minorEastAsia"/>
                <w:sz w:val="24"/>
              </w:rPr>
            </w:pPr>
          </w:p>
        </w:tc>
        <w:tc>
          <w:tcPr>
            <w:tcW w:w="2828" w:type="dxa"/>
            <w:gridSpan w:val="3"/>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手    机</w:t>
            </w:r>
          </w:p>
        </w:tc>
        <w:tc>
          <w:tcPr>
            <w:tcW w:w="3125" w:type="dxa"/>
            <w:gridSpan w:val="4"/>
            <w:vAlign w:val="center"/>
          </w:tcPr>
          <w:p>
            <w:pPr>
              <w:spacing w:line="360" w:lineRule="exact"/>
              <w:ind w:right="-147"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传   真</w:t>
            </w:r>
          </w:p>
        </w:tc>
        <w:tc>
          <w:tcPr>
            <w:tcW w:w="2131" w:type="dxa"/>
            <w:gridSpan w:val="2"/>
            <w:vAlign w:val="center"/>
          </w:tcPr>
          <w:p>
            <w:pPr>
              <w:spacing w:line="360" w:lineRule="exact"/>
              <w:ind w:right="-147" w:rightChars="-70"/>
              <w:rPr>
                <w:rFonts w:hint="eastAsia" w:asciiTheme="minorEastAsia" w:hAnsiTheme="minorEastAsia" w:eastAsiaTheme="minorEastAsia" w:cstheme="minorEastAsia"/>
                <w:sz w:val="24"/>
              </w:rPr>
            </w:pPr>
          </w:p>
        </w:tc>
        <w:tc>
          <w:tcPr>
            <w:tcW w:w="2828" w:type="dxa"/>
            <w:gridSpan w:val="3"/>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电子信箱</w:t>
            </w:r>
          </w:p>
        </w:tc>
        <w:tc>
          <w:tcPr>
            <w:tcW w:w="3125" w:type="dxa"/>
            <w:gridSpan w:val="4"/>
            <w:vAlign w:val="center"/>
          </w:tcPr>
          <w:p>
            <w:pPr>
              <w:spacing w:line="360" w:lineRule="exact"/>
              <w:ind w:right="-147"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参加培训人员</w:t>
            </w:r>
          </w:p>
        </w:tc>
        <w:tc>
          <w:tcPr>
            <w:tcW w:w="849" w:type="dxa"/>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1282" w:type="dxa"/>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职务</w:t>
            </w:r>
          </w:p>
        </w:tc>
        <w:tc>
          <w:tcPr>
            <w:tcW w:w="1984" w:type="dxa"/>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tc>
        <w:tc>
          <w:tcPr>
            <w:tcW w:w="1985" w:type="dxa"/>
            <w:gridSpan w:val="5"/>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手机</w:t>
            </w:r>
          </w:p>
        </w:tc>
        <w:tc>
          <w:tcPr>
            <w:tcW w:w="1984" w:type="dxa"/>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hint="eastAsia" w:asciiTheme="minorEastAsia" w:hAnsiTheme="minorEastAsia" w:eastAsiaTheme="minorEastAsia" w:cstheme="minorEastAsia"/>
                <w:sz w:val="24"/>
              </w:rPr>
            </w:pPr>
          </w:p>
        </w:tc>
        <w:tc>
          <w:tcPr>
            <w:tcW w:w="849" w:type="dxa"/>
            <w:vAlign w:val="center"/>
          </w:tcPr>
          <w:p>
            <w:pPr>
              <w:spacing w:line="360" w:lineRule="exact"/>
              <w:ind w:right="-147" w:rightChars="-70"/>
              <w:rPr>
                <w:rFonts w:hint="eastAsia" w:asciiTheme="minorEastAsia" w:hAnsiTheme="minorEastAsia" w:eastAsiaTheme="minorEastAsia" w:cstheme="minorEastAsia"/>
                <w:sz w:val="24"/>
              </w:rPr>
            </w:pPr>
          </w:p>
        </w:tc>
        <w:tc>
          <w:tcPr>
            <w:tcW w:w="1282" w:type="dxa"/>
            <w:vAlign w:val="center"/>
          </w:tcPr>
          <w:p>
            <w:pPr>
              <w:spacing w:line="360" w:lineRule="exact"/>
              <w:ind w:right="-147" w:rightChars="-70"/>
              <w:rPr>
                <w:rFonts w:hint="eastAsia" w:asciiTheme="minorEastAsia" w:hAnsiTheme="minorEastAsia" w:eastAsiaTheme="minorEastAsia" w:cstheme="minorEastAsia"/>
                <w:sz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rPr>
            </w:pPr>
          </w:p>
        </w:tc>
        <w:tc>
          <w:tcPr>
            <w:tcW w:w="1985" w:type="dxa"/>
            <w:gridSpan w:val="5"/>
            <w:vAlign w:val="center"/>
          </w:tcPr>
          <w:p>
            <w:pPr>
              <w:spacing w:line="360" w:lineRule="exact"/>
              <w:ind w:right="-147" w:rightChars="-70"/>
              <w:rPr>
                <w:rFonts w:hint="eastAsia" w:asciiTheme="minorEastAsia" w:hAnsiTheme="minorEastAsia" w:eastAsiaTheme="minorEastAsia" w:cstheme="minorEastAsia"/>
                <w:sz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hint="eastAsia" w:asciiTheme="minorEastAsia" w:hAnsiTheme="minorEastAsia" w:eastAsiaTheme="minorEastAsia" w:cstheme="minorEastAsia"/>
                <w:sz w:val="24"/>
              </w:rPr>
            </w:pPr>
          </w:p>
        </w:tc>
        <w:tc>
          <w:tcPr>
            <w:tcW w:w="849" w:type="dxa"/>
            <w:vAlign w:val="center"/>
          </w:tcPr>
          <w:p>
            <w:pPr>
              <w:spacing w:line="360" w:lineRule="exact"/>
              <w:ind w:right="-147" w:rightChars="-70"/>
              <w:rPr>
                <w:rFonts w:hint="eastAsia" w:asciiTheme="minorEastAsia" w:hAnsiTheme="minorEastAsia" w:eastAsiaTheme="minorEastAsia" w:cstheme="minorEastAsia"/>
                <w:sz w:val="24"/>
              </w:rPr>
            </w:pPr>
          </w:p>
        </w:tc>
        <w:tc>
          <w:tcPr>
            <w:tcW w:w="1282" w:type="dxa"/>
            <w:vAlign w:val="center"/>
          </w:tcPr>
          <w:p>
            <w:pPr>
              <w:spacing w:line="360" w:lineRule="exact"/>
              <w:ind w:right="-147" w:rightChars="-70"/>
              <w:rPr>
                <w:rFonts w:hint="eastAsia" w:asciiTheme="minorEastAsia" w:hAnsiTheme="minorEastAsia" w:eastAsiaTheme="minorEastAsia" w:cstheme="minorEastAsia"/>
                <w:sz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rPr>
            </w:pPr>
          </w:p>
        </w:tc>
        <w:tc>
          <w:tcPr>
            <w:tcW w:w="1985" w:type="dxa"/>
            <w:gridSpan w:val="5"/>
            <w:vAlign w:val="center"/>
          </w:tcPr>
          <w:p>
            <w:pPr>
              <w:spacing w:line="360" w:lineRule="exact"/>
              <w:ind w:right="-147" w:rightChars="-70"/>
              <w:rPr>
                <w:rFonts w:hint="eastAsia" w:asciiTheme="minorEastAsia" w:hAnsiTheme="minorEastAsia" w:eastAsiaTheme="minorEastAsia" w:cstheme="minorEastAsia"/>
                <w:sz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hint="eastAsia" w:asciiTheme="minorEastAsia" w:hAnsiTheme="minorEastAsia" w:eastAsiaTheme="minorEastAsia" w:cstheme="minorEastAsia"/>
                <w:sz w:val="24"/>
              </w:rPr>
            </w:pPr>
          </w:p>
        </w:tc>
        <w:tc>
          <w:tcPr>
            <w:tcW w:w="849" w:type="dxa"/>
            <w:vAlign w:val="center"/>
          </w:tcPr>
          <w:p>
            <w:pPr>
              <w:spacing w:line="360" w:lineRule="exact"/>
              <w:ind w:right="-147" w:rightChars="-70"/>
              <w:rPr>
                <w:rFonts w:hint="eastAsia" w:asciiTheme="minorEastAsia" w:hAnsiTheme="minorEastAsia" w:eastAsiaTheme="minorEastAsia" w:cstheme="minorEastAsia"/>
                <w:sz w:val="24"/>
              </w:rPr>
            </w:pPr>
          </w:p>
        </w:tc>
        <w:tc>
          <w:tcPr>
            <w:tcW w:w="1282" w:type="dxa"/>
            <w:vAlign w:val="center"/>
          </w:tcPr>
          <w:p>
            <w:pPr>
              <w:spacing w:line="360" w:lineRule="exact"/>
              <w:ind w:right="-147" w:rightChars="-70"/>
              <w:rPr>
                <w:rFonts w:hint="eastAsia" w:asciiTheme="minorEastAsia" w:hAnsiTheme="minorEastAsia" w:eastAsiaTheme="minorEastAsia" w:cstheme="minorEastAsia"/>
                <w:sz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rPr>
            </w:pPr>
          </w:p>
        </w:tc>
        <w:tc>
          <w:tcPr>
            <w:tcW w:w="1985" w:type="dxa"/>
            <w:gridSpan w:val="5"/>
            <w:vAlign w:val="center"/>
          </w:tcPr>
          <w:p>
            <w:pPr>
              <w:spacing w:line="360" w:lineRule="exact"/>
              <w:ind w:right="-147" w:rightChars="-70"/>
              <w:rPr>
                <w:rFonts w:hint="eastAsia" w:asciiTheme="minorEastAsia" w:hAnsiTheme="minorEastAsia" w:eastAsiaTheme="minorEastAsia" w:cstheme="minorEastAsia"/>
                <w:sz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hint="eastAsia" w:asciiTheme="minorEastAsia" w:hAnsiTheme="minorEastAsia" w:eastAsiaTheme="minorEastAsia" w:cstheme="minorEastAsia"/>
                <w:sz w:val="24"/>
              </w:rPr>
            </w:pPr>
          </w:p>
        </w:tc>
        <w:tc>
          <w:tcPr>
            <w:tcW w:w="849" w:type="dxa"/>
            <w:vAlign w:val="center"/>
          </w:tcPr>
          <w:p>
            <w:pPr>
              <w:spacing w:line="360" w:lineRule="exact"/>
              <w:ind w:right="-147" w:rightChars="-70"/>
              <w:rPr>
                <w:rFonts w:hint="eastAsia" w:asciiTheme="minorEastAsia" w:hAnsiTheme="minorEastAsia" w:eastAsiaTheme="minorEastAsia" w:cstheme="minorEastAsia"/>
                <w:sz w:val="24"/>
              </w:rPr>
            </w:pPr>
          </w:p>
        </w:tc>
        <w:tc>
          <w:tcPr>
            <w:tcW w:w="1282" w:type="dxa"/>
            <w:vAlign w:val="center"/>
          </w:tcPr>
          <w:p>
            <w:pPr>
              <w:spacing w:line="360" w:lineRule="exact"/>
              <w:ind w:right="-147" w:rightChars="-70"/>
              <w:rPr>
                <w:rFonts w:hint="eastAsia" w:asciiTheme="minorEastAsia" w:hAnsiTheme="minorEastAsia" w:eastAsiaTheme="minorEastAsia" w:cstheme="minorEastAsia"/>
                <w:sz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rPr>
            </w:pPr>
          </w:p>
        </w:tc>
        <w:tc>
          <w:tcPr>
            <w:tcW w:w="1985" w:type="dxa"/>
            <w:gridSpan w:val="5"/>
            <w:vAlign w:val="center"/>
          </w:tcPr>
          <w:p>
            <w:pPr>
              <w:spacing w:line="360" w:lineRule="exact"/>
              <w:ind w:right="-147" w:rightChars="-70"/>
              <w:rPr>
                <w:rFonts w:hint="eastAsia" w:asciiTheme="minorEastAsia" w:hAnsiTheme="minorEastAsia" w:eastAsiaTheme="minorEastAsia" w:cstheme="minorEastAsia"/>
                <w:sz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hint="eastAsia" w:asciiTheme="minorEastAsia" w:hAnsiTheme="minorEastAsia" w:eastAsiaTheme="minorEastAsia" w:cstheme="minorEastAsia"/>
                <w:sz w:val="24"/>
              </w:rPr>
            </w:pPr>
          </w:p>
        </w:tc>
        <w:tc>
          <w:tcPr>
            <w:tcW w:w="849" w:type="dxa"/>
            <w:vAlign w:val="center"/>
          </w:tcPr>
          <w:p>
            <w:pPr>
              <w:spacing w:line="360" w:lineRule="exact"/>
              <w:ind w:right="-147" w:rightChars="-70"/>
              <w:rPr>
                <w:rFonts w:hint="eastAsia" w:asciiTheme="minorEastAsia" w:hAnsiTheme="minorEastAsia" w:eastAsiaTheme="minorEastAsia" w:cstheme="minorEastAsia"/>
                <w:sz w:val="24"/>
              </w:rPr>
            </w:pPr>
          </w:p>
        </w:tc>
        <w:tc>
          <w:tcPr>
            <w:tcW w:w="1282" w:type="dxa"/>
            <w:vAlign w:val="center"/>
          </w:tcPr>
          <w:p>
            <w:pPr>
              <w:spacing w:line="360" w:lineRule="exact"/>
              <w:ind w:right="-147" w:rightChars="-70"/>
              <w:rPr>
                <w:rFonts w:hint="eastAsia" w:asciiTheme="minorEastAsia" w:hAnsiTheme="minorEastAsia" w:eastAsiaTheme="minorEastAsia" w:cstheme="minorEastAsia"/>
                <w:sz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rPr>
            </w:pPr>
          </w:p>
        </w:tc>
        <w:tc>
          <w:tcPr>
            <w:tcW w:w="1985" w:type="dxa"/>
            <w:gridSpan w:val="5"/>
            <w:vAlign w:val="center"/>
          </w:tcPr>
          <w:p>
            <w:pPr>
              <w:spacing w:line="360" w:lineRule="exact"/>
              <w:ind w:right="-147" w:rightChars="-70"/>
              <w:rPr>
                <w:rFonts w:hint="eastAsia" w:asciiTheme="minorEastAsia" w:hAnsiTheme="minorEastAsia" w:eastAsiaTheme="minorEastAsia" w:cstheme="minorEastAsia"/>
                <w:sz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Theme="minorEastAsia" w:hAnsiTheme="minorEastAsia" w:cstheme="minorEastAsia"/>
                <w:b w:val="0"/>
                <w:bCs w:val="0"/>
                <w:sz w:val="24"/>
                <w:lang w:val="en-US" w:eastAsia="zh-CN"/>
              </w:rPr>
            </w:pPr>
            <w:r>
              <w:rPr>
                <w:rFonts w:hint="eastAsia" w:asciiTheme="minorEastAsia" w:hAnsiTheme="minorEastAsia" w:cstheme="minorEastAsia"/>
                <w:b w:val="0"/>
                <w:bCs w:val="0"/>
                <w:sz w:val="24"/>
                <w:lang w:eastAsia="zh-CN"/>
              </w:rPr>
              <w:t>是否住宿</w:t>
            </w:r>
          </w:p>
        </w:tc>
        <w:tc>
          <w:tcPr>
            <w:tcW w:w="2131" w:type="dxa"/>
            <w:gridSpan w:val="2"/>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eastAsia="zh-CN"/>
              </w:rPr>
              <w:t>□是     □否</w:t>
            </w:r>
          </w:p>
        </w:tc>
        <w:tc>
          <w:tcPr>
            <w:tcW w:w="1984"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Theme="minorEastAsia" w:hAnsiTheme="minorEastAsia" w:cstheme="minorEastAsia"/>
                <w:b w:val="0"/>
                <w:bCs w:val="0"/>
                <w:sz w:val="24"/>
                <w:lang w:val="en-US" w:eastAsia="zh-CN"/>
              </w:rPr>
            </w:pPr>
            <w:r>
              <w:rPr>
                <w:rFonts w:hint="eastAsia" w:asciiTheme="minorEastAsia" w:hAnsiTheme="minorEastAsia" w:cstheme="minorEastAsia"/>
                <w:b w:val="0"/>
                <w:bCs w:val="0"/>
                <w:sz w:val="24"/>
                <w:lang w:eastAsia="zh-CN"/>
              </w:rPr>
              <w:t>住宿标准</w:t>
            </w:r>
          </w:p>
        </w:tc>
        <w:tc>
          <w:tcPr>
            <w:tcW w:w="3969" w:type="dxa"/>
            <w:gridSpan w:val="6"/>
            <w:vAlign w:val="top"/>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eastAsia="zh-CN"/>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仿宋_GB2312" w:eastAsia="仿宋_GB2312"/>
                <w:b w:val="0"/>
                <w:bCs w:val="0"/>
                <w:sz w:val="24"/>
              </w:rPr>
            </w:pPr>
            <w:r>
              <w:rPr>
                <w:rFonts w:hint="eastAsia" w:asciiTheme="minorEastAsia" w:hAnsiTheme="minorEastAsia" w:cstheme="minorEastAsia"/>
                <w:b w:val="0"/>
                <w:bCs w:val="0"/>
                <w:sz w:val="24"/>
                <w:lang w:eastAsia="zh-CN"/>
              </w:rPr>
              <w:t>参会地点</w:t>
            </w:r>
          </w:p>
        </w:tc>
        <w:tc>
          <w:tcPr>
            <w:tcW w:w="2131" w:type="dxa"/>
            <w:gridSpan w:val="2"/>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仿宋_GB2312" w:eastAsia="仿宋_GB2312" w:hAnsiTheme="minorHAnsi" w:cstheme="minorBidi"/>
                <w:kern w:val="2"/>
                <w:sz w:val="24"/>
                <w:szCs w:val="22"/>
                <w:lang w:val="en-US" w:eastAsia="zh-CN" w:bidi="ar-SA"/>
              </w:rPr>
            </w:pPr>
          </w:p>
        </w:tc>
        <w:tc>
          <w:tcPr>
            <w:tcW w:w="1984"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仿宋_GB2312" w:eastAsia="仿宋_GB2312"/>
                <w:b w:val="0"/>
                <w:bCs w:val="0"/>
                <w:sz w:val="24"/>
                <w:lang w:eastAsia="zh-CN"/>
              </w:rPr>
            </w:pPr>
            <w:r>
              <w:rPr>
                <w:rFonts w:hint="eastAsia" w:asciiTheme="minorEastAsia" w:hAnsiTheme="minorEastAsia" w:cstheme="minorEastAsia"/>
                <w:b w:val="0"/>
                <w:bCs w:val="0"/>
                <w:sz w:val="24"/>
                <w:lang w:eastAsia="zh-CN"/>
              </w:rPr>
              <w:t>证书申报</w:t>
            </w:r>
          </w:p>
        </w:tc>
        <w:tc>
          <w:tcPr>
            <w:tcW w:w="3969" w:type="dxa"/>
            <w:gridSpan w:val="6"/>
            <w:vAlign w:val="top"/>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47" w:rightChars="-70"/>
              <w:jc w:val="center"/>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标准选项</w:t>
            </w:r>
          </w:p>
        </w:tc>
        <w:tc>
          <w:tcPr>
            <w:tcW w:w="8084" w:type="dxa"/>
            <w:gridSpan w:val="9"/>
            <w:vAlign w:val="center"/>
          </w:tcPr>
          <w:p>
            <w:pPr>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spacing w:line="360" w:lineRule="exact"/>
              <w:ind w:right="-147" w:rightChars="-70"/>
              <w:jc w:val="center"/>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付款方式</w:t>
            </w:r>
          </w:p>
        </w:tc>
        <w:tc>
          <w:tcPr>
            <w:tcW w:w="4272" w:type="dxa"/>
            <w:gridSpan w:val="4"/>
          </w:tcPr>
          <w:p>
            <w:pPr>
              <w:widowControl/>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□银行     □网银 </w:t>
            </w:r>
          </w:p>
        </w:tc>
        <w:tc>
          <w:tcPr>
            <w:tcW w:w="996" w:type="dxa"/>
            <w:gridSpan w:val="2"/>
          </w:tcPr>
          <w:p>
            <w:pPr>
              <w:widowControl/>
              <w:spacing w:line="360" w:lineRule="exact"/>
              <w:ind w:right="-147"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金额</w:t>
            </w:r>
          </w:p>
        </w:tc>
        <w:tc>
          <w:tcPr>
            <w:tcW w:w="2816" w:type="dxa"/>
            <w:gridSpan w:val="3"/>
          </w:tcPr>
          <w:p>
            <w:pPr>
              <w:widowControl/>
              <w:spacing w:line="360" w:lineRule="exact"/>
              <w:ind w:right="-147" w:rightChars="-7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vAlign w:val="center"/>
          </w:tcPr>
          <w:p>
            <w:pPr>
              <w:spacing w:line="360" w:lineRule="exact"/>
              <w:ind w:right="-147" w:rightChars="-70"/>
              <w:jc w:val="center"/>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需要与专家</w:t>
            </w:r>
          </w:p>
          <w:p>
            <w:pPr>
              <w:spacing w:line="360" w:lineRule="exact"/>
              <w:ind w:right="-147" w:rightChars="-70"/>
              <w:jc w:val="center"/>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沟通的问题</w:t>
            </w:r>
          </w:p>
        </w:tc>
        <w:tc>
          <w:tcPr>
            <w:tcW w:w="8084" w:type="dxa"/>
            <w:gridSpan w:val="9"/>
          </w:tcPr>
          <w:p>
            <w:pPr>
              <w:widowControl/>
              <w:spacing w:line="360" w:lineRule="exact"/>
              <w:ind w:right="-147" w:rightChars="-7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vAlign w:val="center"/>
          </w:tcPr>
          <w:p>
            <w:pPr>
              <w:spacing w:line="360" w:lineRule="exact"/>
              <w:ind w:right="-147" w:rightChars="-70"/>
              <w:jc w:val="center"/>
              <w:rPr>
                <w:rFonts w:hint="eastAsia" w:asciiTheme="minorEastAsia" w:hAnsiTheme="minorEastAsia" w:eastAsiaTheme="minorEastAsia" w:cstheme="minorEastAsia"/>
                <w:b w:val="0"/>
                <w:bCs w:val="0"/>
                <w:sz w:val="24"/>
                <w:highlight w:val="yellow"/>
              </w:rPr>
            </w:pPr>
            <w:r>
              <w:rPr>
                <w:rFonts w:hint="eastAsia" w:asciiTheme="minorEastAsia" w:hAnsiTheme="minorEastAsia" w:eastAsiaTheme="minorEastAsia" w:cstheme="minorEastAsia"/>
                <w:b w:val="0"/>
                <w:bCs w:val="0"/>
                <w:sz w:val="24"/>
                <w:lang w:val="zh-CN"/>
              </w:rPr>
              <w:t>收款账户</w:t>
            </w:r>
          </w:p>
        </w:tc>
        <w:tc>
          <w:tcPr>
            <w:tcW w:w="8084" w:type="dxa"/>
            <w:gridSpan w:val="9"/>
            <w:vAlign w:val="center"/>
          </w:tcPr>
          <w:p>
            <w:pPr>
              <w:widowControl/>
              <w:spacing w:line="360" w:lineRule="exac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单位名称：北京中科善若教育咨询有限公司</w:t>
            </w:r>
          </w:p>
          <w:p>
            <w:pPr>
              <w:widowControl/>
              <w:spacing w:line="360" w:lineRule="exac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开 户 行：中国工商银行股份有限公司北京</w:t>
            </w:r>
            <w:r>
              <w:rPr>
                <w:rFonts w:hint="eastAsia" w:asciiTheme="minorEastAsia" w:hAnsiTheme="minorEastAsia" w:eastAsiaTheme="minorEastAsia" w:cstheme="minorEastAsia"/>
              </w:rPr>
              <w:t>永定路</w:t>
            </w:r>
            <w:r>
              <w:rPr>
                <w:rFonts w:hint="eastAsia" w:asciiTheme="minorEastAsia" w:hAnsiTheme="minorEastAsia" w:eastAsiaTheme="minorEastAsia" w:cstheme="minorEastAsia"/>
                <w:lang w:val="zh-CN"/>
              </w:rPr>
              <w:t xml:space="preserve">支行 </w:t>
            </w:r>
          </w:p>
          <w:p>
            <w:pPr>
              <w:widowControl/>
              <w:spacing w:line="3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账    号：02002470092000</w:t>
            </w:r>
            <w:r>
              <w:rPr>
                <w:rFonts w:hint="eastAsia" w:asciiTheme="minorEastAsia" w:hAnsiTheme="minorEastAsia" w:eastAsiaTheme="minorEastAsia" w:cstheme="minorEastAsia"/>
              </w:rPr>
              <w:t>77514</w:t>
            </w:r>
          </w:p>
          <w:p>
            <w:pPr>
              <w:widowControl/>
              <w:spacing w:line="360" w:lineRule="exact"/>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lang w:val="zh-CN"/>
              </w:rPr>
              <w:t>行</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spacing w:line="360" w:lineRule="exact"/>
              <w:ind w:right="-147" w:rightChars="-70"/>
              <w:jc w:val="center"/>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备注</w:t>
            </w:r>
          </w:p>
        </w:tc>
        <w:tc>
          <w:tcPr>
            <w:tcW w:w="4959" w:type="dxa"/>
            <w:gridSpan w:val="5"/>
            <w:vAlign w:val="center"/>
          </w:tcPr>
          <w:p>
            <w:pPr>
              <w:spacing w:line="360" w:lineRule="exact"/>
              <w:ind w:right="-147" w:rightChars="-7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请将《报名回执表》回传至会务组，并在报名3日内办理培训费，会务组确认到款后即发《参会凭证》，详细说明培训具体安排事项。</w:t>
            </w:r>
          </w:p>
        </w:tc>
        <w:tc>
          <w:tcPr>
            <w:tcW w:w="3125" w:type="dxa"/>
            <w:gridSpan w:val="4"/>
            <w:vAlign w:val="center"/>
          </w:tcPr>
          <w:p>
            <w:pPr>
              <w:spacing w:line="360" w:lineRule="exact"/>
              <w:ind w:right="-147" w:rightChars="-70" w:firstLine="1080" w:firstLineChars="4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单位印章</w:t>
            </w:r>
          </w:p>
          <w:p>
            <w:pPr>
              <w:spacing w:line="360" w:lineRule="exact"/>
              <w:ind w:right="-147" w:rightChars="-7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2020 年    月    日</w:t>
            </w:r>
          </w:p>
        </w:tc>
      </w:tr>
    </w:tbl>
    <w:p>
      <w:pPr>
        <w:tabs>
          <w:tab w:val="left" w:pos="6673"/>
        </w:tabs>
        <w:bidi w:val="0"/>
        <w:jc w:val="left"/>
        <w:rPr>
          <w:rFonts w:hint="eastAsia" w:asciiTheme="minorEastAsia" w:hAnsiTheme="minorEastAsia" w:cstheme="minorEastAsia"/>
          <w:bCs/>
          <w:kern w:val="0"/>
          <w:sz w:val="28"/>
          <w:szCs w:val="28"/>
          <w:lang w:val="en-US" w:eastAsia="zh-CN"/>
        </w:rPr>
      </w:pPr>
      <w:r>
        <w:rPr>
          <w:rFonts w:hint="eastAsia" w:asciiTheme="minorEastAsia" w:hAnsiTheme="minorEastAsia" w:cstheme="minorEastAsia"/>
          <w:bCs/>
          <w:kern w:val="0"/>
          <w:sz w:val="28"/>
          <w:szCs w:val="28"/>
          <w:lang w:val="en-US" w:eastAsia="zh-CN"/>
        </w:rPr>
        <w:t xml:space="preserve">报名负责人：聂红军 主任18211071700（微信）  </w:t>
      </w:r>
    </w:p>
    <w:p>
      <w:pPr>
        <w:tabs>
          <w:tab w:val="left" w:pos="6673"/>
        </w:tabs>
        <w:bidi w:val="0"/>
        <w:jc w:val="left"/>
        <w:rPr>
          <w:rFonts w:hint="eastAsia" w:asciiTheme="minorEastAsia" w:hAnsiTheme="minorEastAsia" w:cstheme="minorEastAsia"/>
          <w:bCs/>
          <w:kern w:val="0"/>
          <w:sz w:val="28"/>
          <w:szCs w:val="28"/>
          <w:lang w:val="en-US" w:eastAsia="zh-CN"/>
        </w:rPr>
      </w:pPr>
      <w:r>
        <w:rPr>
          <w:rFonts w:hint="eastAsia" w:asciiTheme="minorEastAsia" w:hAnsiTheme="minorEastAsia" w:cstheme="minorEastAsia"/>
          <w:bCs/>
          <w:kern w:val="0"/>
          <w:sz w:val="28"/>
          <w:szCs w:val="28"/>
          <w:lang w:val="en-US" w:eastAsia="zh-CN"/>
        </w:rPr>
        <w:t xml:space="preserve">电话（传真）：010-87697580           邮  箱：zqgphwz@126.com  </w:t>
      </w:r>
    </w:p>
    <w:p>
      <w:pPr>
        <w:tabs>
          <w:tab w:val="left" w:pos="6673"/>
        </w:tabs>
        <w:bidi w:val="0"/>
        <w:jc w:val="left"/>
        <w:rPr>
          <w:rFonts w:hint="eastAsia" w:asciiTheme="minorEastAsia" w:hAnsiTheme="minorEastAsia" w:eastAsiaTheme="minorEastAsia" w:cstheme="minorEastAsia"/>
          <w:bCs/>
          <w:kern w:val="0"/>
          <w:sz w:val="28"/>
          <w:szCs w:val="28"/>
          <w:lang w:val="en-US" w:eastAsia="zh-CN"/>
        </w:rPr>
      </w:pPr>
      <w:bookmarkStart w:id="0" w:name="_GoBack"/>
      <w:bookmarkEnd w:id="0"/>
      <w:r>
        <w:rPr>
          <w:rFonts w:hint="eastAsia" w:asciiTheme="minorEastAsia" w:hAnsiTheme="minorEastAsia" w:cstheme="minorEastAsia"/>
          <w:bCs/>
          <w:kern w:val="0"/>
          <w:sz w:val="28"/>
          <w:szCs w:val="28"/>
          <w:lang w:val="en-US" w:eastAsia="zh-CN"/>
        </w:rPr>
        <w:t>网址查询：http://www.zqgpchina.cn/   qq咨询：3177524020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5DC"/>
    <w:rsid w:val="002A65DC"/>
    <w:rsid w:val="0042236E"/>
    <w:rsid w:val="004B029C"/>
    <w:rsid w:val="00893B88"/>
    <w:rsid w:val="0095120C"/>
    <w:rsid w:val="00B34C83"/>
    <w:rsid w:val="00BB16A4"/>
    <w:rsid w:val="00BB440A"/>
    <w:rsid w:val="00C65933"/>
    <w:rsid w:val="00CC1F24"/>
    <w:rsid w:val="00DF6A4A"/>
    <w:rsid w:val="00EB7D75"/>
    <w:rsid w:val="00F12155"/>
    <w:rsid w:val="00F13AA1"/>
    <w:rsid w:val="00F97851"/>
    <w:rsid w:val="11231CF6"/>
    <w:rsid w:val="16B1556F"/>
    <w:rsid w:val="2B054BBC"/>
    <w:rsid w:val="380F5F01"/>
    <w:rsid w:val="38E7046D"/>
    <w:rsid w:val="396418AF"/>
    <w:rsid w:val="3BAA66F0"/>
    <w:rsid w:val="4A2A05E7"/>
    <w:rsid w:val="4C1C7D53"/>
    <w:rsid w:val="4CD87F57"/>
    <w:rsid w:val="7372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68"/>
    </w:pPr>
    <w:rPr>
      <w:sz w:val="32"/>
      <w:szCs w:val="32"/>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标题 2 Char"/>
    <w:basedOn w:val="8"/>
    <w:link w:val="2"/>
    <w:qFormat/>
    <w:uiPriority w:val="9"/>
    <w:rPr>
      <w:rFonts w:ascii="宋体" w:hAnsi="宋体" w:eastAsia="宋体" w:cs="宋体"/>
      <w:b/>
      <w:bCs/>
      <w:kern w:val="0"/>
      <w:sz w:val="36"/>
      <w:szCs w:val="36"/>
    </w:rPr>
  </w:style>
  <w:style w:type="character" w:customStyle="1" w:styleId="13">
    <w:name w:val="ref"/>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365</Words>
  <Characters>2082</Characters>
  <Lines>17</Lines>
  <Paragraphs>4</Paragraphs>
  <TotalTime>0</TotalTime>
  <ScaleCrop>false</ScaleCrop>
  <LinksUpToDate>false</LinksUpToDate>
  <CharactersWithSpaces>2443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2020-09-22T07:49:00Z</dcterms:created>
  <dc:creator>PC</dc:creator>
  <cp:lastModifiedBy>Administrator</cp:lastModifiedBy>
  <dcterms:modified xsi:type="dcterms:W3CDTF">2020-09-27T01:26:00Z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