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248"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248" w:type="dxa"/>
            <w:vAlign w:val="center"/>
          </w:tcPr>
          <w:p>
            <w:pPr>
              <w:jc w:val="distribute"/>
              <w:rPr>
                <w:rFonts w:ascii="宋体" w:hAnsi="宋体" w:eastAsia="宋体" w:cs="宋体"/>
                <w:color w:val="FF0000"/>
                <w:kern w:val="0"/>
                <w:sz w:val="70"/>
                <w:szCs w:val="70"/>
              </w:rPr>
            </w:pPr>
            <w:r>
              <w:rPr>
                <w:rFonts w:hint="eastAsia" w:ascii="宋体" w:hAnsi="宋体" w:eastAsia="宋体" w:cs="宋体"/>
                <w:color w:val="FF0000"/>
                <w:kern w:val="0"/>
                <w:sz w:val="70"/>
                <w:szCs w:val="70"/>
              </w:rPr>
              <w:t>中国投资协会</w:t>
            </w:r>
          </w:p>
          <w:p>
            <w:pPr>
              <w:jc w:val="distribute"/>
              <w:rPr>
                <w:rFonts w:ascii="楷体" w:hAnsi="楷体" w:eastAsia="楷体"/>
                <w:color w:val="FF0000"/>
                <w:kern w:val="0"/>
                <w:sz w:val="66"/>
                <w:szCs w:val="66"/>
              </w:rPr>
            </w:pPr>
            <w:r>
              <w:rPr>
                <w:rFonts w:hint="eastAsia" w:ascii="宋体" w:hAnsi="宋体" w:eastAsia="宋体" w:cs="宋体"/>
                <w:color w:val="FF0000"/>
                <w:kern w:val="0"/>
                <w:sz w:val="70"/>
                <w:szCs w:val="70"/>
              </w:rPr>
              <w:t>项目投融资专业委员会文件</w:t>
            </w:r>
          </w:p>
          <w:p>
            <w:pPr>
              <w:jc w:val="center"/>
              <w:rPr>
                <w:rFonts w:ascii="仿宋" w:hAnsi="仿宋" w:eastAsia="仿宋"/>
                <w:color w:val="000000" w:themeColor="text1"/>
                <w:kern w:val="0"/>
                <w:sz w:val="66"/>
                <w:szCs w:val="66"/>
                <w14:textFill>
                  <w14:solidFill>
                    <w14:schemeClr w14:val="tx1"/>
                  </w14:solidFill>
                </w14:textFill>
              </w:rPr>
            </w:pPr>
            <w:r>
              <w:rPr>
                <w:rFonts w:hint="eastAsia" w:ascii="仿宋" w:hAnsi="仿宋" w:eastAsia="仿宋" w:cs="宋体"/>
                <w:sz w:val="30"/>
                <w:szCs w:val="30"/>
              </w:rPr>
              <w:t>投融培〔2021〕18号</w:t>
            </w:r>
          </w:p>
        </w:tc>
      </w:tr>
    </w:tbl>
    <w:p>
      <w:pPr>
        <w:pStyle w:val="2"/>
        <w:widowControl/>
        <w:shd w:val="clear" w:color="auto" w:fill="FFFFFF"/>
        <w:spacing w:before="120" w:beforeAutospacing="0" w:after="120" w:afterAutospacing="0" w:line="220" w:lineRule="exact"/>
        <w:jc w:val="center"/>
        <w:rPr>
          <w:rFonts w:hint="default" w:cs="宋体"/>
          <w:bCs w:val="0"/>
          <w:color w:val="000000"/>
          <w:kern w:val="2"/>
          <w:sz w:val="32"/>
          <w:szCs w:val="32"/>
        </w:rPr>
      </w:pPr>
    </w:p>
    <w:p>
      <w:pPr>
        <w:pStyle w:val="2"/>
        <w:widowControl/>
        <w:shd w:val="clear" w:color="auto" w:fill="FFFFFF"/>
        <w:spacing w:before="120" w:beforeAutospacing="0" w:after="120" w:afterAutospacing="0" w:line="440" w:lineRule="exact"/>
        <w:jc w:val="center"/>
        <w:rPr>
          <w:rFonts w:hint="default" w:cs="宋体"/>
          <w:bCs w:val="0"/>
          <w:color w:val="000000"/>
          <w:kern w:val="2"/>
          <w:sz w:val="36"/>
          <w:szCs w:val="36"/>
        </w:rPr>
      </w:pPr>
      <w:r>
        <w:rPr>
          <w:rFonts w:cs="宋体"/>
          <w:bCs w:val="0"/>
          <w:color w:val="000000"/>
          <w:kern w:val="2"/>
          <w:sz w:val="36"/>
          <w:szCs w:val="36"/>
        </w:rPr>
        <w:t>关于举办城市更新与土地 房屋征收补偿安置及</w:t>
      </w:r>
    </w:p>
    <w:p>
      <w:pPr>
        <w:pStyle w:val="2"/>
        <w:widowControl/>
        <w:shd w:val="clear" w:color="auto" w:fill="FFFFFF"/>
        <w:spacing w:before="120" w:beforeAutospacing="0" w:after="120" w:afterAutospacing="0" w:line="440" w:lineRule="exact"/>
        <w:jc w:val="center"/>
        <w:rPr>
          <w:rFonts w:hint="default" w:ascii="仿宋" w:hAnsi="仿宋" w:eastAsia="仿宋" w:cs="仿宋_GB2312"/>
          <w:bCs w:val="0"/>
          <w:color w:val="000000"/>
          <w:kern w:val="2"/>
          <w:sz w:val="36"/>
          <w:szCs w:val="36"/>
        </w:rPr>
      </w:pPr>
      <w:r>
        <w:rPr>
          <w:rFonts w:cs="宋体"/>
          <w:bCs w:val="0"/>
          <w:color w:val="000000"/>
          <w:kern w:val="2"/>
          <w:sz w:val="36"/>
          <w:szCs w:val="36"/>
        </w:rPr>
        <w:t>“两违”综合执法专题培训班的通知</w:t>
      </w:r>
    </w:p>
    <w:p>
      <w:pPr>
        <w:pStyle w:val="18"/>
        <w:spacing w:line="400" w:lineRule="exact"/>
        <w:ind w:firstLine="0" w:firstLineChars="0"/>
        <w:outlineLvl w:val="0"/>
        <w:rPr>
          <w:rFonts w:ascii="仿宋" w:hAnsi="仿宋" w:eastAsia="仿宋" w:cs="仿宋_GB2312"/>
          <w:sz w:val="30"/>
          <w:szCs w:val="30"/>
        </w:rPr>
      </w:pPr>
    </w:p>
    <w:p>
      <w:pPr>
        <w:pStyle w:val="18"/>
        <w:spacing w:line="340" w:lineRule="exact"/>
        <w:ind w:firstLine="0" w:firstLineChars="0"/>
        <w:outlineLvl w:val="0"/>
        <w:rPr>
          <w:rFonts w:ascii="仿宋" w:hAnsi="仿宋" w:eastAsia="仿宋" w:cs="仿宋_GB2312"/>
          <w:sz w:val="30"/>
          <w:szCs w:val="30"/>
        </w:rPr>
      </w:pPr>
      <w:r>
        <w:rPr>
          <w:rFonts w:hint="eastAsia" w:ascii="仿宋" w:hAnsi="仿宋" w:eastAsia="仿宋" w:cs="仿宋_GB2312"/>
          <w:sz w:val="30"/>
          <w:szCs w:val="30"/>
        </w:rPr>
        <w:t>各有关单位：</w:t>
      </w:r>
    </w:p>
    <w:p>
      <w:pPr>
        <w:pStyle w:val="18"/>
        <w:spacing w:line="340" w:lineRule="exact"/>
        <w:ind w:firstLine="600"/>
        <w:outlineLvl w:val="0"/>
        <w:rPr>
          <w:rFonts w:ascii="仿宋" w:hAnsi="仿宋" w:eastAsia="仿宋" w:cs="仿宋_GB2312"/>
          <w:bCs/>
          <w:color w:val="000000"/>
          <w:sz w:val="30"/>
          <w:szCs w:val="30"/>
        </w:rPr>
      </w:pPr>
      <w:r>
        <w:rPr>
          <w:rFonts w:ascii="仿宋" w:hAnsi="仿宋" w:eastAsia="仿宋" w:cs="仿宋_GB2312"/>
          <w:bCs/>
          <w:color w:val="000000"/>
          <w:sz w:val="30"/>
          <w:szCs w:val="30"/>
        </w:rPr>
        <w:t>“</w:t>
      </w:r>
      <w:r>
        <w:rPr>
          <w:rFonts w:hint="eastAsia" w:ascii="仿宋" w:hAnsi="仿宋" w:eastAsia="仿宋" w:cs="仿宋_GB2312"/>
          <w:bCs/>
          <w:color w:val="000000"/>
          <w:sz w:val="30"/>
          <w:szCs w:val="30"/>
        </w:rPr>
        <w:t>十四五</w:t>
      </w:r>
      <w:r>
        <w:rPr>
          <w:rFonts w:ascii="仿宋" w:hAnsi="仿宋" w:eastAsia="仿宋" w:cs="仿宋_GB2312"/>
          <w:bCs/>
          <w:color w:val="000000"/>
          <w:sz w:val="30"/>
          <w:szCs w:val="30"/>
        </w:rPr>
        <w:t>”</w:t>
      </w:r>
      <w:r>
        <w:rPr>
          <w:rFonts w:hint="eastAsia" w:ascii="仿宋" w:hAnsi="仿宋" w:eastAsia="仿宋" w:cs="仿宋_GB2312"/>
          <w:bCs/>
          <w:color w:val="000000"/>
          <w:sz w:val="30"/>
          <w:szCs w:val="30"/>
        </w:rPr>
        <w:t>规划和2035年远景目标纲要提出，</w:t>
      </w:r>
      <w:r>
        <w:rPr>
          <w:rFonts w:ascii="仿宋" w:hAnsi="仿宋" w:eastAsia="仿宋" w:cs="仿宋_GB2312"/>
          <w:bCs/>
          <w:color w:val="000000"/>
          <w:sz w:val="30"/>
          <w:szCs w:val="30"/>
        </w:rPr>
        <w:t>全面提升城市品质加快转变城市发展方式，统筹城市规划建设管理，实施城市更新行动，推动城市空间结构优化和品质提升</w:t>
      </w:r>
      <w:r>
        <w:rPr>
          <w:rFonts w:hint="eastAsia" w:ascii="仿宋" w:hAnsi="仿宋" w:eastAsia="仿宋" w:cs="仿宋_GB2312"/>
          <w:bCs/>
          <w:color w:val="000000"/>
          <w:sz w:val="30"/>
          <w:szCs w:val="30"/>
        </w:rPr>
        <w:t>，</w:t>
      </w:r>
      <w:r>
        <w:rPr>
          <w:rFonts w:ascii="仿宋" w:hAnsi="仿宋" w:eastAsia="仿宋" w:cs="仿宋_GB2312"/>
          <w:bCs/>
          <w:color w:val="000000"/>
          <w:sz w:val="30"/>
          <w:szCs w:val="30"/>
        </w:rPr>
        <w:t>按照资源环境承载能力合理确定城市规模和空间结构，统筹安排城市建设、产业发展、生态涵养、基础设施和公共服务。</w:t>
      </w:r>
      <w:r>
        <w:rPr>
          <w:rFonts w:hint="eastAsia" w:ascii="仿宋" w:hAnsi="仿宋" w:eastAsia="仿宋" w:cs="仿宋_GB2312"/>
          <w:bCs/>
          <w:color w:val="000000"/>
          <w:sz w:val="30"/>
          <w:szCs w:val="30"/>
        </w:rPr>
        <w:t>自然资源部《土地征收成片开发标准（试行）》（自然资规〔2020〕5号）指出，土地征收成片开发由县级以上地方政府对一定范围的土地进行综合性开发建设活动，坚持新发展理念，注重保护耕地，注重维护农民合法权益，注重节约集约用地，注重生态环境保护，促进当地经济社会可持续发展。</w:t>
      </w:r>
    </w:p>
    <w:p>
      <w:pPr>
        <w:pStyle w:val="18"/>
        <w:spacing w:line="340" w:lineRule="exact"/>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为贯彻落实纲要等文件精神，帮助有关部门准确国家掌握政策法规，依法施行征收拆迁，提高相关人员业务能力和执法水平，推动各项工作的有序开展，中国投资协会项目投融资专业委员会会同</w:t>
      </w:r>
      <w:r>
        <w:rPr>
          <w:rFonts w:ascii="仿宋" w:hAnsi="仿宋" w:eastAsia="仿宋" w:cs="仿宋"/>
          <w:bCs/>
          <w:sz w:val="30"/>
          <w:szCs w:val="30"/>
        </w:rPr>
        <w:t>北京中建科信信息咨询中心</w:t>
      </w:r>
      <w:r>
        <w:rPr>
          <w:rFonts w:hint="eastAsia" w:ascii="仿宋" w:hAnsi="仿宋" w:eastAsia="仿宋" w:cs="仿宋_GB2312"/>
          <w:bCs/>
          <w:color w:val="000000"/>
          <w:sz w:val="30"/>
          <w:szCs w:val="30"/>
        </w:rPr>
        <w:t>举办城市更新与土地、房屋征收补偿安置及“两违”综合执法专题培训班。现将具体事项通知如下：</w:t>
      </w:r>
    </w:p>
    <w:p>
      <w:pPr>
        <w:pStyle w:val="18"/>
        <w:spacing w:line="340" w:lineRule="exact"/>
        <w:ind w:firstLine="0" w:firstLineChars="0"/>
        <w:outlineLvl w:val="0"/>
        <w:rPr>
          <w:rFonts w:ascii="黑体" w:hAnsi="黑体" w:eastAsia="黑体" w:cs="黑体"/>
          <w:color w:val="000000"/>
          <w:sz w:val="30"/>
          <w:szCs w:val="30"/>
        </w:rPr>
      </w:pPr>
      <w:r>
        <w:rPr>
          <w:rFonts w:hint="eastAsia" w:ascii="黑体" w:hAnsi="黑体" w:eastAsia="黑体" w:cs="黑体"/>
          <w:color w:val="000000"/>
          <w:sz w:val="30"/>
          <w:szCs w:val="30"/>
        </w:rPr>
        <w:t xml:space="preserve">    一、组织机构</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主办单位：中国投资协会项目投融资专业委员会</w:t>
      </w:r>
    </w:p>
    <w:p>
      <w:pPr>
        <w:pStyle w:val="18"/>
        <w:spacing w:line="340" w:lineRule="exact"/>
        <w:ind w:firstLine="600"/>
        <w:outlineLvl w:val="0"/>
        <w:rPr>
          <w:rFonts w:ascii="黑体" w:hAnsi="黑体" w:eastAsia="黑体" w:cs="黑体"/>
          <w:color w:val="000000"/>
          <w:sz w:val="30"/>
          <w:szCs w:val="30"/>
        </w:rPr>
      </w:pPr>
      <w:r>
        <w:rPr>
          <w:rFonts w:hint="eastAsia" w:ascii="仿宋" w:hAnsi="仿宋" w:eastAsia="仿宋" w:cs="仿宋_GB2312"/>
          <w:bCs/>
          <w:color w:val="000000"/>
          <w:sz w:val="30"/>
          <w:szCs w:val="30"/>
        </w:rPr>
        <w:t>承办单位：</w:t>
      </w:r>
      <w:r>
        <w:rPr>
          <w:rFonts w:ascii="仿宋" w:hAnsi="仿宋" w:eastAsia="仿宋" w:cs="仿宋"/>
          <w:bCs/>
          <w:sz w:val="30"/>
          <w:szCs w:val="30"/>
        </w:rPr>
        <w:t>北京中建科信信息咨询中心</w:t>
      </w:r>
    </w:p>
    <w:p>
      <w:pPr>
        <w:pStyle w:val="18"/>
        <w:spacing w:line="340" w:lineRule="exact"/>
        <w:ind w:firstLine="600"/>
        <w:outlineLvl w:val="0"/>
        <w:rPr>
          <w:rFonts w:ascii="仿宋" w:hAnsi="仿宋" w:eastAsia="仿宋" w:cs="黑体"/>
          <w:color w:val="000000"/>
          <w:w w:val="90"/>
          <w:sz w:val="30"/>
          <w:szCs w:val="30"/>
        </w:rPr>
      </w:pPr>
      <w:r>
        <w:rPr>
          <w:rFonts w:hint="eastAsia" w:ascii="黑体" w:hAnsi="黑体" w:eastAsia="黑体" w:cs="黑体"/>
          <w:color w:val="000000"/>
          <w:sz w:val="30"/>
          <w:szCs w:val="30"/>
        </w:rPr>
        <w:t>二、培训内容</w:t>
      </w:r>
      <w:r>
        <w:rPr>
          <w:rFonts w:hint="eastAsia" w:ascii="仿宋" w:hAnsi="仿宋" w:eastAsia="仿宋" w:cs="仿宋_GB2312"/>
          <w:bCs/>
          <w:color w:val="000000"/>
          <w:sz w:val="30"/>
          <w:szCs w:val="30"/>
        </w:rPr>
        <w:t>（详细内容见附件）</w:t>
      </w:r>
    </w:p>
    <w:p>
      <w:pPr>
        <w:spacing w:line="340" w:lineRule="exact"/>
        <w:ind w:firstLine="600" w:firstLineChars="200"/>
        <w:jc w:val="left"/>
        <w:rPr>
          <w:rFonts w:ascii="仿宋" w:hAnsi="仿宋" w:eastAsia="仿宋" w:cs="仿宋_GB2312"/>
          <w:bCs/>
          <w:color w:val="000000"/>
          <w:sz w:val="30"/>
          <w:szCs w:val="30"/>
        </w:rPr>
      </w:pPr>
      <w:r>
        <w:rPr>
          <w:rFonts w:hint="eastAsia" w:ascii="仿宋" w:hAnsi="仿宋" w:eastAsia="仿宋" w:cs="仿宋_GB2312"/>
          <w:bCs/>
          <w:color w:val="000000"/>
          <w:sz w:val="30"/>
          <w:szCs w:val="30"/>
        </w:rPr>
        <w:t>1.“十四五”规划中城市更新行动解读</w:t>
      </w:r>
    </w:p>
    <w:p>
      <w:pPr>
        <w:spacing w:line="340" w:lineRule="exact"/>
        <w:ind w:firstLine="600" w:firstLineChars="200"/>
        <w:jc w:val="left"/>
        <w:rPr>
          <w:rFonts w:ascii="仿宋" w:hAnsi="仿宋" w:eastAsia="仿宋" w:cs="仿宋_GB2312"/>
          <w:bCs/>
          <w:color w:val="000000"/>
          <w:sz w:val="30"/>
          <w:szCs w:val="30"/>
        </w:rPr>
      </w:pPr>
      <w:r>
        <w:rPr>
          <w:rFonts w:hint="eastAsia" w:ascii="仿宋" w:hAnsi="仿宋" w:eastAsia="仿宋" w:cs="仿宋_GB2312"/>
          <w:bCs/>
          <w:color w:val="000000"/>
          <w:sz w:val="30"/>
          <w:szCs w:val="30"/>
        </w:rPr>
        <w:t>2.《土地管理法（修正案）》背景下的集体土地征收工作</w:t>
      </w:r>
    </w:p>
    <w:p>
      <w:pPr>
        <w:spacing w:line="340" w:lineRule="exact"/>
        <w:ind w:firstLine="600" w:firstLineChars="200"/>
        <w:jc w:val="left"/>
        <w:rPr>
          <w:rFonts w:ascii="仿宋" w:hAnsi="仿宋" w:eastAsia="仿宋" w:cs="仿宋_GB2312"/>
          <w:bCs/>
          <w:color w:val="000000"/>
          <w:sz w:val="30"/>
          <w:szCs w:val="30"/>
        </w:rPr>
      </w:pPr>
      <w:r>
        <w:rPr>
          <w:rFonts w:hint="eastAsia" w:ascii="仿宋" w:hAnsi="仿宋" w:eastAsia="仿宋" w:cs="仿宋_GB2312"/>
          <w:bCs/>
          <w:color w:val="000000"/>
          <w:sz w:val="30"/>
          <w:szCs w:val="30"/>
        </w:rPr>
        <w:t>3.国有土地上房屋征收补偿规范化管理与疑难问题讲解</w:t>
      </w:r>
    </w:p>
    <w:p>
      <w:pPr>
        <w:spacing w:line="340" w:lineRule="exact"/>
        <w:ind w:firstLine="600" w:firstLineChars="200"/>
        <w:jc w:val="left"/>
        <w:rPr>
          <w:rFonts w:ascii="仿宋" w:hAnsi="仿宋" w:eastAsia="仿宋" w:cs="仿宋_GB2312"/>
          <w:bCs/>
          <w:color w:val="000000"/>
          <w:sz w:val="30"/>
          <w:szCs w:val="30"/>
        </w:rPr>
      </w:pPr>
      <w:r>
        <w:rPr>
          <w:rFonts w:hint="eastAsia" w:ascii="仿宋" w:hAnsi="仿宋" w:eastAsia="仿宋" w:cs="仿宋_GB2312"/>
          <w:bCs/>
          <w:color w:val="000000"/>
          <w:sz w:val="30"/>
          <w:szCs w:val="30"/>
        </w:rPr>
        <w:t>4.</w:t>
      </w:r>
      <w:r>
        <w:rPr>
          <w:rFonts w:ascii="仿宋" w:hAnsi="仿宋" w:eastAsia="仿宋" w:cs="仿宋_GB2312"/>
          <w:bCs/>
          <w:color w:val="000000"/>
          <w:sz w:val="30"/>
          <w:szCs w:val="30"/>
        </w:rPr>
        <w:t>城管综合执法与违法建设治理实务</w:t>
      </w:r>
    </w:p>
    <w:p>
      <w:pPr>
        <w:spacing w:line="340" w:lineRule="exact"/>
        <w:ind w:firstLine="600" w:firstLineChars="200"/>
        <w:jc w:val="left"/>
        <w:rPr>
          <w:rFonts w:ascii="仿宋" w:hAnsi="仿宋" w:eastAsia="仿宋" w:cs="仿宋_GB2312"/>
          <w:bCs/>
          <w:color w:val="000000"/>
          <w:sz w:val="30"/>
          <w:szCs w:val="30"/>
        </w:rPr>
      </w:pPr>
      <w:r>
        <w:rPr>
          <w:rFonts w:hint="eastAsia" w:ascii="仿宋" w:hAnsi="仿宋" w:eastAsia="仿宋" w:cs="仿宋_GB2312"/>
          <w:bCs/>
          <w:color w:val="000000"/>
          <w:sz w:val="30"/>
          <w:szCs w:val="30"/>
        </w:rPr>
        <w:t>5.</w:t>
      </w:r>
      <w:r>
        <w:rPr>
          <w:rFonts w:ascii="仿宋" w:hAnsi="仿宋" w:eastAsia="仿宋" w:cs="仿宋_GB2312"/>
          <w:bCs/>
          <w:color w:val="000000"/>
          <w:sz w:val="30"/>
          <w:szCs w:val="30"/>
        </w:rPr>
        <w:t>违法建设及违法占地治理实务</w:t>
      </w:r>
    </w:p>
    <w:p>
      <w:pPr>
        <w:spacing w:line="340" w:lineRule="exact"/>
        <w:ind w:firstLine="600" w:firstLineChars="200"/>
        <w:jc w:val="left"/>
        <w:rPr>
          <w:rFonts w:ascii="仿宋" w:hAnsi="仿宋" w:eastAsia="仿宋" w:cs="仿宋_GB2312"/>
          <w:bCs/>
          <w:color w:val="000000"/>
          <w:sz w:val="30"/>
          <w:szCs w:val="30"/>
        </w:rPr>
      </w:pPr>
      <w:r>
        <w:rPr>
          <w:rFonts w:hint="eastAsia" w:ascii="仿宋" w:hAnsi="仿宋" w:eastAsia="仿宋" w:cs="仿宋_GB2312"/>
          <w:bCs/>
          <w:color w:val="000000"/>
          <w:sz w:val="30"/>
          <w:szCs w:val="30"/>
        </w:rPr>
        <w:t>6.</w:t>
      </w:r>
      <w:r>
        <w:rPr>
          <w:rFonts w:ascii="仿宋" w:hAnsi="仿宋" w:eastAsia="仿宋" w:cs="仿宋_GB2312"/>
          <w:bCs/>
          <w:color w:val="000000"/>
          <w:sz w:val="30"/>
          <w:szCs w:val="30"/>
        </w:rPr>
        <w:t>土地及房屋征收信访处理与矛盾纠纷化解</w:t>
      </w:r>
    </w:p>
    <w:p>
      <w:pPr>
        <w:pStyle w:val="18"/>
        <w:spacing w:line="340" w:lineRule="exact"/>
        <w:ind w:firstLine="600"/>
        <w:outlineLvl w:val="0"/>
        <w:rPr>
          <w:rFonts w:ascii="黑体" w:hAnsi="黑体" w:eastAsia="黑体" w:cs="黑体"/>
          <w:color w:val="000000"/>
          <w:sz w:val="30"/>
          <w:szCs w:val="30"/>
        </w:rPr>
      </w:pPr>
      <w:r>
        <w:rPr>
          <w:rFonts w:hint="eastAsia" w:ascii="黑体" w:hAnsi="黑体" w:eastAsia="黑体" w:cs="黑体"/>
          <w:color w:val="000000"/>
          <w:sz w:val="30"/>
          <w:szCs w:val="30"/>
        </w:rPr>
        <w:t>三、培训对象</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1.各地方政府住建、规划、国土、城管、执法、房产管理、片区开发、征收拆迁等部门相关工作人员；</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2.土地管理、工程建设、项目咨询、平台公司等单位管理人员；</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 xml:space="preserve">3.证券、基金、银行、信托、资产管理、融资租赁等金融机构工作人员。   </w:t>
      </w:r>
    </w:p>
    <w:p>
      <w:pPr>
        <w:pStyle w:val="18"/>
        <w:spacing w:line="340" w:lineRule="exact"/>
        <w:ind w:firstLine="600"/>
        <w:outlineLvl w:val="0"/>
        <w:rPr>
          <w:rFonts w:ascii="黑体" w:hAnsi="黑体" w:eastAsia="黑体" w:cs="黑体"/>
          <w:color w:val="000000"/>
          <w:w w:val="90"/>
          <w:sz w:val="30"/>
          <w:szCs w:val="30"/>
        </w:rPr>
      </w:pPr>
      <w:r>
        <w:rPr>
          <w:rFonts w:hint="eastAsia" w:ascii="黑体" w:hAnsi="黑体" w:eastAsia="黑体" w:cs="黑体"/>
          <w:color w:val="000000"/>
          <w:sz w:val="30"/>
          <w:szCs w:val="30"/>
        </w:rPr>
        <w:t>四、授课专家</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拟邀请住建等部门具有实践经验的专家学者授课，并针对城市更新及土地、房屋征收补偿安置、“两违”综合执法过程中的重点、热点和难点问题进行深入讲解和互动交流。</w:t>
      </w:r>
    </w:p>
    <w:p>
      <w:pPr>
        <w:pStyle w:val="18"/>
        <w:spacing w:line="340" w:lineRule="exact"/>
        <w:ind w:firstLine="600"/>
        <w:outlineLvl w:val="0"/>
        <w:rPr>
          <w:rFonts w:ascii="黑体" w:hAnsi="黑体" w:eastAsia="黑体" w:cs="黑体"/>
          <w:color w:val="000000"/>
          <w:sz w:val="30"/>
          <w:szCs w:val="30"/>
        </w:rPr>
      </w:pPr>
      <w:r>
        <w:rPr>
          <w:rFonts w:hint="eastAsia" w:ascii="黑体" w:hAnsi="黑体" w:eastAsia="黑体" w:cs="黑体"/>
          <w:color w:val="000000"/>
          <w:sz w:val="30"/>
          <w:szCs w:val="30"/>
        </w:rPr>
        <w:t>五、时间地点</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2021年</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5月28日—</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6月</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1日  西安市（28日全天报到）</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2021年</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6月18日—</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6月22日  南宁市（18日全天报到）</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2021年</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7月16日—</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7月20日  青岛市（16日全天报到）</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2021年</w:t>
      </w:r>
      <w:r>
        <w:rPr>
          <w:rFonts w:hint="eastAsia" w:ascii="仿宋" w:hAnsi="仿宋" w:eastAsia="仿宋" w:cs="仿宋_GB2312"/>
          <w:bCs/>
          <w:color w:val="000000"/>
          <w:sz w:val="30"/>
          <w:szCs w:val="30"/>
          <w:lang w:val="en-US" w:eastAsia="zh-CN"/>
        </w:rPr>
        <w:t>08</w:t>
      </w:r>
      <w:r>
        <w:rPr>
          <w:rFonts w:hint="eastAsia" w:ascii="仿宋" w:hAnsi="仿宋" w:eastAsia="仿宋" w:cs="仿宋_GB2312"/>
          <w:bCs/>
          <w:color w:val="000000"/>
          <w:sz w:val="30"/>
          <w:szCs w:val="30"/>
        </w:rPr>
        <w:t>月13日—</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8月17日  银川市（13日全天报到）</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2021年</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9月</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3日—</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9月</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7日  武汉市（</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3日全天报到）</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2021年</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9月25日—</w:t>
      </w:r>
      <w:r>
        <w:rPr>
          <w:rFonts w:hint="eastAsia" w:ascii="仿宋" w:hAnsi="仿宋" w:eastAsia="仿宋" w:cs="仿宋_GB2312"/>
          <w:bCs/>
          <w:color w:val="000000"/>
          <w:sz w:val="30"/>
          <w:szCs w:val="30"/>
          <w:lang w:val="en-US" w:eastAsia="zh-CN"/>
        </w:rPr>
        <w:t>0</w:t>
      </w:r>
      <w:r>
        <w:rPr>
          <w:rFonts w:hint="eastAsia" w:ascii="仿宋" w:hAnsi="仿宋" w:eastAsia="仿宋" w:cs="仿宋_GB2312"/>
          <w:bCs/>
          <w:color w:val="000000"/>
          <w:sz w:val="30"/>
          <w:szCs w:val="30"/>
        </w:rPr>
        <w:t>9月29日  成都市（25日全天报到）</w:t>
      </w:r>
    </w:p>
    <w:p>
      <w:pPr>
        <w:pStyle w:val="18"/>
        <w:spacing w:line="340" w:lineRule="exact"/>
        <w:ind w:firstLine="600"/>
        <w:outlineLvl w:val="0"/>
        <w:rPr>
          <w:rFonts w:ascii="仿宋" w:hAnsi="仿宋" w:eastAsia="仿宋" w:cs="仿宋_GB2312"/>
          <w:bCs/>
          <w:color w:val="000000"/>
          <w:sz w:val="30"/>
          <w:szCs w:val="30"/>
        </w:rPr>
      </w:pPr>
      <w:r>
        <w:rPr>
          <w:rFonts w:hint="eastAsia" w:ascii="仿宋" w:hAnsi="仿宋" w:eastAsia="仿宋" w:cs="仿宋_GB2312"/>
          <w:bCs/>
          <w:color w:val="000000"/>
          <w:sz w:val="30"/>
          <w:szCs w:val="30"/>
        </w:rPr>
        <w:t>2021年10月22日—10月26日</w:t>
      </w:r>
      <w:r>
        <w:rPr>
          <w:rFonts w:hint="eastAsia" w:ascii="仿宋" w:hAnsi="仿宋" w:eastAsia="仿宋" w:cs="仿宋_GB2312"/>
          <w:bCs/>
          <w:color w:val="000000"/>
          <w:sz w:val="30"/>
          <w:szCs w:val="30"/>
          <w:lang w:val="en-US" w:eastAsia="zh-CN"/>
        </w:rPr>
        <w:t xml:space="preserve">  </w:t>
      </w:r>
      <w:r>
        <w:rPr>
          <w:rFonts w:hint="eastAsia" w:ascii="仿宋" w:hAnsi="仿宋" w:eastAsia="仿宋" w:cs="仿宋_GB2312"/>
          <w:bCs/>
          <w:color w:val="000000"/>
          <w:sz w:val="30"/>
          <w:szCs w:val="30"/>
        </w:rPr>
        <w:t>珠海市（22日全天报到）</w:t>
      </w:r>
    </w:p>
    <w:p>
      <w:pPr>
        <w:pStyle w:val="18"/>
        <w:spacing w:line="340" w:lineRule="exact"/>
        <w:ind w:firstLine="0" w:firstLineChars="0"/>
        <w:outlineLvl w:val="0"/>
        <w:rPr>
          <w:rFonts w:ascii="黑体" w:hAnsi="黑体" w:eastAsia="黑体" w:cs="黑体"/>
          <w:color w:val="000000"/>
          <w:w w:val="90"/>
          <w:sz w:val="30"/>
          <w:szCs w:val="30"/>
        </w:rPr>
      </w:pPr>
      <w:r>
        <w:rPr>
          <w:rFonts w:hint="eastAsia" w:ascii="黑体" w:hAnsi="黑体" w:eastAsia="黑体" w:cs="黑体"/>
          <w:color w:val="000000"/>
          <w:sz w:val="30"/>
          <w:szCs w:val="30"/>
        </w:rPr>
        <w:t>六、相关事宜</w:t>
      </w:r>
    </w:p>
    <w:p>
      <w:pPr>
        <w:pStyle w:val="18"/>
        <w:spacing w:line="340" w:lineRule="exact"/>
        <w:ind w:firstLine="0" w:firstLineChars="0"/>
        <w:outlineLvl w:val="0"/>
        <w:rPr>
          <w:rFonts w:ascii="楷体" w:hAnsi="楷体" w:eastAsia="楷体" w:cs="仿宋_GB2312"/>
          <w:bCs/>
          <w:color w:val="000000"/>
          <w:sz w:val="30"/>
          <w:szCs w:val="30"/>
        </w:rPr>
      </w:pPr>
      <w:r>
        <w:rPr>
          <w:rFonts w:ascii="楷体" w:hAnsi="楷体" w:eastAsia="楷体" w:cs="仿宋_GB2312"/>
          <w:bCs/>
          <w:color w:val="000000"/>
          <w:sz w:val="30"/>
          <w:szCs w:val="30"/>
        </w:rPr>
        <w:t>（一）培训费用</w:t>
      </w:r>
    </w:p>
    <w:p>
      <w:pPr>
        <w:pStyle w:val="18"/>
        <w:spacing w:line="340" w:lineRule="exact"/>
        <w:ind w:firstLine="600"/>
        <w:outlineLvl w:val="0"/>
        <w:rPr>
          <w:rFonts w:ascii="仿宋" w:hAnsi="仿宋" w:eastAsia="仿宋" w:cs="仿宋_GB2312"/>
          <w:bCs/>
          <w:color w:val="000000"/>
          <w:sz w:val="30"/>
          <w:szCs w:val="30"/>
        </w:rPr>
      </w:pPr>
      <w:r>
        <w:rPr>
          <w:rFonts w:ascii="仿宋" w:hAnsi="仿宋" w:eastAsia="仿宋" w:cs="仿宋_GB2312"/>
          <w:bCs/>
          <w:color w:val="000000"/>
          <w:sz w:val="30"/>
          <w:szCs w:val="30"/>
        </w:rPr>
        <w:t>A.2980元/人（含培训、资料、课件、场地</w:t>
      </w:r>
      <w:r>
        <w:rPr>
          <w:rFonts w:hint="eastAsia" w:ascii="仿宋" w:hAnsi="仿宋" w:eastAsia="仿宋" w:cs="仿宋_GB2312"/>
          <w:bCs/>
          <w:color w:val="000000"/>
          <w:sz w:val="30"/>
          <w:szCs w:val="30"/>
        </w:rPr>
        <w:t>费用及</w:t>
      </w:r>
      <w:r>
        <w:rPr>
          <w:rFonts w:ascii="仿宋" w:hAnsi="仿宋" w:eastAsia="仿宋" w:cs="仿宋_GB2312"/>
          <w:bCs/>
          <w:color w:val="000000"/>
          <w:sz w:val="30"/>
          <w:szCs w:val="30"/>
        </w:rPr>
        <w:t>会议期间午餐），住宿统一安排，费用自理。</w:t>
      </w:r>
    </w:p>
    <w:p>
      <w:pPr>
        <w:pStyle w:val="18"/>
        <w:spacing w:line="340" w:lineRule="exact"/>
        <w:ind w:firstLine="600"/>
        <w:outlineLvl w:val="0"/>
        <w:rPr>
          <w:rFonts w:ascii="仿宋" w:hAnsi="仿宋" w:eastAsia="仿宋" w:cs="仿宋_GB2312"/>
          <w:bCs/>
          <w:color w:val="000000"/>
          <w:sz w:val="30"/>
          <w:szCs w:val="30"/>
        </w:rPr>
      </w:pPr>
      <w:r>
        <w:rPr>
          <w:rFonts w:ascii="仿宋" w:hAnsi="仿宋" w:eastAsia="仿宋" w:cs="仿宋_GB2312"/>
          <w:bCs/>
          <w:color w:val="000000"/>
          <w:sz w:val="30"/>
          <w:szCs w:val="30"/>
        </w:rPr>
        <w:t>B.3980元/人（含证书、培训、资料、课件、场地</w:t>
      </w:r>
      <w:r>
        <w:rPr>
          <w:rFonts w:hint="eastAsia" w:ascii="仿宋" w:hAnsi="仿宋" w:eastAsia="仿宋" w:cs="仿宋_GB2312"/>
          <w:bCs/>
          <w:color w:val="000000"/>
          <w:sz w:val="30"/>
          <w:szCs w:val="30"/>
        </w:rPr>
        <w:t>费用及</w:t>
      </w:r>
      <w:r>
        <w:rPr>
          <w:rFonts w:ascii="仿宋" w:hAnsi="仿宋" w:eastAsia="仿宋" w:cs="仿宋_GB2312"/>
          <w:bCs/>
          <w:color w:val="000000"/>
          <w:sz w:val="30"/>
          <w:szCs w:val="30"/>
        </w:rPr>
        <w:t>会议期间午餐），住宿统一安排，费用自理。</w:t>
      </w:r>
    </w:p>
    <w:p>
      <w:pPr>
        <w:pStyle w:val="18"/>
        <w:spacing w:line="340" w:lineRule="exact"/>
        <w:ind w:firstLine="600"/>
        <w:outlineLvl w:val="0"/>
        <w:rPr>
          <w:rFonts w:ascii="仿宋" w:hAnsi="仿宋" w:eastAsia="仿宋" w:cs="仿宋_GB2312"/>
          <w:bCs/>
          <w:color w:val="000000"/>
          <w:sz w:val="30"/>
          <w:szCs w:val="30"/>
        </w:rPr>
      </w:pPr>
      <w:r>
        <w:rPr>
          <w:rFonts w:ascii="仿宋" w:hAnsi="仿宋" w:eastAsia="仿宋" w:cs="仿宋_GB2312"/>
          <w:bCs/>
          <w:color w:val="000000"/>
          <w:sz w:val="30"/>
          <w:szCs w:val="30"/>
        </w:rPr>
        <w:t>C.5980元/人（含证书、培训、资料、课件、场地</w:t>
      </w:r>
      <w:r>
        <w:rPr>
          <w:rFonts w:hint="eastAsia" w:ascii="仿宋" w:hAnsi="仿宋" w:eastAsia="仿宋" w:cs="仿宋_GB2312"/>
          <w:bCs/>
          <w:color w:val="000000"/>
          <w:sz w:val="30"/>
          <w:szCs w:val="30"/>
        </w:rPr>
        <w:t>费用及</w:t>
      </w:r>
      <w:r>
        <w:rPr>
          <w:rFonts w:ascii="仿宋" w:hAnsi="仿宋" w:eastAsia="仿宋" w:cs="仿宋_GB2312"/>
          <w:bCs/>
          <w:color w:val="000000"/>
          <w:sz w:val="30"/>
          <w:szCs w:val="30"/>
        </w:rPr>
        <w:t>会议期间食宿）。</w:t>
      </w:r>
    </w:p>
    <w:p>
      <w:pPr>
        <w:spacing w:line="34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培训</w:t>
      </w:r>
      <w:r>
        <w:rPr>
          <w:rFonts w:hint="eastAsia" w:ascii="仿宋" w:hAnsi="仿宋" w:eastAsia="仿宋" w:cs="仿宋"/>
          <w:bCs/>
          <w:color w:val="000000" w:themeColor="text1"/>
          <w:sz w:val="30"/>
          <w:szCs w:val="30"/>
          <w14:textFill>
            <w14:solidFill>
              <w14:schemeClr w14:val="tx1"/>
            </w14:solidFill>
          </w14:textFill>
        </w:rPr>
        <w:t>结束</w:t>
      </w:r>
      <w:r>
        <w:rPr>
          <w:rFonts w:ascii="仿宋" w:hAnsi="仿宋" w:eastAsia="仿宋" w:cs="仿宋"/>
          <w:bCs/>
          <w:color w:val="000000" w:themeColor="text1"/>
          <w:sz w:val="30"/>
          <w:szCs w:val="30"/>
          <w14:textFill>
            <w14:solidFill>
              <w14:schemeClr w14:val="tx1"/>
            </w14:solidFill>
          </w14:textFill>
        </w:rPr>
        <w:t>由</w:t>
      </w:r>
      <w:r>
        <w:rPr>
          <w:rFonts w:hint="eastAsia" w:ascii="仿宋" w:hAnsi="仿宋" w:eastAsia="仿宋" w:cs="仿宋"/>
          <w:bCs/>
          <w:color w:val="000000" w:themeColor="text1"/>
          <w:sz w:val="30"/>
          <w:szCs w:val="30"/>
          <w14:textFill>
            <w14:solidFill>
              <w14:schemeClr w14:val="tx1"/>
            </w14:solidFill>
          </w14:textFill>
        </w:rPr>
        <w:t>中国</w:t>
      </w:r>
      <w:r>
        <w:rPr>
          <w:rFonts w:ascii="仿宋" w:hAnsi="仿宋" w:eastAsia="仿宋" w:cs="仿宋"/>
          <w:bCs/>
          <w:color w:val="000000" w:themeColor="text1"/>
          <w:sz w:val="30"/>
          <w:szCs w:val="30"/>
          <w14:textFill>
            <w14:solidFill>
              <w14:schemeClr w14:val="tx1"/>
            </w14:solidFill>
          </w14:textFill>
        </w:rPr>
        <w:t>国家人事人才培训网、北京企业管理咨询协会共同颁发</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000000" w:themeColor="text1"/>
          <w:sz w:val="30"/>
          <w:szCs w:val="30"/>
          <w14:textFill>
            <w14:solidFill>
              <w14:schemeClr w14:val="tx1"/>
            </w14:solidFill>
          </w14:textFill>
        </w:rPr>
        <w:t>拆迁咨询师</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000000" w:themeColor="text1"/>
          <w:sz w:val="30"/>
          <w:szCs w:val="30"/>
          <w14:textFill>
            <w14:solidFill>
              <w14:schemeClr w14:val="tx1"/>
            </w14:solidFill>
          </w14:textFill>
        </w:rPr>
        <w:t>土地规划师</w:t>
      </w:r>
      <w:r>
        <w:rPr>
          <w:rFonts w:hint="eastAsia" w:ascii="仿宋" w:hAnsi="仿宋" w:eastAsia="仿宋" w:cs="仿宋"/>
          <w:bCs/>
          <w:color w:val="000000" w:themeColor="text1"/>
          <w:sz w:val="30"/>
          <w:szCs w:val="30"/>
          <w:lang w:eastAsia="zh-CN"/>
          <w14:textFill>
            <w14:solidFill>
              <w14:schemeClr w14:val="tx1"/>
            </w14:solidFill>
          </w14:textFill>
        </w:rPr>
        <w:t>》</w:t>
      </w:r>
      <w:r>
        <w:rPr>
          <w:rFonts w:ascii="仿宋" w:hAnsi="仿宋" w:eastAsia="仿宋" w:cs="仿宋"/>
          <w:bCs/>
          <w:color w:val="000000" w:themeColor="text1"/>
          <w:sz w:val="30"/>
          <w:szCs w:val="30"/>
          <w14:textFill>
            <w14:solidFill>
              <w14:schemeClr w14:val="tx1"/>
            </w14:solidFill>
          </w14:textFill>
        </w:rPr>
        <w:t>证书，需提供报名回执表、二寸白底免冠彩色照片（电子版）、身份证（复印件）、学历证书（复印件）各一份。证书可在“国培网人才数据库”查询。</w:t>
      </w:r>
    </w:p>
    <w:p>
      <w:pPr>
        <w:spacing w:line="340" w:lineRule="exact"/>
        <w:rPr>
          <w:rFonts w:ascii="楷体" w:hAnsi="楷体" w:eastAsia="楷体" w:cs="仿宋"/>
          <w:bCs/>
          <w:sz w:val="30"/>
          <w:szCs w:val="30"/>
        </w:rPr>
      </w:pPr>
      <w:r>
        <w:rPr>
          <w:rFonts w:ascii="楷体" w:hAnsi="楷体" w:eastAsia="楷体" w:cs="仿宋"/>
          <w:bCs/>
          <w:sz w:val="30"/>
          <w:szCs w:val="30"/>
        </w:rPr>
        <w:t>（二）联系方式</w:t>
      </w:r>
    </w:p>
    <w:p>
      <w:pPr>
        <w:spacing w:line="340" w:lineRule="exact"/>
        <w:ind w:firstLine="600" w:firstLineChars="200"/>
        <w:jc w:val="lef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报名负责人：聂红军 主任18211071700（微信）   </w:t>
      </w:r>
    </w:p>
    <w:p>
      <w:pPr>
        <w:spacing w:line="340" w:lineRule="exact"/>
        <w:ind w:firstLine="600" w:firstLineChars="200"/>
        <w:jc w:val="lef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电  话：010-87697580      邮    箱：zqgphwz@126.com  </w:t>
      </w:r>
    </w:p>
    <w:p>
      <w:pPr>
        <w:spacing w:line="340" w:lineRule="exact"/>
        <w:ind w:firstLine="600" w:firstLineChars="200"/>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qq咨询：3177524020    网址查询：http://www.zqgpchina.cn/  </w:t>
      </w:r>
    </w:p>
    <w:p>
      <w:pPr>
        <w:pStyle w:val="4"/>
        <w:spacing w:line="340" w:lineRule="exact"/>
        <w:ind w:left="0" w:firstLine="551" w:firstLineChars="196"/>
        <w:rPr>
          <w:rFonts w:hint="eastAsia" w:ascii="楷体" w:hAnsi="楷体" w:eastAsia="楷体" w:cs="黑体"/>
          <w:color w:val="000000"/>
          <w:sz w:val="30"/>
          <w:szCs w:val="30"/>
        </w:rPr>
      </w:pPr>
      <w:r>
        <w:rPr>
          <w:rFonts w:hint="eastAsia" w:ascii="宋体" w:hAnsi="宋体" w:eastAsia="宋体" w:cs="宋体"/>
          <w:b/>
          <w:bCs/>
          <w:color w:val="000000"/>
          <w:sz w:val="28"/>
          <w:szCs w:val="28"/>
          <w:lang w:eastAsia="zh-CN"/>
        </w:rPr>
        <w:drawing>
          <wp:anchor distT="0" distB="0" distL="114300" distR="114300" simplePos="0" relativeHeight="251659264" behindDoc="1" locked="0" layoutInCell="1" allowOverlap="1">
            <wp:simplePos x="0" y="0"/>
            <wp:positionH relativeFrom="column">
              <wp:posOffset>3048000</wp:posOffset>
            </wp:positionH>
            <wp:positionV relativeFrom="paragraph">
              <wp:posOffset>134620</wp:posOffset>
            </wp:positionV>
            <wp:extent cx="1628775" cy="1619250"/>
            <wp:effectExtent l="0" t="0" r="0" b="0"/>
            <wp:wrapNone/>
            <wp:docPr id="1" name="图片 1" descr="39db71508b85c4a370eb72d2df624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db71508b85c4a370eb72d2df6249a"/>
                    <pic:cNvPicPr>
                      <a:picLocks noChangeAspect="1"/>
                    </pic:cNvPicPr>
                  </pic:nvPicPr>
                  <pic:blipFill>
                    <a:blip r:embed="rId5"/>
                    <a:stretch>
                      <a:fillRect/>
                    </a:stretch>
                  </pic:blipFill>
                  <pic:spPr>
                    <a:xfrm>
                      <a:off x="0" y="0"/>
                      <a:ext cx="1628775" cy="1619250"/>
                    </a:xfrm>
                    <a:prstGeom prst="rect">
                      <a:avLst/>
                    </a:prstGeom>
                  </pic:spPr>
                </pic:pic>
              </a:graphicData>
            </a:graphic>
          </wp:anchor>
        </w:drawing>
      </w:r>
    </w:p>
    <w:p>
      <w:pPr>
        <w:pStyle w:val="4"/>
        <w:spacing w:line="340" w:lineRule="exact"/>
        <w:ind w:left="0"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附件：</w:t>
      </w:r>
      <w:r>
        <w:rPr>
          <w:rFonts w:ascii="仿宋" w:hAnsi="仿宋" w:eastAsia="仿宋" w:cs="仿宋"/>
          <w:bCs/>
          <w:color w:val="000000"/>
          <w:sz w:val="30"/>
          <w:szCs w:val="30"/>
        </w:rPr>
        <w:t>1.培训内容</w:t>
      </w:r>
    </w:p>
    <w:p>
      <w:pPr>
        <w:pStyle w:val="4"/>
        <w:spacing w:line="340" w:lineRule="exact"/>
        <w:ind w:left="0" w:firstLine="450" w:firstLineChars="150"/>
        <w:rPr>
          <w:rFonts w:ascii="仿宋" w:hAnsi="仿宋" w:eastAsia="仿宋" w:cs="仿宋"/>
          <w:bCs/>
          <w:color w:val="000000"/>
          <w:sz w:val="28"/>
          <w:szCs w:val="28"/>
        </w:rPr>
      </w:pPr>
      <w:r>
        <w:rPr>
          <w:rFonts w:ascii="仿宋" w:hAnsi="仿宋" w:eastAsia="仿宋" w:cs="仿宋"/>
          <w:bCs/>
          <w:color w:val="000000"/>
          <w:sz w:val="30"/>
          <w:szCs w:val="30"/>
        </w:rPr>
        <w:t xml:space="preserve">       2.报名回执表</w:t>
      </w:r>
    </w:p>
    <w:p>
      <w:pPr>
        <w:spacing w:line="340" w:lineRule="exact"/>
        <w:rPr>
          <w:rFonts w:hint="eastAsia" w:ascii="宋体" w:hAnsi="宋体" w:eastAsia="宋体" w:cs="宋体"/>
          <w:b/>
          <w:bCs/>
          <w:color w:val="000000"/>
          <w:sz w:val="28"/>
          <w:szCs w:val="28"/>
          <w:lang w:eastAsia="zh-CN"/>
        </w:rPr>
      </w:pPr>
    </w:p>
    <w:p>
      <w:pPr>
        <w:spacing w:line="340" w:lineRule="exact"/>
        <w:jc w:val="right"/>
        <w:rPr>
          <w:rFonts w:ascii="仿宋" w:hAnsi="仿宋" w:eastAsia="仿宋" w:cs="仿宋"/>
          <w:bCs/>
          <w:color w:val="000000"/>
          <w:sz w:val="30"/>
          <w:szCs w:val="30"/>
        </w:rPr>
      </w:pPr>
      <w:r>
        <w:rPr>
          <w:rFonts w:hint="eastAsia" w:ascii="仿宋" w:hAnsi="仿宋" w:eastAsia="仿宋" w:cs="仿宋"/>
          <w:bCs/>
          <w:color w:val="000000"/>
          <w:sz w:val="30"/>
          <w:szCs w:val="30"/>
        </w:rPr>
        <w:t>中国投资协会项目投融资专业委员会</w:t>
      </w:r>
    </w:p>
    <w:p>
      <w:pPr>
        <w:spacing w:line="340" w:lineRule="exact"/>
        <w:ind w:firstLine="600" w:firstLineChars="200"/>
        <w:rPr>
          <w:rFonts w:ascii="仿宋" w:hAnsi="仿宋" w:eastAsia="仿宋" w:cs="仿宋"/>
          <w:bCs/>
          <w:color w:val="000000"/>
          <w:sz w:val="32"/>
          <w:szCs w:val="32"/>
        </w:rPr>
      </w:pPr>
      <w:r>
        <w:rPr>
          <w:rFonts w:hint="eastAsia" w:ascii="仿宋" w:hAnsi="仿宋" w:eastAsia="仿宋" w:cs="仿宋"/>
          <w:bCs/>
          <w:color w:val="000000"/>
          <w:sz w:val="30"/>
          <w:szCs w:val="30"/>
        </w:rPr>
        <w:t xml:space="preserve">                             2021年4月21日</w:t>
      </w:r>
    </w:p>
    <w:p>
      <w:pPr>
        <w:spacing w:line="340" w:lineRule="exact"/>
        <w:rPr>
          <w:rFonts w:hint="eastAsia" w:ascii="黑体" w:hAnsi="黑体" w:eastAsia="黑体" w:cs="黑体"/>
          <w:bCs/>
          <w:color w:val="000000"/>
          <w:sz w:val="28"/>
          <w:szCs w:val="28"/>
        </w:rPr>
      </w:pPr>
    </w:p>
    <w:p>
      <w:pPr>
        <w:spacing w:line="340" w:lineRule="exact"/>
        <w:rPr>
          <w:rFonts w:hint="eastAsia" w:ascii="黑体" w:hAnsi="黑体" w:eastAsia="黑体" w:cs="黑体"/>
          <w:bCs/>
          <w:color w:val="000000"/>
          <w:sz w:val="28"/>
          <w:szCs w:val="28"/>
        </w:rPr>
      </w:pPr>
    </w:p>
    <w:p>
      <w:pPr>
        <w:spacing w:line="340" w:lineRule="exact"/>
        <w:rPr>
          <w:rFonts w:ascii="楷体" w:hAnsi="楷体" w:eastAsia="楷体" w:cs="宋体"/>
          <w:bCs/>
          <w:color w:val="000000"/>
          <w:sz w:val="28"/>
          <w:szCs w:val="28"/>
        </w:rPr>
      </w:pPr>
      <w:r>
        <w:rPr>
          <w:rFonts w:hint="eastAsia" w:ascii="黑体" w:hAnsi="黑体" w:eastAsia="黑体" w:cs="黑体"/>
          <w:bCs/>
          <w:color w:val="000000"/>
          <w:sz w:val="28"/>
          <w:szCs w:val="28"/>
        </w:rPr>
        <w:t>附件:1</w:t>
      </w:r>
      <w:r>
        <w:rPr>
          <w:rFonts w:hint="eastAsia" w:ascii="楷体" w:hAnsi="楷体" w:eastAsia="楷体" w:cs="宋体"/>
          <w:bCs/>
          <w:color w:val="000000"/>
          <w:sz w:val="28"/>
          <w:szCs w:val="28"/>
        </w:rPr>
        <w:tab/>
      </w:r>
    </w:p>
    <w:p>
      <w:pPr>
        <w:spacing w:line="340" w:lineRule="exac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培 训 内 容</w:t>
      </w:r>
    </w:p>
    <w:p>
      <w:pPr>
        <w:widowControl/>
        <w:spacing w:line="340" w:lineRule="exact"/>
        <w:rPr>
          <w:rFonts w:ascii="黑体" w:hAnsi="黑体" w:eastAsia="黑体" w:cs="黑体"/>
          <w:bCs/>
          <w:color w:val="000000"/>
          <w:sz w:val="28"/>
          <w:szCs w:val="28"/>
        </w:rPr>
      </w:pPr>
    </w:p>
    <w:p>
      <w:pPr>
        <w:widowControl/>
        <w:spacing w:line="320" w:lineRule="exact"/>
        <w:rPr>
          <w:rFonts w:ascii="黑体" w:hAnsi="黑体" w:eastAsia="黑体" w:cs="黑体"/>
          <w:bCs/>
          <w:color w:val="000000"/>
          <w:sz w:val="28"/>
          <w:szCs w:val="28"/>
        </w:rPr>
      </w:pPr>
      <w:r>
        <w:rPr>
          <w:rFonts w:hint="eastAsia" w:ascii="黑体" w:hAnsi="黑体" w:eastAsia="黑体" w:cs="黑体"/>
          <w:bCs/>
          <w:color w:val="000000"/>
          <w:sz w:val="28"/>
          <w:szCs w:val="28"/>
        </w:rPr>
        <w:t>一、“十四五”规划中城市更新行动解读</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1.城市进化与未来城市：科技、产业、空间与治理</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2.后疫情时代城市规划与治理</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3.历史文化传承与城市有机更新</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4.</w:t>
      </w:r>
      <w:r>
        <w:fldChar w:fldCharType="begin"/>
      </w:r>
      <w:r>
        <w:instrText xml:space="preserve"> HYPERLINK "http://zdpx.zju.edu.cn/zfpx2_1_7134_409.html" </w:instrText>
      </w:r>
      <w:r>
        <w:fldChar w:fldCharType="separate"/>
      </w:r>
      <w:r>
        <w:rPr>
          <w:rFonts w:hint="eastAsia" w:ascii="仿宋" w:hAnsi="仿宋" w:eastAsia="仿宋" w:cs="仿宋_GB2312"/>
          <w:bCs/>
          <w:color w:val="000000"/>
          <w:sz w:val="28"/>
          <w:szCs w:val="28"/>
        </w:rPr>
        <w:t>“十四五</w:t>
      </w:r>
      <w:r>
        <w:rPr>
          <w:rFonts w:hint="eastAsia" w:ascii="仿宋" w:hAnsi="仿宋" w:eastAsia="仿宋" w:cs="仿宋_GB2312"/>
          <w:bCs/>
          <w:color w:val="000000"/>
          <w:sz w:val="28"/>
          <w:szCs w:val="28"/>
        </w:rPr>
        <w:fldChar w:fldCharType="end"/>
      </w:r>
      <w:r>
        <w:rPr>
          <w:rFonts w:hint="eastAsia" w:ascii="仿宋" w:hAnsi="仿宋" w:eastAsia="仿宋" w:cs="仿宋_GB2312"/>
          <w:bCs/>
          <w:color w:val="000000"/>
          <w:sz w:val="28"/>
          <w:szCs w:val="28"/>
        </w:rPr>
        <w:t>”时期城市治理的发展趋势与精细化策略</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5.城市更新—中心城区存量规划，环境价值提升驱动</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6.产业发展转型与空间规划的新路径</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7.城镇化进程中的非遗分类保护</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8.老旧院落整治与城市有机更新</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9.历史街区保护与旧城改造运营</w:t>
      </w:r>
    </w:p>
    <w:p>
      <w:pPr>
        <w:widowControl/>
        <w:spacing w:line="320" w:lineRule="exact"/>
        <w:rPr>
          <w:rFonts w:ascii="黑体" w:hAnsi="黑体" w:eastAsia="黑体" w:cs="黑体"/>
          <w:bCs/>
          <w:color w:val="000000"/>
          <w:sz w:val="28"/>
          <w:szCs w:val="28"/>
        </w:rPr>
      </w:pPr>
      <w:r>
        <w:rPr>
          <w:rFonts w:hint="eastAsia" w:ascii="黑体" w:hAnsi="黑体" w:eastAsia="黑体" w:cs="黑体"/>
          <w:bCs/>
          <w:color w:val="000000"/>
          <w:sz w:val="28"/>
          <w:szCs w:val="28"/>
        </w:rPr>
        <w:t>二、《土地管理法（修正案）》背景下的集体土地征收工作</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1.《土地管理法》的修订历史</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2.《土地管理法（修正案）》的修订原则及思路，主要条款解读</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3.《土地管理法（修正案）》颁布后的配套工作</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4.《土地管理法实施条例(修订草案)》（征求意见稿）相关条款解析</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5.《土地管理法（修正案）》对集体土地征收工作的影响（新旧对比）</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6.《最高人民法院关于审理涉及农村集体土地行政案件若干问题的规定》解读与运用</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7.集体土地征收的法律依据和程序</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8.《土地管理法（修正案）》下土地征收工作的范围、审批权限、补偿标准、补偿类型</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9.城乡统筹中集体建设用地流转面临的新问题及对策</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10.结合案例，阐述历史遗留问题的处理原则、实际操作</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11.区片综合地价的制定与执行</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12.土地补偿费的构成与分配</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13.土地征收安置的主要方式</w:t>
      </w:r>
    </w:p>
    <w:p>
      <w:pPr>
        <w:widowControl/>
        <w:spacing w:line="320" w:lineRule="exact"/>
        <w:rPr>
          <w:rFonts w:ascii="黑体" w:hAnsi="黑体" w:eastAsia="黑体" w:cs="黑体"/>
          <w:bCs/>
          <w:color w:val="000000"/>
          <w:sz w:val="28"/>
          <w:szCs w:val="28"/>
        </w:rPr>
      </w:pPr>
      <w:r>
        <w:rPr>
          <w:rFonts w:hint="eastAsia" w:ascii="黑体" w:hAnsi="黑体" w:eastAsia="黑体" w:cs="黑体"/>
          <w:bCs/>
          <w:color w:val="000000"/>
          <w:sz w:val="28"/>
          <w:szCs w:val="28"/>
        </w:rPr>
        <w:t>三、国有土地上房屋征收补偿规范化管理与疑难问题讲解</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1.房屋征收程序规范化讲解</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（1）房屋征收条件审查</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（2）房屋调查登记与对不当增加补偿费用行为的限制</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（3）制定房屋征收补偿方案</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（4）论证、公布与修改房屋征收补偿方案</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（5）作出房屋征收决定</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（6）房地产价格评估机构选定</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（7）作出补偿决定</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（8）申请人民法院强制执行</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（9）建立房屋征收补偿档案，公开分户补偿情况</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（10）征收过程中公职人员的法律责任</w:t>
      </w:r>
    </w:p>
    <w:p>
      <w:pPr>
        <w:widowControl/>
        <w:spacing w:line="320" w:lineRule="exact"/>
        <w:ind w:firstLine="140" w:firstLineChars="50"/>
        <w:rPr>
          <w:rFonts w:ascii="仿宋" w:hAnsi="仿宋" w:eastAsia="仿宋" w:cs="仿宋_GB2312"/>
          <w:bCs/>
          <w:color w:val="000000"/>
          <w:sz w:val="28"/>
          <w:szCs w:val="28"/>
        </w:rPr>
      </w:pPr>
      <w:r>
        <w:rPr>
          <w:rFonts w:hint="eastAsia" w:ascii="仿宋" w:hAnsi="仿宋" w:eastAsia="仿宋" w:cs="仿宋_GB2312"/>
          <w:bCs/>
          <w:color w:val="000000"/>
          <w:sz w:val="28"/>
          <w:szCs w:val="28"/>
        </w:rPr>
        <w:t>2.房屋征收补偿规范化讲解</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（1）房屋征收补偿方案合法性原则</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（2） “先补偿、后搬迁”原则</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（3）补偿方式选择</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（4）合理确定被征收房屋补偿价值</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（5）搬迁费、临时安置费适时调整</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（6）对被征收人实行奖励和补助</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（7）停产停业损失补偿的原则</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（8）房屋征收中特殊情况依法处理原则</w:t>
      </w:r>
    </w:p>
    <w:p>
      <w:pPr>
        <w:widowControl/>
        <w:spacing w:line="320" w:lineRule="exact"/>
        <w:rPr>
          <w:rFonts w:ascii="仿宋" w:hAnsi="仿宋" w:eastAsia="仿宋" w:cs="仿宋_GB2312"/>
          <w:bCs/>
          <w:color w:val="000000"/>
          <w:sz w:val="28"/>
          <w:szCs w:val="28"/>
        </w:rPr>
      </w:pPr>
      <w:r>
        <w:rPr>
          <w:rFonts w:hint="eastAsia" w:ascii="仿宋" w:hAnsi="仿宋" w:eastAsia="仿宋" w:cs="仿宋_GB2312"/>
          <w:bCs/>
          <w:color w:val="000000"/>
          <w:sz w:val="28"/>
          <w:szCs w:val="28"/>
        </w:rPr>
        <w:t>（9）房屋征收中国有土地使用权收回的原则</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 3.将公平补偿、依法强制拆迁运用到和谐拆迁的实际操作中</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 4.征收拆迁策划中如何应对被征收人的抵触情绪</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 5.征收过程中必须在七个方面做到的公开、公告、公布</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 6.特殊类型房屋的形成及补偿</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 7.多重复合奖励机制</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 8.房屋征收范围确定后的行为限制程序</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 9.级危房认定方法在房屋征收拆迁中的应用</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10.八种合法的强制方法及强拆预案的八个要点</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11.各地房屋征收与补偿经验交流</w:t>
      </w:r>
    </w:p>
    <w:p>
      <w:pPr>
        <w:widowControl/>
        <w:spacing w:line="320" w:lineRule="exact"/>
        <w:ind w:firstLine="280" w:firstLineChars="100"/>
        <w:rPr>
          <w:rFonts w:ascii="黑体" w:hAnsi="黑体" w:eastAsia="黑体" w:cs="黑体"/>
          <w:bCs/>
          <w:color w:val="000000"/>
          <w:sz w:val="28"/>
          <w:szCs w:val="28"/>
        </w:rPr>
      </w:pPr>
      <w:r>
        <w:rPr>
          <w:rFonts w:hint="eastAsia" w:ascii="黑体" w:hAnsi="黑体" w:eastAsia="黑体" w:cs="黑体"/>
          <w:bCs/>
          <w:color w:val="000000"/>
          <w:sz w:val="28"/>
          <w:szCs w:val="28"/>
        </w:rPr>
        <w:t>四、城管综合执法与违法建设治理实务</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1.《城市管理行政执法文书示范文本(试行)》解析</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2.城乡规划执法与违法建设的认定及处理实务操作</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3.违法建设治理中行政处罚操作实务</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4.违法建设综合治理法律程序解析</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5.违法建设治理中行政强制操作实务</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6.违法建设治理中相关难点问题</w:t>
      </w:r>
    </w:p>
    <w:p>
      <w:pPr>
        <w:widowControl/>
        <w:spacing w:line="320" w:lineRule="exact"/>
        <w:ind w:firstLine="280" w:firstLineChars="100"/>
        <w:rPr>
          <w:rFonts w:ascii="黑体" w:hAnsi="黑体" w:eastAsia="黑体" w:cs="黑体"/>
          <w:bCs/>
          <w:color w:val="000000"/>
          <w:sz w:val="28"/>
          <w:szCs w:val="28"/>
        </w:rPr>
      </w:pPr>
      <w:r>
        <w:rPr>
          <w:rFonts w:hint="eastAsia" w:ascii="黑体" w:hAnsi="黑体" w:eastAsia="黑体" w:cs="黑体"/>
          <w:bCs/>
          <w:color w:val="000000"/>
          <w:sz w:val="28"/>
          <w:szCs w:val="28"/>
        </w:rPr>
        <w:t>五、违法建设及违法占地治理实务</w:t>
      </w:r>
    </w:p>
    <w:p>
      <w:pPr>
        <w:widowControl/>
        <w:spacing w:line="320" w:lineRule="exact"/>
        <w:ind w:left="281" w:leftChars="134"/>
        <w:rPr>
          <w:rFonts w:ascii="仿宋" w:hAnsi="仿宋" w:eastAsia="仿宋" w:cs="仿宋_GB2312"/>
          <w:bCs/>
          <w:color w:val="000000"/>
          <w:sz w:val="28"/>
          <w:szCs w:val="28"/>
        </w:rPr>
      </w:pPr>
      <w:r>
        <w:rPr>
          <w:rFonts w:hint="eastAsia" w:ascii="仿宋" w:hAnsi="仿宋" w:eastAsia="仿宋" w:cs="仿宋_GB2312"/>
          <w:bCs/>
          <w:color w:val="000000"/>
          <w:sz w:val="28"/>
          <w:szCs w:val="28"/>
        </w:rPr>
        <w:t>1.违法建设及违法占地治理中案件立案、调查取证、行政强制措施、行政处罚及行政强制执行阶段相关法律、法规的理解与准确适用及难点解析</w:t>
      </w:r>
    </w:p>
    <w:p>
      <w:pPr>
        <w:widowControl/>
        <w:spacing w:line="320" w:lineRule="exact"/>
        <w:ind w:left="281" w:leftChars="134"/>
        <w:rPr>
          <w:rFonts w:ascii="仿宋" w:hAnsi="仿宋" w:eastAsia="仿宋" w:cs="仿宋_GB2312"/>
          <w:bCs/>
          <w:color w:val="000000"/>
          <w:sz w:val="28"/>
          <w:szCs w:val="28"/>
        </w:rPr>
      </w:pPr>
      <w:r>
        <w:rPr>
          <w:rFonts w:hint="eastAsia" w:ascii="仿宋" w:hAnsi="仿宋" w:eastAsia="仿宋" w:cs="仿宋_GB2312"/>
          <w:bCs/>
          <w:color w:val="000000"/>
          <w:sz w:val="28"/>
          <w:szCs w:val="28"/>
        </w:rPr>
        <w:t>2.两违执法中行政处罚的法定程序（立案、调查、违法建筑的确认、取证、告知申辩、听证、集体讨论决定等）及操作规范</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3.两违执法中法律文书的送达方式及操作</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4.城中村、城乡结合部违法建设治理实务操作</w:t>
      </w:r>
    </w:p>
    <w:p>
      <w:pPr>
        <w:widowControl/>
        <w:spacing w:line="320" w:lineRule="exact"/>
        <w:ind w:left="281" w:leftChars="134"/>
        <w:rPr>
          <w:rFonts w:ascii="仿宋" w:hAnsi="仿宋" w:eastAsia="仿宋" w:cs="仿宋_GB2312"/>
          <w:bCs/>
          <w:color w:val="000000"/>
          <w:sz w:val="28"/>
          <w:szCs w:val="28"/>
        </w:rPr>
      </w:pPr>
      <w:r>
        <w:rPr>
          <w:rFonts w:hint="eastAsia" w:ascii="仿宋" w:hAnsi="仿宋" w:eastAsia="仿宋" w:cs="仿宋_GB2312"/>
          <w:bCs/>
          <w:color w:val="000000"/>
          <w:sz w:val="28"/>
          <w:szCs w:val="28"/>
        </w:rPr>
        <w:t>5.行政强拆下建设、自然资源、综合执法、公安等部门协调衔接机制</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6.抗法事件现场解围战术以及群体性抗法事件应急处置对策</w:t>
      </w:r>
    </w:p>
    <w:p>
      <w:pPr>
        <w:widowControl/>
        <w:spacing w:line="320" w:lineRule="exact"/>
        <w:ind w:left="281" w:leftChars="134"/>
        <w:rPr>
          <w:rFonts w:ascii="仿宋" w:hAnsi="仿宋" w:eastAsia="仿宋" w:cs="仿宋_GB2312"/>
          <w:bCs/>
          <w:color w:val="000000"/>
          <w:sz w:val="28"/>
          <w:szCs w:val="28"/>
        </w:rPr>
      </w:pPr>
      <w:r>
        <w:rPr>
          <w:rFonts w:hint="eastAsia" w:ascii="仿宋" w:hAnsi="仿宋" w:eastAsia="仿宋" w:cs="仿宋_GB2312"/>
          <w:bCs/>
          <w:color w:val="000000"/>
          <w:sz w:val="28"/>
          <w:szCs w:val="28"/>
        </w:rPr>
        <w:t>7.发现违法建设当场拆除是否违法，完全按执法程序进行，违法建筑已形成，拆除难度更大，如何解决</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8.规划两违执法两面受压的应对</w:t>
      </w:r>
    </w:p>
    <w:p>
      <w:pPr>
        <w:widowControl/>
        <w:spacing w:line="320" w:lineRule="exact"/>
        <w:ind w:firstLine="280" w:firstLineChars="10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（1）行政复议与行政诉讼</w:t>
      </w:r>
    </w:p>
    <w:p>
      <w:pPr>
        <w:widowControl/>
        <w:spacing w:line="320" w:lineRule="exact"/>
        <w:ind w:firstLine="280" w:firstLineChars="100"/>
        <w:rPr>
          <w:rFonts w:ascii="仿宋" w:hAnsi="仿宋" w:eastAsia="仿宋" w:cs="仿宋_GB2312"/>
          <w:bCs/>
          <w:color w:val="000000"/>
          <w:sz w:val="28"/>
          <w:szCs w:val="28"/>
        </w:rPr>
      </w:pPr>
      <w:r>
        <w:rPr>
          <w:rFonts w:hint="eastAsia" w:ascii="仿宋" w:hAnsi="仿宋" w:eastAsia="仿宋" w:cs="仿宋_GB2312"/>
          <w:bCs/>
          <w:color w:val="000000"/>
          <w:sz w:val="28"/>
          <w:szCs w:val="28"/>
        </w:rPr>
        <w:t>（2）纪委监察委渎职查处</w:t>
      </w:r>
    </w:p>
    <w:p>
      <w:pPr>
        <w:widowControl/>
        <w:spacing w:line="320" w:lineRule="exact"/>
        <w:ind w:firstLine="280" w:firstLineChars="100"/>
        <w:rPr>
          <w:rFonts w:hint="eastAsia" w:ascii="黑体" w:hAnsi="黑体" w:eastAsia="黑体" w:cs="黑体"/>
          <w:bCs/>
          <w:color w:val="000000"/>
          <w:sz w:val="28"/>
          <w:szCs w:val="28"/>
        </w:rPr>
      </w:pPr>
      <w:r>
        <w:rPr>
          <w:rFonts w:hint="eastAsia" w:ascii="黑体" w:hAnsi="黑体" w:eastAsia="黑体" w:cs="黑体"/>
          <w:bCs/>
          <w:color w:val="000000"/>
          <w:sz w:val="28"/>
          <w:szCs w:val="28"/>
        </w:rPr>
        <w:t>六、土地及房屋征收信访处理与矛盾纠纷化解</w:t>
      </w:r>
    </w:p>
    <w:p>
      <w:pPr>
        <w:widowControl/>
        <w:spacing w:line="320" w:lineRule="exact"/>
        <w:ind w:firstLine="280" w:firstLineChars="100"/>
        <w:rPr>
          <w:rFonts w:hint="eastAsia" w:ascii="黑体" w:hAnsi="黑体" w:eastAsia="黑体" w:cs="黑体"/>
          <w:bCs/>
          <w:color w:val="000000"/>
          <w:sz w:val="28"/>
          <w:szCs w:val="28"/>
        </w:rPr>
      </w:pPr>
    </w:p>
    <w:p>
      <w:pPr>
        <w:widowControl/>
        <w:spacing w:line="500" w:lineRule="exact"/>
        <w:rPr>
          <w:rStyle w:val="12"/>
          <w:rFonts w:hint="eastAsia" w:ascii="宋体" w:hAnsi="宋体" w:eastAsia="宋体" w:cs="宋体"/>
          <w:b/>
          <w:bCs w:val="0"/>
          <w:color w:val="000000"/>
          <w:sz w:val="28"/>
          <w:szCs w:val="28"/>
        </w:rPr>
      </w:pPr>
      <w:r>
        <w:rPr>
          <w:rStyle w:val="12"/>
          <w:rFonts w:hint="eastAsia" w:ascii="宋体" w:hAnsi="宋体" w:eastAsia="宋体" w:cs="宋体"/>
          <w:b/>
          <w:bCs w:val="0"/>
          <w:color w:val="000000"/>
          <w:sz w:val="28"/>
          <w:szCs w:val="28"/>
        </w:rPr>
        <w:t>附件：2</w:t>
      </w:r>
    </w:p>
    <w:p>
      <w:pPr>
        <w:widowControl/>
        <w:spacing w:line="500" w:lineRule="exact"/>
        <w:jc w:val="center"/>
        <w:rPr>
          <w:rFonts w:ascii="宋体" w:hAnsi="宋体" w:eastAsia="宋体" w:cs="宋体"/>
          <w:b/>
          <w:sz w:val="28"/>
          <w:szCs w:val="28"/>
        </w:rPr>
      </w:pPr>
      <w:r>
        <w:rPr>
          <w:rFonts w:hint="eastAsia" w:ascii="宋体" w:hAnsi="宋体" w:eastAsia="宋体" w:cs="宋体"/>
          <w:b/>
          <w:sz w:val="28"/>
          <w:szCs w:val="28"/>
        </w:rPr>
        <w:t>城市更新与土地 房屋征收补偿安置及</w:t>
      </w:r>
    </w:p>
    <w:p>
      <w:pPr>
        <w:widowControl/>
        <w:spacing w:line="500" w:lineRule="exact"/>
        <w:jc w:val="center"/>
        <w:rPr>
          <w:rStyle w:val="12"/>
          <w:rFonts w:ascii="宋体" w:hAnsi="宋体" w:eastAsia="宋体" w:cs="宋体"/>
          <w:bCs w:val="0"/>
          <w:color w:val="000000"/>
          <w:sz w:val="24"/>
          <w:szCs w:val="24"/>
          <w:lang w:val="zh-CN"/>
        </w:rPr>
      </w:pPr>
      <w:r>
        <w:rPr>
          <w:rFonts w:hint="eastAsia" w:ascii="宋体" w:hAnsi="宋体" w:eastAsia="宋体" w:cs="宋体"/>
          <w:b/>
          <w:sz w:val="28"/>
          <w:szCs w:val="28"/>
        </w:rPr>
        <w:t>“两违”综合执法专题培训班回执表</w:t>
      </w:r>
    </w:p>
    <w:tbl>
      <w:tblPr>
        <w:tblStyle w:val="10"/>
        <w:tblpPr w:leftFromText="180" w:rightFromText="180" w:vertAnchor="page" w:horzAnchor="page" w:tblpX="1235" w:tblpY="338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49"/>
        <w:gridCol w:w="1282"/>
        <w:gridCol w:w="1984"/>
        <w:gridCol w:w="157"/>
        <w:gridCol w:w="762"/>
        <w:gridCol w:w="234"/>
        <w:gridCol w:w="541"/>
        <w:gridCol w:w="2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3" w:type="dxa"/>
            <w:vAlign w:val="center"/>
          </w:tcPr>
          <w:p>
            <w:pPr>
              <w:widowControl/>
              <w:spacing w:line="500" w:lineRule="exact"/>
              <w:jc w:val="center"/>
              <w:rPr>
                <w:rFonts w:ascii="仿宋" w:hAnsi="仿宋" w:eastAsia="仿宋" w:cs="宋体"/>
                <w:sz w:val="24"/>
                <w:szCs w:val="24"/>
              </w:rPr>
            </w:pPr>
            <w:r>
              <w:rPr>
                <w:rFonts w:hint="eastAsia" w:ascii="仿宋" w:hAnsi="仿宋" w:eastAsia="仿宋" w:cs="宋体"/>
                <w:sz w:val="24"/>
                <w:szCs w:val="24"/>
              </w:rPr>
              <w:t>单位名称</w:t>
            </w:r>
          </w:p>
        </w:tc>
        <w:tc>
          <w:tcPr>
            <w:tcW w:w="5034" w:type="dxa"/>
            <w:gridSpan w:val="5"/>
            <w:vAlign w:val="center"/>
          </w:tcPr>
          <w:p>
            <w:pPr>
              <w:spacing w:line="500" w:lineRule="exact"/>
              <w:ind w:right="-147" w:rightChars="-70"/>
              <w:jc w:val="center"/>
              <w:rPr>
                <w:rFonts w:ascii="仿宋" w:hAnsi="仿宋" w:eastAsia="仿宋" w:cs="宋体"/>
                <w:sz w:val="24"/>
                <w:szCs w:val="24"/>
              </w:rPr>
            </w:pPr>
          </w:p>
        </w:tc>
        <w:tc>
          <w:tcPr>
            <w:tcW w:w="775" w:type="dxa"/>
            <w:gridSpan w:val="2"/>
            <w:vAlign w:val="center"/>
          </w:tcPr>
          <w:p>
            <w:pPr>
              <w:spacing w:line="500" w:lineRule="exact"/>
              <w:ind w:right="-147" w:rightChars="-70"/>
              <w:rPr>
                <w:rFonts w:ascii="仿宋" w:hAnsi="仿宋" w:eastAsia="仿宋" w:cs="宋体"/>
                <w:sz w:val="24"/>
                <w:szCs w:val="24"/>
              </w:rPr>
            </w:pPr>
            <w:r>
              <w:rPr>
                <w:rFonts w:hint="eastAsia" w:ascii="仿宋" w:hAnsi="仿宋" w:eastAsia="仿宋" w:cs="宋体"/>
                <w:sz w:val="24"/>
                <w:szCs w:val="24"/>
              </w:rPr>
              <w:t>邮编</w:t>
            </w:r>
          </w:p>
        </w:tc>
        <w:tc>
          <w:tcPr>
            <w:tcW w:w="2275" w:type="dxa"/>
            <w:gridSpan w:val="2"/>
            <w:vAlign w:val="center"/>
          </w:tcPr>
          <w:p>
            <w:pPr>
              <w:spacing w:line="500" w:lineRule="exact"/>
              <w:ind w:right="-147" w:rightChars="-70" w:firstLine="96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3"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单位地址</w:t>
            </w:r>
          </w:p>
        </w:tc>
        <w:tc>
          <w:tcPr>
            <w:tcW w:w="8084" w:type="dxa"/>
            <w:gridSpan w:val="9"/>
            <w:vAlign w:val="center"/>
          </w:tcPr>
          <w:p>
            <w:pPr>
              <w:spacing w:line="500" w:lineRule="exact"/>
              <w:ind w:right="-147" w:rightChars="-70" w:firstLine="96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联系人</w:t>
            </w:r>
          </w:p>
        </w:tc>
        <w:tc>
          <w:tcPr>
            <w:tcW w:w="2131" w:type="dxa"/>
            <w:gridSpan w:val="2"/>
            <w:vAlign w:val="center"/>
          </w:tcPr>
          <w:p>
            <w:pPr>
              <w:spacing w:line="500" w:lineRule="exact"/>
              <w:ind w:right="-147" w:rightChars="-70" w:firstLine="960"/>
              <w:rPr>
                <w:rFonts w:ascii="仿宋" w:hAnsi="仿宋" w:eastAsia="仿宋" w:cs="宋体"/>
                <w:sz w:val="24"/>
                <w:szCs w:val="24"/>
              </w:rPr>
            </w:pPr>
          </w:p>
        </w:tc>
        <w:tc>
          <w:tcPr>
            <w:tcW w:w="2903" w:type="dxa"/>
            <w:gridSpan w:val="3"/>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部门职务</w:t>
            </w:r>
          </w:p>
        </w:tc>
        <w:tc>
          <w:tcPr>
            <w:tcW w:w="3050" w:type="dxa"/>
            <w:gridSpan w:val="4"/>
            <w:vAlign w:val="center"/>
          </w:tcPr>
          <w:p>
            <w:pPr>
              <w:spacing w:line="500" w:lineRule="exact"/>
              <w:ind w:right="-147" w:rightChars="-70" w:firstLine="96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3"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办公电话</w:t>
            </w:r>
          </w:p>
        </w:tc>
        <w:tc>
          <w:tcPr>
            <w:tcW w:w="2131" w:type="dxa"/>
            <w:gridSpan w:val="2"/>
            <w:vAlign w:val="center"/>
          </w:tcPr>
          <w:p>
            <w:pPr>
              <w:spacing w:line="500" w:lineRule="exact"/>
              <w:ind w:right="-147" w:rightChars="-70"/>
              <w:rPr>
                <w:rFonts w:ascii="仿宋" w:hAnsi="仿宋" w:eastAsia="仿宋" w:cs="宋体"/>
                <w:sz w:val="24"/>
                <w:szCs w:val="24"/>
              </w:rPr>
            </w:pPr>
          </w:p>
        </w:tc>
        <w:tc>
          <w:tcPr>
            <w:tcW w:w="2903" w:type="dxa"/>
            <w:gridSpan w:val="3"/>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手    机</w:t>
            </w:r>
          </w:p>
        </w:tc>
        <w:tc>
          <w:tcPr>
            <w:tcW w:w="3050" w:type="dxa"/>
            <w:gridSpan w:val="4"/>
            <w:vAlign w:val="center"/>
          </w:tcPr>
          <w:p>
            <w:pPr>
              <w:spacing w:line="500" w:lineRule="exact"/>
              <w:ind w:right="-147" w:rightChars="-70" w:firstLine="96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传   真</w:t>
            </w:r>
          </w:p>
        </w:tc>
        <w:tc>
          <w:tcPr>
            <w:tcW w:w="2131" w:type="dxa"/>
            <w:gridSpan w:val="2"/>
            <w:vAlign w:val="center"/>
          </w:tcPr>
          <w:p>
            <w:pPr>
              <w:spacing w:line="500" w:lineRule="exact"/>
              <w:ind w:right="-147" w:rightChars="-70"/>
              <w:rPr>
                <w:rFonts w:ascii="仿宋" w:hAnsi="仿宋" w:eastAsia="仿宋" w:cs="宋体"/>
                <w:sz w:val="24"/>
                <w:szCs w:val="24"/>
              </w:rPr>
            </w:pPr>
          </w:p>
        </w:tc>
        <w:tc>
          <w:tcPr>
            <w:tcW w:w="2903" w:type="dxa"/>
            <w:gridSpan w:val="3"/>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电子信箱</w:t>
            </w:r>
          </w:p>
        </w:tc>
        <w:tc>
          <w:tcPr>
            <w:tcW w:w="3050" w:type="dxa"/>
            <w:gridSpan w:val="4"/>
            <w:vAlign w:val="center"/>
          </w:tcPr>
          <w:p>
            <w:pPr>
              <w:spacing w:line="500" w:lineRule="exact"/>
              <w:ind w:right="-147" w:rightChars="-70" w:firstLine="96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3"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参加培训人员</w:t>
            </w:r>
          </w:p>
        </w:tc>
        <w:tc>
          <w:tcPr>
            <w:tcW w:w="849"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性别</w:t>
            </w:r>
          </w:p>
        </w:tc>
        <w:tc>
          <w:tcPr>
            <w:tcW w:w="1282"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职务</w:t>
            </w:r>
          </w:p>
        </w:tc>
        <w:tc>
          <w:tcPr>
            <w:tcW w:w="1984"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电话</w:t>
            </w:r>
          </w:p>
        </w:tc>
        <w:tc>
          <w:tcPr>
            <w:tcW w:w="1985" w:type="dxa"/>
            <w:gridSpan w:val="5"/>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手机</w:t>
            </w:r>
          </w:p>
        </w:tc>
        <w:tc>
          <w:tcPr>
            <w:tcW w:w="1984"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spacing w:line="500" w:lineRule="exact"/>
              <w:ind w:right="-147" w:rightChars="-70"/>
              <w:rPr>
                <w:rFonts w:ascii="仿宋" w:hAnsi="仿宋" w:eastAsia="仿宋" w:cs="宋体"/>
                <w:sz w:val="24"/>
                <w:szCs w:val="24"/>
              </w:rPr>
            </w:pPr>
          </w:p>
        </w:tc>
        <w:tc>
          <w:tcPr>
            <w:tcW w:w="849" w:type="dxa"/>
            <w:vAlign w:val="center"/>
          </w:tcPr>
          <w:p>
            <w:pPr>
              <w:spacing w:line="500" w:lineRule="exact"/>
              <w:ind w:right="-147" w:rightChars="-70"/>
              <w:rPr>
                <w:rFonts w:ascii="仿宋" w:hAnsi="仿宋" w:eastAsia="仿宋" w:cs="宋体"/>
                <w:sz w:val="24"/>
                <w:szCs w:val="24"/>
              </w:rPr>
            </w:pPr>
          </w:p>
        </w:tc>
        <w:tc>
          <w:tcPr>
            <w:tcW w:w="1282" w:type="dxa"/>
            <w:vAlign w:val="center"/>
          </w:tcPr>
          <w:p>
            <w:pPr>
              <w:spacing w:line="500" w:lineRule="exact"/>
              <w:ind w:right="-147" w:rightChars="-70"/>
              <w:rPr>
                <w:rFonts w:ascii="仿宋" w:hAnsi="仿宋" w:eastAsia="仿宋" w:cs="宋体"/>
                <w:sz w:val="24"/>
                <w:szCs w:val="24"/>
              </w:rPr>
            </w:pPr>
          </w:p>
        </w:tc>
        <w:tc>
          <w:tcPr>
            <w:tcW w:w="1984" w:type="dxa"/>
            <w:vAlign w:val="center"/>
          </w:tcPr>
          <w:p>
            <w:pPr>
              <w:spacing w:line="500" w:lineRule="exact"/>
              <w:ind w:right="-147" w:rightChars="-70"/>
              <w:rPr>
                <w:rFonts w:ascii="仿宋" w:hAnsi="仿宋" w:eastAsia="仿宋" w:cs="宋体"/>
                <w:sz w:val="24"/>
                <w:szCs w:val="24"/>
              </w:rPr>
            </w:pPr>
          </w:p>
        </w:tc>
        <w:tc>
          <w:tcPr>
            <w:tcW w:w="1985" w:type="dxa"/>
            <w:gridSpan w:val="5"/>
            <w:vAlign w:val="center"/>
          </w:tcPr>
          <w:p>
            <w:pPr>
              <w:spacing w:line="500" w:lineRule="exact"/>
              <w:ind w:right="-147" w:rightChars="-70"/>
              <w:rPr>
                <w:rFonts w:ascii="仿宋" w:hAnsi="仿宋" w:eastAsia="仿宋" w:cs="宋体"/>
                <w:sz w:val="24"/>
                <w:szCs w:val="24"/>
              </w:rPr>
            </w:pPr>
          </w:p>
        </w:tc>
        <w:tc>
          <w:tcPr>
            <w:tcW w:w="1984" w:type="dxa"/>
            <w:vAlign w:val="center"/>
          </w:tcPr>
          <w:p>
            <w:pPr>
              <w:spacing w:line="500" w:lineRule="exact"/>
              <w:ind w:right="-147" w:rightChars="-7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spacing w:line="500" w:lineRule="exact"/>
              <w:ind w:right="-147" w:rightChars="-70"/>
              <w:rPr>
                <w:rFonts w:ascii="仿宋" w:hAnsi="仿宋" w:eastAsia="仿宋" w:cs="宋体"/>
                <w:sz w:val="24"/>
                <w:szCs w:val="24"/>
              </w:rPr>
            </w:pPr>
          </w:p>
        </w:tc>
        <w:tc>
          <w:tcPr>
            <w:tcW w:w="849" w:type="dxa"/>
            <w:vAlign w:val="center"/>
          </w:tcPr>
          <w:p>
            <w:pPr>
              <w:spacing w:line="500" w:lineRule="exact"/>
              <w:ind w:right="-147" w:rightChars="-70"/>
              <w:rPr>
                <w:rFonts w:ascii="仿宋" w:hAnsi="仿宋" w:eastAsia="仿宋" w:cs="宋体"/>
                <w:sz w:val="24"/>
                <w:szCs w:val="24"/>
              </w:rPr>
            </w:pPr>
          </w:p>
        </w:tc>
        <w:tc>
          <w:tcPr>
            <w:tcW w:w="1282" w:type="dxa"/>
            <w:vAlign w:val="center"/>
          </w:tcPr>
          <w:p>
            <w:pPr>
              <w:spacing w:line="500" w:lineRule="exact"/>
              <w:ind w:right="-147" w:rightChars="-70"/>
              <w:rPr>
                <w:rFonts w:ascii="仿宋" w:hAnsi="仿宋" w:eastAsia="仿宋" w:cs="宋体"/>
                <w:sz w:val="24"/>
                <w:szCs w:val="24"/>
              </w:rPr>
            </w:pPr>
          </w:p>
        </w:tc>
        <w:tc>
          <w:tcPr>
            <w:tcW w:w="1984" w:type="dxa"/>
            <w:vAlign w:val="center"/>
          </w:tcPr>
          <w:p>
            <w:pPr>
              <w:spacing w:line="500" w:lineRule="exact"/>
              <w:ind w:right="-147" w:rightChars="-70"/>
              <w:rPr>
                <w:rFonts w:ascii="仿宋" w:hAnsi="仿宋" w:eastAsia="仿宋" w:cs="宋体"/>
                <w:sz w:val="24"/>
                <w:szCs w:val="24"/>
              </w:rPr>
            </w:pPr>
          </w:p>
        </w:tc>
        <w:tc>
          <w:tcPr>
            <w:tcW w:w="1985" w:type="dxa"/>
            <w:gridSpan w:val="5"/>
            <w:vAlign w:val="center"/>
          </w:tcPr>
          <w:p>
            <w:pPr>
              <w:spacing w:line="500" w:lineRule="exact"/>
              <w:ind w:right="-147" w:rightChars="-70"/>
              <w:rPr>
                <w:rFonts w:ascii="仿宋" w:hAnsi="仿宋" w:eastAsia="仿宋" w:cs="宋体"/>
                <w:sz w:val="24"/>
                <w:szCs w:val="24"/>
              </w:rPr>
            </w:pPr>
          </w:p>
        </w:tc>
        <w:tc>
          <w:tcPr>
            <w:tcW w:w="1984" w:type="dxa"/>
            <w:vAlign w:val="center"/>
          </w:tcPr>
          <w:p>
            <w:pPr>
              <w:spacing w:line="500" w:lineRule="exact"/>
              <w:ind w:right="-147" w:rightChars="-7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spacing w:line="500" w:lineRule="exact"/>
              <w:ind w:right="-147" w:rightChars="-70"/>
              <w:rPr>
                <w:rFonts w:ascii="仿宋" w:hAnsi="仿宋" w:eastAsia="仿宋" w:cs="宋体"/>
                <w:sz w:val="24"/>
                <w:szCs w:val="24"/>
              </w:rPr>
            </w:pPr>
          </w:p>
        </w:tc>
        <w:tc>
          <w:tcPr>
            <w:tcW w:w="849" w:type="dxa"/>
            <w:vAlign w:val="center"/>
          </w:tcPr>
          <w:p>
            <w:pPr>
              <w:spacing w:line="500" w:lineRule="exact"/>
              <w:ind w:right="-147" w:rightChars="-70"/>
              <w:rPr>
                <w:rFonts w:ascii="仿宋" w:hAnsi="仿宋" w:eastAsia="仿宋" w:cs="宋体"/>
                <w:sz w:val="24"/>
                <w:szCs w:val="24"/>
              </w:rPr>
            </w:pPr>
          </w:p>
        </w:tc>
        <w:tc>
          <w:tcPr>
            <w:tcW w:w="1282" w:type="dxa"/>
            <w:vAlign w:val="center"/>
          </w:tcPr>
          <w:p>
            <w:pPr>
              <w:spacing w:line="500" w:lineRule="exact"/>
              <w:ind w:right="-147" w:rightChars="-70"/>
              <w:rPr>
                <w:rFonts w:ascii="仿宋" w:hAnsi="仿宋" w:eastAsia="仿宋" w:cs="宋体"/>
                <w:sz w:val="24"/>
                <w:szCs w:val="24"/>
              </w:rPr>
            </w:pPr>
          </w:p>
        </w:tc>
        <w:tc>
          <w:tcPr>
            <w:tcW w:w="1984" w:type="dxa"/>
            <w:vAlign w:val="center"/>
          </w:tcPr>
          <w:p>
            <w:pPr>
              <w:spacing w:line="500" w:lineRule="exact"/>
              <w:ind w:right="-147" w:rightChars="-70"/>
              <w:rPr>
                <w:rFonts w:ascii="仿宋" w:hAnsi="仿宋" w:eastAsia="仿宋" w:cs="宋体"/>
                <w:sz w:val="24"/>
                <w:szCs w:val="24"/>
              </w:rPr>
            </w:pPr>
          </w:p>
        </w:tc>
        <w:tc>
          <w:tcPr>
            <w:tcW w:w="1985" w:type="dxa"/>
            <w:gridSpan w:val="5"/>
            <w:vAlign w:val="center"/>
          </w:tcPr>
          <w:p>
            <w:pPr>
              <w:spacing w:line="500" w:lineRule="exact"/>
              <w:ind w:right="-147" w:rightChars="-70"/>
              <w:rPr>
                <w:rFonts w:ascii="仿宋" w:hAnsi="仿宋" w:eastAsia="仿宋" w:cs="宋体"/>
                <w:sz w:val="24"/>
                <w:szCs w:val="24"/>
              </w:rPr>
            </w:pPr>
          </w:p>
        </w:tc>
        <w:tc>
          <w:tcPr>
            <w:tcW w:w="1984" w:type="dxa"/>
            <w:vAlign w:val="center"/>
          </w:tcPr>
          <w:p>
            <w:pPr>
              <w:spacing w:line="500" w:lineRule="exact"/>
              <w:ind w:right="-147" w:rightChars="-70"/>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spacing w:line="360" w:lineRule="exact"/>
              <w:ind w:right="-147" w:rightChars="-70"/>
              <w:jc w:val="center"/>
              <w:rPr>
                <w:rFonts w:ascii="仿宋" w:hAnsi="仿宋" w:eastAsia="仿宋" w:cs="宋体"/>
                <w:sz w:val="24"/>
                <w:szCs w:val="24"/>
              </w:rPr>
            </w:pPr>
            <w:r>
              <w:rPr>
                <w:rFonts w:hint="eastAsia" w:ascii="仿宋" w:hAnsi="仿宋" w:eastAsia="仿宋" w:cs="宋体"/>
                <w:sz w:val="24"/>
                <w:szCs w:val="24"/>
              </w:rPr>
              <w:t>是否住宿</w:t>
            </w:r>
          </w:p>
        </w:tc>
        <w:tc>
          <w:tcPr>
            <w:tcW w:w="2131" w:type="dxa"/>
            <w:gridSpan w:val="2"/>
            <w:vAlign w:val="center"/>
          </w:tcPr>
          <w:p>
            <w:pPr>
              <w:widowControl/>
              <w:spacing w:line="360" w:lineRule="exact"/>
              <w:ind w:right="-147" w:rightChars="-70" w:firstLine="240" w:firstLineChars="100"/>
              <w:rPr>
                <w:rFonts w:ascii="仿宋" w:hAnsi="仿宋" w:eastAsia="仿宋" w:cs="宋体"/>
                <w:sz w:val="24"/>
                <w:szCs w:val="24"/>
              </w:rPr>
            </w:pPr>
            <w:r>
              <w:rPr>
                <w:rFonts w:hint="eastAsia" w:ascii="仿宋" w:hAnsi="仿宋" w:eastAsia="仿宋" w:cs="宋体"/>
                <w:sz w:val="24"/>
                <w:szCs w:val="24"/>
              </w:rPr>
              <w:t>□是     □否</w:t>
            </w:r>
          </w:p>
        </w:tc>
        <w:tc>
          <w:tcPr>
            <w:tcW w:w="1984"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住宿标准</w:t>
            </w:r>
          </w:p>
        </w:tc>
        <w:tc>
          <w:tcPr>
            <w:tcW w:w="3969" w:type="dxa"/>
            <w:gridSpan w:val="6"/>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spacing w:line="360" w:lineRule="exact"/>
              <w:ind w:right="-147" w:rightChars="-70"/>
              <w:jc w:val="center"/>
              <w:rPr>
                <w:rFonts w:ascii="仿宋" w:hAnsi="仿宋" w:eastAsia="仿宋" w:cs="宋体"/>
                <w:sz w:val="24"/>
                <w:szCs w:val="24"/>
              </w:rPr>
            </w:pPr>
            <w:r>
              <w:rPr>
                <w:rFonts w:hint="eastAsia" w:ascii="仿宋" w:hAnsi="仿宋" w:eastAsia="仿宋" w:cs="宋体"/>
                <w:sz w:val="24"/>
                <w:szCs w:val="24"/>
              </w:rPr>
              <w:t>参会地点</w:t>
            </w:r>
          </w:p>
        </w:tc>
        <w:tc>
          <w:tcPr>
            <w:tcW w:w="2131" w:type="dxa"/>
            <w:gridSpan w:val="2"/>
            <w:vAlign w:val="center"/>
          </w:tcPr>
          <w:p>
            <w:pPr>
              <w:spacing w:line="500" w:lineRule="exact"/>
              <w:ind w:right="-147" w:rightChars="-70"/>
              <w:jc w:val="center"/>
              <w:rPr>
                <w:rFonts w:ascii="仿宋" w:hAnsi="仿宋" w:eastAsia="仿宋" w:cs="宋体"/>
                <w:sz w:val="24"/>
                <w:szCs w:val="24"/>
              </w:rPr>
            </w:pPr>
          </w:p>
        </w:tc>
        <w:tc>
          <w:tcPr>
            <w:tcW w:w="1984" w:type="dxa"/>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证书申报</w:t>
            </w:r>
          </w:p>
        </w:tc>
        <w:tc>
          <w:tcPr>
            <w:tcW w:w="3969" w:type="dxa"/>
            <w:gridSpan w:val="6"/>
          </w:tcPr>
          <w:p>
            <w:pPr>
              <w:spacing w:line="320" w:lineRule="exact"/>
              <w:ind w:firstLine="480" w:firstLineChars="200"/>
              <w:rPr>
                <w:rFonts w:ascii="仿宋" w:hAnsi="仿宋" w:eastAsia="仿宋" w:cs="宋体"/>
                <w:color w:val="000000"/>
                <w:sz w:val="24"/>
                <w:szCs w:val="24"/>
                <w:lang w:val="zh-CN"/>
              </w:rPr>
            </w:pPr>
            <w:r>
              <w:rPr>
                <w:rFonts w:hint="eastAsia" w:ascii="仿宋" w:hAnsi="仿宋" w:eastAsia="仿宋" w:cs="宋体"/>
                <w:color w:val="000000"/>
                <w:sz w:val="24"/>
                <w:szCs w:val="24"/>
                <w:lang w:val="zh-CN"/>
              </w:rPr>
              <w:t>《拆迁咨询师》</w:t>
            </w:r>
            <w:bookmarkStart w:id="0" w:name="_GoBack"/>
            <w:bookmarkEnd w:id="0"/>
            <w:r>
              <w:rPr>
                <w:rFonts w:hint="eastAsia" w:ascii="仿宋" w:hAnsi="仿宋" w:eastAsia="仿宋" w:cs="宋体"/>
                <w:sz w:val="24"/>
                <w:szCs w:val="24"/>
              </w:rPr>
              <w:t>□</w:t>
            </w:r>
          </w:p>
          <w:p>
            <w:pPr>
              <w:spacing w:line="320" w:lineRule="exact"/>
              <w:ind w:firstLine="480" w:firstLineChars="200"/>
              <w:rPr>
                <w:rFonts w:ascii="仿宋" w:hAnsi="仿宋" w:eastAsia="仿宋" w:cs="宋体"/>
                <w:sz w:val="24"/>
                <w:szCs w:val="24"/>
              </w:rPr>
            </w:pPr>
            <w:r>
              <w:rPr>
                <w:rFonts w:hint="eastAsia" w:ascii="仿宋" w:hAnsi="仿宋" w:eastAsia="仿宋" w:cs="宋体"/>
                <w:color w:val="000000"/>
                <w:sz w:val="24"/>
                <w:szCs w:val="24"/>
                <w:lang w:val="zh-CN"/>
              </w:rPr>
              <w:t>《土地规划师》</w:t>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spacing w:line="360" w:lineRule="exact"/>
              <w:ind w:right="-147" w:rightChars="-70"/>
              <w:jc w:val="center"/>
              <w:rPr>
                <w:rFonts w:ascii="仿宋" w:hAnsi="仿宋" w:eastAsia="仿宋" w:cs="宋体"/>
                <w:sz w:val="24"/>
                <w:szCs w:val="24"/>
              </w:rPr>
            </w:pPr>
            <w:r>
              <w:rPr>
                <w:rFonts w:hint="eastAsia" w:ascii="仿宋" w:hAnsi="仿宋" w:eastAsia="仿宋" w:cs="宋体"/>
                <w:sz w:val="24"/>
                <w:szCs w:val="24"/>
              </w:rPr>
              <w:t>标准选项</w:t>
            </w:r>
          </w:p>
        </w:tc>
        <w:tc>
          <w:tcPr>
            <w:tcW w:w="8084" w:type="dxa"/>
            <w:gridSpan w:val="9"/>
            <w:vAlign w:val="center"/>
          </w:tcPr>
          <w:p>
            <w:pPr>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A：2980元□       B：3980元□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3" w:type="dxa"/>
          </w:tcPr>
          <w:p>
            <w:pPr>
              <w:spacing w:line="360" w:lineRule="exact"/>
              <w:ind w:right="-147" w:rightChars="-70"/>
              <w:jc w:val="center"/>
              <w:rPr>
                <w:rFonts w:ascii="仿宋" w:hAnsi="仿宋" w:eastAsia="仿宋" w:cs="宋体"/>
                <w:sz w:val="24"/>
                <w:szCs w:val="24"/>
              </w:rPr>
            </w:pPr>
            <w:r>
              <w:rPr>
                <w:rFonts w:hint="eastAsia" w:ascii="仿宋" w:hAnsi="仿宋" w:eastAsia="仿宋" w:cs="宋体"/>
                <w:sz w:val="24"/>
                <w:szCs w:val="24"/>
              </w:rPr>
              <w:t>付款方式</w:t>
            </w:r>
          </w:p>
        </w:tc>
        <w:tc>
          <w:tcPr>
            <w:tcW w:w="4272" w:type="dxa"/>
            <w:gridSpan w:val="4"/>
          </w:tcPr>
          <w:p>
            <w:pPr>
              <w:widowControl/>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 xml:space="preserve">□银行     □网银 </w:t>
            </w:r>
          </w:p>
        </w:tc>
        <w:tc>
          <w:tcPr>
            <w:tcW w:w="996" w:type="dxa"/>
            <w:gridSpan w:val="2"/>
          </w:tcPr>
          <w:p>
            <w:pPr>
              <w:widowControl/>
              <w:spacing w:line="500" w:lineRule="exact"/>
              <w:ind w:right="-147" w:rightChars="-70"/>
              <w:jc w:val="center"/>
              <w:rPr>
                <w:rFonts w:ascii="仿宋" w:hAnsi="仿宋" w:eastAsia="仿宋" w:cs="宋体"/>
                <w:sz w:val="24"/>
                <w:szCs w:val="24"/>
              </w:rPr>
            </w:pPr>
            <w:r>
              <w:rPr>
                <w:rFonts w:hint="eastAsia" w:ascii="仿宋" w:hAnsi="仿宋" w:eastAsia="仿宋" w:cs="宋体"/>
                <w:sz w:val="24"/>
                <w:szCs w:val="24"/>
              </w:rPr>
              <w:t>金额</w:t>
            </w:r>
          </w:p>
        </w:tc>
        <w:tc>
          <w:tcPr>
            <w:tcW w:w="2816" w:type="dxa"/>
            <w:gridSpan w:val="3"/>
          </w:tcPr>
          <w:p>
            <w:pPr>
              <w:widowControl/>
              <w:spacing w:line="500" w:lineRule="exact"/>
              <w:ind w:right="-147" w:rightChars="-7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3" w:type="dxa"/>
            <w:vAlign w:val="center"/>
          </w:tcPr>
          <w:p>
            <w:pPr>
              <w:spacing w:line="360" w:lineRule="exact"/>
              <w:ind w:right="-147" w:rightChars="-70"/>
              <w:jc w:val="center"/>
              <w:rPr>
                <w:rFonts w:ascii="仿宋" w:hAnsi="仿宋" w:eastAsia="仿宋" w:cs="宋体"/>
                <w:sz w:val="24"/>
                <w:szCs w:val="24"/>
              </w:rPr>
            </w:pPr>
            <w:r>
              <w:rPr>
                <w:rFonts w:hint="eastAsia" w:ascii="仿宋" w:hAnsi="仿宋" w:eastAsia="仿宋" w:cs="宋体"/>
                <w:sz w:val="24"/>
                <w:szCs w:val="24"/>
              </w:rPr>
              <w:t>需要与专家</w:t>
            </w:r>
          </w:p>
          <w:p>
            <w:pPr>
              <w:spacing w:line="360" w:lineRule="exact"/>
              <w:ind w:right="-147" w:rightChars="-70"/>
              <w:jc w:val="center"/>
              <w:rPr>
                <w:rFonts w:ascii="仿宋" w:hAnsi="仿宋" w:eastAsia="仿宋" w:cs="宋体"/>
                <w:sz w:val="24"/>
                <w:szCs w:val="24"/>
              </w:rPr>
            </w:pPr>
            <w:r>
              <w:rPr>
                <w:rFonts w:hint="eastAsia" w:ascii="仿宋" w:hAnsi="仿宋" w:eastAsia="仿宋" w:cs="宋体"/>
                <w:sz w:val="24"/>
                <w:szCs w:val="24"/>
              </w:rPr>
              <w:t>沟通的问题</w:t>
            </w:r>
          </w:p>
        </w:tc>
        <w:tc>
          <w:tcPr>
            <w:tcW w:w="8084" w:type="dxa"/>
            <w:gridSpan w:val="9"/>
          </w:tcPr>
          <w:p>
            <w:pPr>
              <w:widowControl/>
              <w:spacing w:line="500" w:lineRule="exact"/>
              <w:ind w:right="-147" w:rightChars="-7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663" w:type="dxa"/>
            <w:vAlign w:val="center"/>
          </w:tcPr>
          <w:p>
            <w:pPr>
              <w:spacing w:line="360" w:lineRule="exact"/>
              <w:ind w:right="-147" w:rightChars="-70"/>
              <w:jc w:val="center"/>
              <w:rPr>
                <w:rFonts w:ascii="仿宋" w:hAnsi="仿宋" w:eastAsia="仿宋" w:cs="宋体"/>
                <w:sz w:val="24"/>
                <w:szCs w:val="24"/>
              </w:rPr>
            </w:pPr>
            <w:r>
              <w:rPr>
                <w:rFonts w:hint="eastAsia" w:ascii="仿宋" w:hAnsi="仿宋" w:eastAsia="仿宋" w:cs="宋体"/>
                <w:sz w:val="24"/>
                <w:szCs w:val="24"/>
                <w:lang w:val="zh-CN"/>
              </w:rPr>
              <w:t>收款账户</w:t>
            </w:r>
          </w:p>
        </w:tc>
        <w:tc>
          <w:tcPr>
            <w:tcW w:w="8084" w:type="dxa"/>
            <w:gridSpan w:val="9"/>
            <w:vAlign w:val="center"/>
          </w:tcPr>
          <w:p>
            <w:pPr>
              <w:spacing w:line="360" w:lineRule="exact"/>
              <w:ind w:right="-147" w:rightChars="-70"/>
              <w:jc w:val="left"/>
              <w:rPr>
                <w:rFonts w:ascii="仿宋" w:hAnsi="仿宋" w:eastAsia="仿宋" w:cs="宋体"/>
                <w:sz w:val="24"/>
                <w:szCs w:val="24"/>
                <w:lang w:val="zh-CN"/>
              </w:rPr>
            </w:pPr>
            <w:r>
              <w:rPr>
                <w:rFonts w:hint="eastAsia" w:ascii="仿宋" w:hAnsi="仿宋" w:eastAsia="仿宋" w:cs="宋体"/>
                <w:sz w:val="24"/>
                <w:szCs w:val="24"/>
                <w:lang w:val="zh-CN"/>
              </w:rPr>
              <w:t xml:space="preserve">单位名称：北京中建科信信息咨询中心 </w:t>
            </w:r>
          </w:p>
          <w:p>
            <w:pPr>
              <w:spacing w:line="360" w:lineRule="exact"/>
              <w:ind w:right="-147" w:rightChars="-70"/>
              <w:jc w:val="left"/>
              <w:rPr>
                <w:rFonts w:ascii="仿宋" w:hAnsi="仿宋" w:eastAsia="仿宋" w:cs="宋体"/>
                <w:sz w:val="24"/>
                <w:szCs w:val="24"/>
                <w:lang w:val="zh-CN"/>
              </w:rPr>
            </w:pPr>
            <w:r>
              <w:rPr>
                <w:rFonts w:hint="eastAsia" w:ascii="仿宋" w:hAnsi="仿宋" w:eastAsia="仿宋" w:cs="宋体"/>
                <w:sz w:val="24"/>
                <w:szCs w:val="24"/>
                <w:lang w:val="zh-CN"/>
              </w:rPr>
              <w:t xml:space="preserve">开 户 行：北京农村商业银行玉渊潭支行亮甲店分理处 </w:t>
            </w:r>
          </w:p>
          <w:p>
            <w:pPr>
              <w:spacing w:line="360" w:lineRule="exact"/>
              <w:ind w:right="-147" w:rightChars="-70"/>
              <w:jc w:val="left"/>
              <w:rPr>
                <w:rFonts w:ascii="仿宋" w:hAnsi="仿宋" w:eastAsia="仿宋" w:cs="宋体"/>
                <w:sz w:val="24"/>
                <w:szCs w:val="24"/>
                <w:highlight w:val="yellow"/>
              </w:rPr>
            </w:pPr>
            <w:r>
              <w:rPr>
                <w:rFonts w:hint="eastAsia" w:ascii="仿宋" w:hAnsi="仿宋" w:eastAsia="仿宋" w:cs="宋体"/>
                <w:sz w:val="24"/>
                <w:szCs w:val="24"/>
                <w:lang w:val="zh-CN"/>
              </w:rPr>
              <w:t>账    号：0405 0401 0300 0007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3" w:type="dxa"/>
            <w:vAlign w:val="center"/>
          </w:tcPr>
          <w:p>
            <w:pPr>
              <w:spacing w:line="360" w:lineRule="exact"/>
              <w:ind w:right="-147" w:rightChars="-70"/>
              <w:jc w:val="center"/>
              <w:rPr>
                <w:rFonts w:ascii="仿宋" w:hAnsi="仿宋" w:eastAsia="仿宋" w:cs="宋体"/>
                <w:sz w:val="24"/>
                <w:szCs w:val="24"/>
              </w:rPr>
            </w:pPr>
            <w:r>
              <w:rPr>
                <w:rFonts w:hint="eastAsia" w:ascii="仿宋" w:hAnsi="仿宋" w:eastAsia="仿宋" w:cs="宋体"/>
                <w:sz w:val="24"/>
                <w:szCs w:val="24"/>
              </w:rPr>
              <w:t>备注</w:t>
            </w:r>
          </w:p>
        </w:tc>
        <w:tc>
          <w:tcPr>
            <w:tcW w:w="5034" w:type="dxa"/>
            <w:gridSpan w:val="5"/>
            <w:vAlign w:val="center"/>
          </w:tcPr>
          <w:p>
            <w:pPr>
              <w:spacing w:line="360" w:lineRule="exact"/>
              <w:ind w:right="-147" w:rightChars="-70"/>
              <w:jc w:val="left"/>
              <w:rPr>
                <w:rFonts w:ascii="仿宋" w:hAnsi="仿宋" w:eastAsia="仿宋" w:cs="宋体"/>
                <w:sz w:val="24"/>
                <w:szCs w:val="24"/>
                <w:lang w:val="zh-CN"/>
              </w:rPr>
            </w:pPr>
            <w:r>
              <w:rPr>
                <w:rFonts w:hint="eastAsia" w:ascii="仿宋" w:hAnsi="仿宋" w:eastAsia="仿宋" w:cs="宋体"/>
                <w:sz w:val="24"/>
                <w:szCs w:val="24"/>
                <w:lang w:val="zh-CN"/>
              </w:rPr>
              <w:t>请将《报名回执表》发送至会务组，并于报名</w:t>
            </w:r>
          </w:p>
          <w:p>
            <w:pPr>
              <w:spacing w:line="360" w:lineRule="exact"/>
              <w:ind w:right="-147" w:rightChars="-70"/>
              <w:jc w:val="left"/>
              <w:rPr>
                <w:rFonts w:ascii="仿宋" w:hAnsi="仿宋" w:eastAsia="仿宋" w:cs="宋体"/>
                <w:sz w:val="24"/>
                <w:szCs w:val="24"/>
                <w:lang w:val="zh-CN"/>
              </w:rPr>
            </w:pPr>
            <w:r>
              <w:rPr>
                <w:rFonts w:hint="eastAsia" w:ascii="仿宋" w:hAnsi="仿宋" w:eastAsia="仿宋" w:cs="宋体"/>
                <w:sz w:val="24"/>
                <w:szCs w:val="24"/>
                <w:lang w:val="zh-CN"/>
              </w:rPr>
              <w:t>3日内将培训费汇至指定账户，会务组确认收</w:t>
            </w:r>
          </w:p>
          <w:p>
            <w:pPr>
              <w:spacing w:line="360" w:lineRule="exact"/>
              <w:ind w:right="-147" w:rightChars="-70"/>
              <w:jc w:val="left"/>
              <w:rPr>
                <w:rFonts w:ascii="仿宋" w:hAnsi="仿宋" w:eastAsia="仿宋" w:cs="宋体"/>
                <w:sz w:val="24"/>
                <w:szCs w:val="24"/>
                <w:lang w:val="zh-CN"/>
              </w:rPr>
            </w:pPr>
            <w:r>
              <w:rPr>
                <w:rFonts w:hint="eastAsia" w:ascii="仿宋" w:hAnsi="仿宋" w:eastAsia="仿宋" w:cs="宋体"/>
                <w:sz w:val="24"/>
                <w:szCs w:val="24"/>
                <w:lang w:val="zh-CN"/>
              </w:rPr>
              <w:t>到培训费后即发《参会凭证》，详细说明培训</w:t>
            </w:r>
          </w:p>
          <w:p>
            <w:pPr>
              <w:spacing w:line="360" w:lineRule="exact"/>
              <w:ind w:right="-147" w:rightChars="-70"/>
              <w:jc w:val="left"/>
              <w:rPr>
                <w:rFonts w:ascii="仿宋" w:hAnsi="仿宋" w:eastAsia="仿宋" w:cs="宋体"/>
                <w:sz w:val="24"/>
                <w:szCs w:val="24"/>
              </w:rPr>
            </w:pPr>
            <w:r>
              <w:rPr>
                <w:rFonts w:hint="eastAsia" w:ascii="仿宋" w:hAnsi="仿宋" w:eastAsia="仿宋" w:cs="宋体"/>
                <w:sz w:val="24"/>
                <w:szCs w:val="24"/>
                <w:lang w:val="zh-CN"/>
              </w:rPr>
              <w:t>安排具体事项。</w:t>
            </w:r>
          </w:p>
        </w:tc>
        <w:tc>
          <w:tcPr>
            <w:tcW w:w="3050" w:type="dxa"/>
            <w:gridSpan w:val="4"/>
            <w:vAlign w:val="center"/>
          </w:tcPr>
          <w:p>
            <w:pPr>
              <w:spacing w:line="500" w:lineRule="exact"/>
              <w:ind w:right="-147" w:rightChars="-70" w:firstLine="720" w:firstLineChars="300"/>
              <w:rPr>
                <w:rFonts w:ascii="仿宋" w:hAnsi="仿宋" w:eastAsia="仿宋" w:cs="宋体"/>
                <w:sz w:val="24"/>
                <w:szCs w:val="24"/>
              </w:rPr>
            </w:pPr>
            <w:r>
              <w:rPr>
                <w:rFonts w:hint="eastAsia" w:ascii="仿宋" w:hAnsi="仿宋" w:eastAsia="仿宋" w:cs="宋体"/>
                <w:sz w:val="24"/>
                <w:szCs w:val="24"/>
              </w:rPr>
              <w:t>单位印章</w:t>
            </w:r>
          </w:p>
          <w:p>
            <w:pPr>
              <w:spacing w:line="500" w:lineRule="exact"/>
              <w:ind w:right="-147" w:rightChars="-70" w:firstLine="240" w:firstLineChars="100"/>
              <w:rPr>
                <w:rFonts w:ascii="仿宋" w:hAnsi="仿宋" w:eastAsia="仿宋" w:cs="宋体"/>
                <w:sz w:val="24"/>
                <w:szCs w:val="24"/>
              </w:rPr>
            </w:pPr>
            <w:r>
              <w:rPr>
                <w:rFonts w:hint="eastAsia" w:ascii="仿宋" w:hAnsi="仿宋" w:eastAsia="仿宋" w:cs="宋体"/>
                <w:sz w:val="24"/>
                <w:szCs w:val="24"/>
              </w:rPr>
              <w:t>2021 年    月    日</w:t>
            </w:r>
          </w:p>
        </w:tc>
      </w:tr>
    </w:tbl>
    <w:p>
      <w:pPr>
        <w:spacing w:line="360" w:lineRule="exact"/>
        <w:ind w:right="-147" w:rightChars="-70"/>
        <w:jc w:val="left"/>
        <w:rPr>
          <w:rFonts w:hint="eastAsia" w:ascii="仿宋" w:hAnsi="仿宋" w:eastAsia="仿宋" w:cs="宋体"/>
          <w:sz w:val="24"/>
          <w:szCs w:val="24"/>
          <w:lang w:val="zh-CN"/>
        </w:rPr>
      </w:pPr>
      <w:r>
        <w:rPr>
          <w:rFonts w:hint="eastAsia" w:ascii="仿宋" w:hAnsi="仿宋" w:eastAsia="仿宋" w:cs="宋体"/>
          <w:sz w:val="24"/>
          <w:szCs w:val="24"/>
          <w:lang w:val="zh-CN"/>
        </w:rPr>
        <w:t xml:space="preserve">报名负责人：聂红军 主任18211071700（微信）   </w:t>
      </w:r>
    </w:p>
    <w:p>
      <w:pPr>
        <w:spacing w:line="360" w:lineRule="exact"/>
        <w:ind w:right="-147" w:rightChars="-70"/>
        <w:jc w:val="left"/>
        <w:rPr>
          <w:rFonts w:hint="eastAsia" w:ascii="仿宋" w:hAnsi="仿宋" w:eastAsia="仿宋" w:cs="宋体"/>
          <w:sz w:val="24"/>
          <w:szCs w:val="24"/>
          <w:lang w:val="zh-CN"/>
        </w:rPr>
      </w:pPr>
      <w:r>
        <w:rPr>
          <w:rFonts w:hint="eastAsia" w:ascii="仿宋" w:hAnsi="仿宋" w:eastAsia="仿宋" w:cs="宋体"/>
          <w:sz w:val="24"/>
          <w:szCs w:val="24"/>
          <w:lang w:val="zh-CN"/>
        </w:rPr>
        <w:t xml:space="preserve">电  话：010-87697580      邮    箱：zqgphwz@126.com  </w:t>
      </w:r>
    </w:p>
    <w:p>
      <w:pPr>
        <w:spacing w:line="360" w:lineRule="exact"/>
        <w:ind w:right="-147" w:rightChars="-70"/>
        <w:jc w:val="left"/>
        <w:rPr>
          <w:rFonts w:hint="eastAsia" w:ascii="仿宋" w:hAnsi="仿宋" w:eastAsia="仿宋" w:cs="宋体"/>
          <w:sz w:val="24"/>
          <w:szCs w:val="24"/>
          <w:lang w:val="zh-CN"/>
        </w:rPr>
      </w:pPr>
      <w:r>
        <w:rPr>
          <w:rFonts w:hint="eastAsia" w:ascii="仿宋" w:hAnsi="仿宋" w:eastAsia="仿宋" w:cs="宋体"/>
          <w:sz w:val="24"/>
          <w:szCs w:val="24"/>
          <w:lang w:val="zh-CN"/>
        </w:rPr>
        <w:t xml:space="preserve">qq咨询：3177524020        网址查询：http://www.zqgpchina.cn/  </w:t>
      </w:r>
    </w:p>
    <w:sectPr>
      <w:footerReference r:id="rId3" w:type="default"/>
      <w:pgSz w:w="11906" w:h="16838"/>
      <w:pgMar w:top="1701" w:right="1587"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90"/>
    <w:rsid w:val="00006E6E"/>
    <w:rsid w:val="00015019"/>
    <w:rsid w:val="00033891"/>
    <w:rsid w:val="00091A14"/>
    <w:rsid w:val="000A0CD4"/>
    <w:rsid w:val="000B0503"/>
    <w:rsid w:val="000D4ED1"/>
    <w:rsid w:val="000E713A"/>
    <w:rsid w:val="000F2A66"/>
    <w:rsid w:val="000F6500"/>
    <w:rsid w:val="00102E9B"/>
    <w:rsid w:val="00107A23"/>
    <w:rsid w:val="00125B92"/>
    <w:rsid w:val="001304DE"/>
    <w:rsid w:val="00140C32"/>
    <w:rsid w:val="001420A4"/>
    <w:rsid w:val="0014574F"/>
    <w:rsid w:val="00147D37"/>
    <w:rsid w:val="00164DD7"/>
    <w:rsid w:val="001656F2"/>
    <w:rsid w:val="001732D9"/>
    <w:rsid w:val="00196B83"/>
    <w:rsid w:val="001A3E93"/>
    <w:rsid w:val="001B432E"/>
    <w:rsid w:val="001B7037"/>
    <w:rsid w:val="001B7DEE"/>
    <w:rsid w:val="001C1421"/>
    <w:rsid w:val="001C1548"/>
    <w:rsid w:val="001C75AD"/>
    <w:rsid w:val="001D16AE"/>
    <w:rsid w:val="001E0035"/>
    <w:rsid w:val="001E3278"/>
    <w:rsid w:val="001F0E6A"/>
    <w:rsid w:val="00207C21"/>
    <w:rsid w:val="00233407"/>
    <w:rsid w:val="0023370B"/>
    <w:rsid w:val="00253AA0"/>
    <w:rsid w:val="002545FB"/>
    <w:rsid w:val="00265135"/>
    <w:rsid w:val="00270F78"/>
    <w:rsid w:val="00272876"/>
    <w:rsid w:val="0027592B"/>
    <w:rsid w:val="002874D3"/>
    <w:rsid w:val="00290E29"/>
    <w:rsid w:val="002E0C25"/>
    <w:rsid w:val="002E111B"/>
    <w:rsid w:val="002E680D"/>
    <w:rsid w:val="002E7677"/>
    <w:rsid w:val="002F0475"/>
    <w:rsid w:val="0030733C"/>
    <w:rsid w:val="003378BD"/>
    <w:rsid w:val="00346613"/>
    <w:rsid w:val="00347DBD"/>
    <w:rsid w:val="003520E1"/>
    <w:rsid w:val="00353061"/>
    <w:rsid w:val="00361B92"/>
    <w:rsid w:val="003700AF"/>
    <w:rsid w:val="00394666"/>
    <w:rsid w:val="003A176E"/>
    <w:rsid w:val="003A7638"/>
    <w:rsid w:val="003B6395"/>
    <w:rsid w:val="003D05E8"/>
    <w:rsid w:val="003E556C"/>
    <w:rsid w:val="003F5DEC"/>
    <w:rsid w:val="0040066C"/>
    <w:rsid w:val="00401072"/>
    <w:rsid w:val="004146E3"/>
    <w:rsid w:val="00427300"/>
    <w:rsid w:val="00432C7F"/>
    <w:rsid w:val="00436089"/>
    <w:rsid w:val="0044522B"/>
    <w:rsid w:val="00462698"/>
    <w:rsid w:val="00484BF6"/>
    <w:rsid w:val="004865C7"/>
    <w:rsid w:val="0049374D"/>
    <w:rsid w:val="0049770E"/>
    <w:rsid w:val="004A14C8"/>
    <w:rsid w:val="004A394F"/>
    <w:rsid w:val="004A3B6E"/>
    <w:rsid w:val="004B0B6E"/>
    <w:rsid w:val="004B3DA6"/>
    <w:rsid w:val="004E2AFD"/>
    <w:rsid w:val="004E6AB9"/>
    <w:rsid w:val="004F3F43"/>
    <w:rsid w:val="004F5090"/>
    <w:rsid w:val="0050449A"/>
    <w:rsid w:val="00524032"/>
    <w:rsid w:val="00524346"/>
    <w:rsid w:val="00532708"/>
    <w:rsid w:val="00562BA7"/>
    <w:rsid w:val="00575045"/>
    <w:rsid w:val="00590BD3"/>
    <w:rsid w:val="00592984"/>
    <w:rsid w:val="005A78B0"/>
    <w:rsid w:val="005B36CC"/>
    <w:rsid w:val="005C50E5"/>
    <w:rsid w:val="005D18D0"/>
    <w:rsid w:val="005D6226"/>
    <w:rsid w:val="005E3E95"/>
    <w:rsid w:val="00614A64"/>
    <w:rsid w:val="00646868"/>
    <w:rsid w:val="0065412E"/>
    <w:rsid w:val="0066659F"/>
    <w:rsid w:val="006A0D96"/>
    <w:rsid w:val="006A49D1"/>
    <w:rsid w:val="006A60B3"/>
    <w:rsid w:val="006C4346"/>
    <w:rsid w:val="006D0085"/>
    <w:rsid w:val="006E0C99"/>
    <w:rsid w:val="006E3411"/>
    <w:rsid w:val="006F0EE2"/>
    <w:rsid w:val="0070550B"/>
    <w:rsid w:val="00712D46"/>
    <w:rsid w:val="00723346"/>
    <w:rsid w:val="007278BB"/>
    <w:rsid w:val="00732324"/>
    <w:rsid w:val="00737505"/>
    <w:rsid w:val="007534CF"/>
    <w:rsid w:val="00762F1C"/>
    <w:rsid w:val="00765754"/>
    <w:rsid w:val="00767A7B"/>
    <w:rsid w:val="00771286"/>
    <w:rsid w:val="007714C0"/>
    <w:rsid w:val="007734D7"/>
    <w:rsid w:val="00782A13"/>
    <w:rsid w:val="00797D26"/>
    <w:rsid w:val="007A7346"/>
    <w:rsid w:val="007E16FA"/>
    <w:rsid w:val="007E6F0C"/>
    <w:rsid w:val="007F280B"/>
    <w:rsid w:val="00856748"/>
    <w:rsid w:val="00862E14"/>
    <w:rsid w:val="00862E80"/>
    <w:rsid w:val="00871A2C"/>
    <w:rsid w:val="00875695"/>
    <w:rsid w:val="00877E50"/>
    <w:rsid w:val="00893280"/>
    <w:rsid w:val="00896094"/>
    <w:rsid w:val="008A4217"/>
    <w:rsid w:val="008F1968"/>
    <w:rsid w:val="008F2241"/>
    <w:rsid w:val="00905670"/>
    <w:rsid w:val="00927E18"/>
    <w:rsid w:val="00932B9F"/>
    <w:rsid w:val="00934E68"/>
    <w:rsid w:val="00935A82"/>
    <w:rsid w:val="009435B3"/>
    <w:rsid w:val="009449F6"/>
    <w:rsid w:val="00947C46"/>
    <w:rsid w:val="009579E6"/>
    <w:rsid w:val="00961726"/>
    <w:rsid w:val="00963E10"/>
    <w:rsid w:val="00986B2D"/>
    <w:rsid w:val="0098785C"/>
    <w:rsid w:val="009949C8"/>
    <w:rsid w:val="009B561F"/>
    <w:rsid w:val="009D6FB3"/>
    <w:rsid w:val="009E4271"/>
    <w:rsid w:val="009F43E7"/>
    <w:rsid w:val="009F600E"/>
    <w:rsid w:val="00A01B2F"/>
    <w:rsid w:val="00A102CB"/>
    <w:rsid w:val="00A1575D"/>
    <w:rsid w:val="00A45C18"/>
    <w:rsid w:val="00A46C87"/>
    <w:rsid w:val="00A523A3"/>
    <w:rsid w:val="00A656F5"/>
    <w:rsid w:val="00A66A38"/>
    <w:rsid w:val="00A76C27"/>
    <w:rsid w:val="00A94FAC"/>
    <w:rsid w:val="00AC2E6C"/>
    <w:rsid w:val="00AF6F4A"/>
    <w:rsid w:val="00B10CDA"/>
    <w:rsid w:val="00B24946"/>
    <w:rsid w:val="00B24ADB"/>
    <w:rsid w:val="00B24D3B"/>
    <w:rsid w:val="00B36E5A"/>
    <w:rsid w:val="00B51D1F"/>
    <w:rsid w:val="00B548AE"/>
    <w:rsid w:val="00B61AE1"/>
    <w:rsid w:val="00B811C4"/>
    <w:rsid w:val="00B81B95"/>
    <w:rsid w:val="00B91E7D"/>
    <w:rsid w:val="00BA4C2D"/>
    <w:rsid w:val="00BC05A1"/>
    <w:rsid w:val="00BC37FA"/>
    <w:rsid w:val="00BD153A"/>
    <w:rsid w:val="00BD5551"/>
    <w:rsid w:val="00BE7996"/>
    <w:rsid w:val="00C10C36"/>
    <w:rsid w:val="00C25E76"/>
    <w:rsid w:val="00C3317F"/>
    <w:rsid w:val="00C35E3B"/>
    <w:rsid w:val="00C66A4E"/>
    <w:rsid w:val="00C709DF"/>
    <w:rsid w:val="00C80FDD"/>
    <w:rsid w:val="00C82B7A"/>
    <w:rsid w:val="00C845C5"/>
    <w:rsid w:val="00C9734C"/>
    <w:rsid w:val="00CA0EE4"/>
    <w:rsid w:val="00CD549A"/>
    <w:rsid w:val="00D102C5"/>
    <w:rsid w:val="00D15FC4"/>
    <w:rsid w:val="00D16221"/>
    <w:rsid w:val="00D17F31"/>
    <w:rsid w:val="00D65DD9"/>
    <w:rsid w:val="00D7216A"/>
    <w:rsid w:val="00D8297B"/>
    <w:rsid w:val="00D95962"/>
    <w:rsid w:val="00D97121"/>
    <w:rsid w:val="00DA4371"/>
    <w:rsid w:val="00DF2DE7"/>
    <w:rsid w:val="00E021E0"/>
    <w:rsid w:val="00E0595F"/>
    <w:rsid w:val="00E069F5"/>
    <w:rsid w:val="00E14444"/>
    <w:rsid w:val="00E216E2"/>
    <w:rsid w:val="00E2247E"/>
    <w:rsid w:val="00E225AF"/>
    <w:rsid w:val="00E25C7A"/>
    <w:rsid w:val="00E56B9D"/>
    <w:rsid w:val="00E62894"/>
    <w:rsid w:val="00E6474A"/>
    <w:rsid w:val="00E65BEF"/>
    <w:rsid w:val="00E80F7E"/>
    <w:rsid w:val="00E879DE"/>
    <w:rsid w:val="00E92E2F"/>
    <w:rsid w:val="00E96A07"/>
    <w:rsid w:val="00EA02E4"/>
    <w:rsid w:val="00EB47B0"/>
    <w:rsid w:val="00EB5495"/>
    <w:rsid w:val="00EC4754"/>
    <w:rsid w:val="00EC4C0A"/>
    <w:rsid w:val="00EC682A"/>
    <w:rsid w:val="00EC6D06"/>
    <w:rsid w:val="00ED2B02"/>
    <w:rsid w:val="00ED40B6"/>
    <w:rsid w:val="00EE12CF"/>
    <w:rsid w:val="00EE327E"/>
    <w:rsid w:val="00EE7501"/>
    <w:rsid w:val="00EF5DA7"/>
    <w:rsid w:val="00EF6FCC"/>
    <w:rsid w:val="00F02590"/>
    <w:rsid w:val="00F22C6E"/>
    <w:rsid w:val="00F63857"/>
    <w:rsid w:val="00F949E9"/>
    <w:rsid w:val="00F94DCA"/>
    <w:rsid w:val="00F95188"/>
    <w:rsid w:val="00FB0951"/>
    <w:rsid w:val="00FC411C"/>
    <w:rsid w:val="00FD0528"/>
    <w:rsid w:val="00FE7D6E"/>
    <w:rsid w:val="01096E73"/>
    <w:rsid w:val="016872D4"/>
    <w:rsid w:val="01733977"/>
    <w:rsid w:val="01BA6E98"/>
    <w:rsid w:val="01FC2751"/>
    <w:rsid w:val="026B1B86"/>
    <w:rsid w:val="0299408C"/>
    <w:rsid w:val="02E63C24"/>
    <w:rsid w:val="02E80E5B"/>
    <w:rsid w:val="02ED0832"/>
    <w:rsid w:val="03252C4B"/>
    <w:rsid w:val="033C56CE"/>
    <w:rsid w:val="03B91CDA"/>
    <w:rsid w:val="03C06CEE"/>
    <w:rsid w:val="03D95A32"/>
    <w:rsid w:val="040040EF"/>
    <w:rsid w:val="040F1D90"/>
    <w:rsid w:val="045E781D"/>
    <w:rsid w:val="045F7902"/>
    <w:rsid w:val="04664CD4"/>
    <w:rsid w:val="04686DB0"/>
    <w:rsid w:val="04880050"/>
    <w:rsid w:val="04BD08B0"/>
    <w:rsid w:val="04FD390A"/>
    <w:rsid w:val="056E103A"/>
    <w:rsid w:val="05862FF6"/>
    <w:rsid w:val="058C74E5"/>
    <w:rsid w:val="061455E8"/>
    <w:rsid w:val="06213680"/>
    <w:rsid w:val="062324A0"/>
    <w:rsid w:val="06BF535E"/>
    <w:rsid w:val="06D07E3B"/>
    <w:rsid w:val="06E170A0"/>
    <w:rsid w:val="06E279C6"/>
    <w:rsid w:val="07025A28"/>
    <w:rsid w:val="071F75E6"/>
    <w:rsid w:val="073F321D"/>
    <w:rsid w:val="07565951"/>
    <w:rsid w:val="07686001"/>
    <w:rsid w:val="077B1144"/>
    <w:rsid w:val="07AC0274"/>
    <w:rsid w:val="082067BC"/>
    <w:rsid w:val="084B733E"/>
    <w:rsid w:val="08603B2B"/>
    <w:rsid w:val="08996B3E"/>
    <w:rsid w:val="08A30A13"/>
    <w:rsid w:val="08AF7A1E"/>
    <w:rsid w:val="08DE7B07"/>
    <w:rsid w:val="08E706D6"/>
    <w:rsid w:val="091B2649"/>
    <w:rsid w:val="097C648C"/>
    <w:rsid w:val="09996115"/>
    <w:rsid w:val="09A51012"/>
    <w:rsid w:val="09AE2F25"/>
    <w:rsid w:val="09B348D2"/>
    <w:rsid w:val="0A25145C"/>
    <w:rsid w:val="0A352629"/>
    <w:rsid w:val="0A60731B"/>
    <w:rsid w:val="0A934EBD"/>
    <w:rsid w:val="0AAB7EC3"/>
    <w:rsid w:val="0B1B03D9"/>
    <w:rsid w:val="0B684C81"/>
    <w:rsid w:val="0B76488A"/>
    <w:rsid w:val="0BDA131D"/>
    <w:rsid w:val="0BDF04B6"/>
    <w:rsid w:val="0C187E29"/>
    <w:rsid w:val="0CCD336F"/>
    <w:rsid w:val="0CCF562D"/>
    <w:rsid w:val="0CE17FE3"/>
    <w:rsid w:val="0CEF3F7F"/>
    <w:rsid w:val="0D13494D"/>
    <w:rsid w:val="0D283FB5"/>
    <w:rsid w:val="0D307CBB"/>
    <w:rsid w:val="0D6B38A8"/>
    <w:rsid w:val="0DCA7CD9"/>
    <w:rsid w:val="0DEE3248"/>
    <w:rsid w:val="0E005095"/>
    <w:rsid w:val="0E1A1555"/>
    <w:rsid w:val="0E244600"/>
    <w:rsid w:val="0E867961"/>
    <w:rsid w:val="0EC129E7"/>
    <w:rsid w:val="0EDB6F76"/>
    <w:rsid w:val="0F2545F1"/>
    <w:rsid w:val="0F3B239C"/>
    <w:rsid w:val="0F440EFE"/>
    <w:rsid w:val="0F730527"/>
    <w:rsid w:val="101407AE"/>
    <w:rsid w:val="1033058D"/>
    <w:rsid w:val="10342676"/>
    <w:rsid w:val="10972BB2"/>
    <w:rsid w:val="10A522C3"/>
    <w:rsid w:val="10AA2B31"/>
    <w:rsid w:val="10B50509"/>
    <w:rsid w:val="11532F8E"/>
    <w:rsid w:val="116C0199"/>
    <w:rsid w:val="11792F5C"/>
    <w:rsid w:val="119764D8"/>
    <w:rsid w:val="11BE57F4"/>
    <w:rsid w:val="11D110F0"/>
    <w:rsid w:val="11E75964"/>
    <w:rsid w:val="11F74C1A"/>
    <w:rsid w:val="12076B6E"/>
    <w:rsid w:val="12104619"/>
    <w:rsid w:val="122C0661"/>
    <w:rsid w:val="123226C4"/>
    <w:rsid w:val="12757381"/>
    <w:rsid w:val="1286617C"/>
    <w:rsid w:val="13097AEA"/>
    <w:rsid w:val="135525A9"/>
    <w:rsid w:val="140705B7"/>
    <w:rsid w:val="14A87EC4"/>
    <w:rsid w:val="14AC73D6"/>
    <w:rsid w:val="14F70D4C"/>
    <w:rsid w:val="15102EA3"/>
    <w:rsid w:val="15467774"/>
    <w:rsid w:val="160D1AF4"/>
    <w:rsid w:val="160D4A3A"/>
    <w:rsid w:val="161945C3"/>
    <w:rsid w:val="163520E8"/>
    <w:rsid w:val="16455DA8"/>
    <w:rsid w:val="16476C15"/>
    <w:rsid w:val="16816E4E"/>
    <w:rsid w:val="16AE32E0"/>
    <w:rsid w:val="16D12722"/>
    <w:rsid w:val="16DD7B01"/>
    <w:rsid w:val="16FB5A1F"/>
    <w:rsid w:val="17166E0D"/>
    <w:rsid w:val="173E6DDB"/>
    <w:rsid w:val="174937F8"/>
    <w:rsid w:val="17527FBB"/>
    <w:rsid w:val="179371CE"/>
    <w:rsid w:val="179D62A4"/>
    <w:rsid w:val="17AB2FD0"/>
    <w:rsid w:val="17B230CD"/>
    <w:rsid w:val="18011435"/>
    <w:rsid w:val="180F7177"/>
    <w:rsid w:val="181745DF"/>
    <w:rsid w:val="1839143F"/>
    <w:rsid w:val="188D4DAA"/>
    <w:rsid w:val="189A3C1A"/>
    <w:rsid w:val="18A63EBB"/>
    <w:rsid w:val="18AA4F86"/>
    <w:rsid w:val="18E76639"/>
    <w:rsid w:val="19183667"/>
    <w:rsid w:val="191D3F42"/>
    <w:rsid w:val="193F5193"/>
    <w:rsid w:val="195E1B11"/>
    <w:rsid w:val="195F088D"/>
    <w:rsid w:val="1994650F"/>
    <w:rsid w:val="19AB703B"/>
    <w:rsid w:val="19E85087"/>
    <w:rsid w:val="1A022BA2"/>
    <w:rsid w:val="1A24466B"/>
    <w:rsid w:val="1A3D00DF"/>
    <w:rsid w:val="1A4A6056"/>
    <w:rsid w:val="1A6A44DC"/>
    <w:rsid w:val="1A823503"/>
    <w:rsid w:val="1A8B1958"/>
    <w:rsid w:val="1AC242D5"/>
    <w:rsid w:val="1AC8085C"/>
    <w:rsid w:val="1B026DFF"/>
    <w:rsid w:val="1B2F7013"/>
    <w:rsid w:val="1B342F6D"/>
    <w:rsid w:val="1B4A0726"/>
    <w:rsid w:val="1B5258CF"/>
    <w:rsid w:val="1B543759"/>
    <w:rsid w:val="1BD63AD5"/>
    <w:rsid w:val="1C0F64A2"/>
    <w:rsid w:val="1C0F6CD9"/>
    <w:rsid w:val="1C2155D6"/>
    <w:rsid w:val="1C453C6E"/>
    <w:rsid w:val="1C4F6F10"/>
    <w:rsid w:val="1C5F2021"/>
    <w:rsid w:val="1C787FA8"/>
    <w:rsid w:val="1C9E0E9F"/>
    <w:rsid w:val="1D0633EC"/>
    <w:rsid w:val="1D1E39BC"/>
    <w:rsid w:val="1D277F1C"/>
    <w:rsid w:val="1D386A7A"/>
    <w:rsid w:val="1D4948A5"/>
    <w:rsid w:val="1D7873F9"/>
    <w:rsid w:val="1D846DA6"/>
    <w:rsid w:val="1DA17923"/>
    <w:rsid w:val="1E165709"/>
    <w:rsid w:val="1E252AC8"/>
    <w:rsid w:val="1E4C37D5"/>
    <w:rsid w:val="1E5B5D7C"/>
    <w:rsid w:val="1F4D2F78"/>
    <w:rsid w:val="1F505DD2"/>
    <w:rsid w:val="1F5C2E53"/>
    <w:rsid w:val="1F72009E"/>
    <w:rsid w:val="1F8835DB"/>
    <w:rsid w:val="1FE151B4"/>
    <w:rsid w:val="202C4527"/>
    <w:rsid w:val="206F27D8"/>
    <w:rsid w:val="208A15F2"/>
    <w:rsid w:val="208C1543"/>
    <w:rsid w:val="20D61E2E"/>
    <w:rsid w:val="20F93EB3"/>
    <w:rsid w:val="212B2361"/>
    <w:rsid w:val="2144592D"/>
    <w:rsid w:val="217C78BA"/>
    <w:rsid w:val="21A5723F"/>
    <w:rsid w:val="21A74D88"/>
    <w:rsid w:val="21AD3F69"/>
    <w:rsid w:val="21C95D62"/>
    <w:rsid w:val="21DC5BD2"/>
    <w:rsid w:val="220B5CE7"/>
    <w:rsid w:val="221C56F3"/>
    <w:rsid w:val="22401B8D"/>
    <w:rsid w:val="227E13F5"/>
    <w:rsid w:val="22A927F3"/>
    <w:rsid w:val="22D171F7"/>
    <w:rsid w:val="22DE4249"/>
    <w:rsid w:val="23015680"/>
    <w:rsid w:val="23070529"/>
    <w:rsid w:val="23184F44"/>
    <w:rsid w:val="23275CF7"/>
    <w:rsid w:val="232937AD"/>
    <w:rsid w:val="237F1DB7"/>
    <w:rsid w:val="23D87733"/>
    <w:rsid w:val="23EA10E9"/>
    <w:rsid w:val="248D0D8E"/>
    <w:rsid w:val="249D1F14"/>
    <w:rsid w:val="24AD08BA"/>
    <w:rsid w:val="25222D3D"/>
    <w:rsid w:val="25583A51"/>
    <w:rsid w:val="25A23DF1"/>
    <w:rsid w:val="25AF0624"/>
    <w:rsid w:val="25B43FE9"/>
    <w:rsid w:val="25EA2D0C"/>
    <w:rsid w:val="2623482B"/>
    <w:rsid w:val="26256DC1"/>
    <w:rsid w:val="263729E6"/>
    <w:rsid w:val="26516975"/>
    <w:rsid w:val="26713B54"/>
    <w:rsid w:val="267A7894"/>
    <w:rsid w:val="26FD6084"/>
    <w:rsid w:val="27242FB3"/>
    <w:rsid w:val="27775FA5"/>
    <w:rsid w:val="27827F3F"/>
    <w:rsid w:val="27BF1414"/>
    <w:rsid w:val="27C55D49"/>
    <w:rsid w:val="27E95A35"/>
    <w:rsid w:val="27F01025"/>
    <w:rsid w:val="27F177CD"/>
    <w:rsid w:val="282A6BFD"/>
    <w:rsid w:val="286F6BA7"/>
    <w:rsid w:val="287F466F"/>
    <w:rsid w:val="287F7F28"/>
    <w:rsid w:val="28E25AED"/>
    <w:rsid w:val="290A384F"/>
    <w:rsid w:val="293B274D"/>
    <w:rsid w:val="294472BA"/>
    <w:rsid w:val="295E1782"/>
    <w:rsid w:val="29C6486A"/>
    <w:rsid w:val="29F9225A"/>
    <w:rsid w:val="29FD274E"/>
    <w:rsid w:val="2A072474"/>
    <w:rsid w:val="2A2264FA"/>
    <w:rsid w:val="2A3449A2"/>
    <w:rsid w:val="2A7F14BA"/>
    <w:rsid w:val="2A8778DB"/>
    <w:rsid w:val="2AA57593"/>
    <w:rsid w:val="2AF62BDF"/>
    <w:rsid w:val="2AFB621A"/>
    <w:rsid w:val="2B286A29"/>
    <w:rsid w:val="2B55002F"/>
    <w:rsid w:val="2BC76739"/>
    <w:rsid w:val="2BD77D92"/>
    <w:rsid w:val="2BF96B8B"/>
    <w:rsid w:val="2C3F17C7"/>
    <w:rsid w:val="2C483892"/>
    <w:rsid w:val="2C564D73"/>
    <w:rsid w:val="2C5D7341"/>
    <w:rsid w:val="2C7336D0"/>
    <w:rsid w:val="2C740D5C"/>
    <w:rsid w:val="2C7F4218"/>
    <w:rsid w:val="2C88726E"/>
    <w:rsid w:val="2C891FE9"/>
    <w:rsid w:val="2CA56D0D"/>
    <w:rsid w:val="2CA813E9"/>
    <w:rsid w:val="2CB26480"/>
    <w:rsid w:val="2CBF2EA8"/>
    <w:rsid w:val="2CDC0783"/>
    <w:rsid w:val="2CF326B1"/>
    <w:rsid w:val="2CFE2C85"/>
    <w:rsid w:val="2D1B71D0"/>
    <w:rsid w:val="2D2C4437"/>
    <w:rsid w:val="2D381718"/>
    <w:rsid w:val="2D5159CF"/>
    <w:rsid w:val="2D7A4331"/>
    <w:rsid w:val="2DB4303D"/>
    <w:rsid w:val="2DC13A27"/>
    <w:rsid w:val="2DDB07AB"/>
    <w:rsid w:val="2E183F19"/>
    <w:rsid w:val="2E2D6B0F"/>
    <w:rsid w:val="2E417FF4"/>
    <w:rsid w:val="2E8D5CCE"/>
    <w:rsid w:val="2EA67C56"/>
    <w:rsid w:val="2ED233D2"/>
    <w:rsid w:val="2ED57459"/>
    <w:rsid w:val="2EFA7C5A"/>
    <w:rsid w:val="2F032994"/>
    <w:rsid w:val="2F0C0DAA"/>
    <w:rsid w:val="2F564FEA"/>
    <w:rsid w:val="2F6C1B82"/>
    <w:rsid w:val="2FB01405"/>
    <w:rsid w:val="2FBF3EDB"/>
    <w:rsid w:val="2FD72ADE"/>
    <w:rsid w:val="30001CA0"/>
    <w:rsid w:val="300E0097"/>
    <w:rsid w:val="30511C9A"/>
    <w:rsid w:val="30A571F6"/>
    <w:rsid w:val="30BB664C"/>
    <w:rsid w:val="30E47494"/>
    <w:rsid w:val="311A3306"/>
    <w:rsid w:val="315E7F26"/>
    <w:rsid w:val="316141E6"/>
    <w:rsid w:val="31646D7D"/>
    <w:rsid w:val="317A532A"/>
    <w:rsid w:val="31A077C9"/>
    <w:rsid w:val="31AA4C71"/>
    <w:rsid w:val="31DD2AD1"/>
    <w:rsid w:val="322C22B0"/>
    <w:rsid w:val="32472096"/>
    <w:rsid w:val="32DE2304"/>
    <w:rsid w:val="32F92D97"/>
    <w:rsid w:val="332306B4"/>
    <w:rsid w:val="332D32A8"/>
    <w:rsid w:val="334A02C1"/>
    <w:rsid w:val="33780BD7"/>
    <w:rsid w:val="33BF1E3D"/>
    <w:rsid w:val="33D17892"/>
    <w:rsid w:val="33E3586F"/>
    <w:rsid w:val="341F4EF9"/>
    <w:rsid w:val="343277C4"/>
    <w:rsid w:val="344430BD"/>
    <w:rsid w:val="34545F3A"/>
    <w:rsid w:val="3459155A"/>
    <w:rsid w:val="346579F4"/>
    <w:rsid w:val="34695C2B"/>
    <w:rsid w:val="34A95ABE"/>
    <w:rsid w:val="34B15E25"/>
    <w:rsid w:val="34C016D3"/>
    <w:rsid w:val="34C416B9"/>
    <w:rsid w:val="34EC7611"/>
    <w:rsid w:val="35072977"/>
    <w:rsid w:val="35337E0C"/>
    <w:rsid w:val="35584A80"/>
    <w:rsid w:val="35714818"/>
    <w:rsid w:val="35911B18"/>
    <w:rsid w:val="35962335"/>
    <w:rsid w:val="35A24DC6"/>
    <w:rsid w:val="35AE3AF9"/>
    <w:rsid w:val="35B8467D"/>
    <w:rsid w:val="35C46168"/>
    <w:rsid w:val="35D93CDB"/>
    <w:rsid w:val="36165C23"/>
    <w:rsid w:val="361A2D08"/>
    <w:rsid w:val="362A215E"/>
    <w:rsid w:val="363242AD"/>
    <w:rsid w:val="364F5FD8"/>
    <w:rsid w:val="366C23B5"/>
    <w:rsid w:val="366D4254"/>
    <w:rsid w:val="36C07AFE"/>
    <w:rsid w:val="36C87C9D"/>
    <w:rsid w:val="36FF22B8"/>
    <w:rsid w:val="37355F87"/>
    <w:rsid w:val="373C577E"/>
    <w:rsid w:val="377000FF"/>
    <w:rsid w:val="37913739"/>
    <w:rsid w:val="379A6975"/>
    <w:rsid w:val="37EF193B"/>
    <w:rsid w:val="38387910"/>
    <w:rsid w:val="38800B43"/>
    <w:rsid w:val="38A635AE"/>
    <w:rsid w:val="38C12E20"/>
    <w:rsid w:val="38DA752A"/>
    <w:rsid w:val="38E82D88"/>
    <w:rsid w:val="391904B9"/>
    <w:rsid w:val="3931767C"/>
    <w:rsid w:val="399108DA"/>
    <w:rsid w:val="39A64F74"/>
    <w:rsid w:val="39AE50EB"/>
    <w:rsid w:val="39E55B24"/>
    <w:rsid w:val="39F75EBA"/>
    <w:rsid w:val="3A6418F7"/>
    <w:rsid w:val="3AE314A7"/>
    <w:rsid w:val="3B584C1E"/>
    <w:rsid w:val="3B7A1DFC"/>
    <w:rsid w:val="3B9058CA"/>
    <w:rsid w:val="3BAA44F2"/>
    <w:rsid w:val="3BBE522F"/>
    <w:rsid w:val="3BF12975"/>
    <w:rsid w:val="3C02673B"/>
    <w:rsid w:val="3C097CBC"/>
    <w:rsid w:val="3C4E14A7"/>
    <w:rsid w:val="3C616659"/>
    <w:rsid w:val="3C963FB8"/>
    <w:rsid w:val="3CE46F6B"/>
    <w:rsid w:val="3CF726D7"/>
    <w:rsid w:val="3D0B2ECF"/>
    <w:rsid w:val="3D0E5C77"/>
    <w:rsid w:val="3D844571"/>
    <w:rsid w:val="3DA10BF8"/>
    <w:rsid w:val="3DB112E3"/>
    <w:rsid w:val="3E102E82"/>
    <w:rsid w:val="3E39081B"/>
    <w:rsid w:val="3E3F6EC0"/>
    <w:rsid w:val="3E5634E0"/>
    <w:rsid w:val="3E977672"/>
    <w:rsid w:val="3EAC5899"/>
    <w:rsid w:val="3ECB244C"/>
    <w:rsid w:val="3EFB2860"/>
    <w:rsid w:val="3F186F6D"/>
    <w:rsid w:val="3F283A6E"/>
    <w:rsid w:val="3FAD0C87"/>
    <w:rsid w:val="3FCC2491"/>
    <w:rsid w:val="3FD57EEE"/>
    <w:rsid w:val="405D57A2"/>
    <w:rsid w:val="4063029D"/>
    <w:rsid w:val="40780CC2"/>
    <w:rsid w:val="40884D16"/>
    <w:rsid w:val="40887F25"/>
    <w:rsid w:val="408E0F6B"/>
    <w:rsid w:val="40A437DB"/>
    <w:rsid w:val="40AD6F62"/>
    <w:rsid w:val="41742331"/>
    <w:rsid w:val="4185236D"/>
    <w:rsid w:val="41981A07"/>
    <w:rsid w:val="41D26579"/>
    <w:rsid w:val="41E12669"/>
    <w:rsid w:val="42165DE4"/>
    <w:rsid w:val="424337F2"/>
    <w:rsid w:val="425C65F2"/>
    <w:rsid w:val="42D2244B"/>
    <w:rsid w:val="42E458C2"/>
    <w:rsid w:val="42E70DD3"/>
    <w:rsid w:val="43043ABB"/>
    <w:rsid w:val="43510D18"/>
    <w:rsid w:val="439C3417"/>
    <w:rsid w:val="43A6089B"/>
    <w:rsid w:val="43EF2BBE"/>
    <w:rsid w:val="44362EFB"/>
    <w:rsid w:val="44365A36"/>
    <w:rsid w:val="44547303"/>
    <w:rsid w:val="445B5A1D"/>
    <w:rsid w:val="44A364C9"/>
    <w:rsid w:val="44A704F2"/>
    <w:rsid w:val="44F66ABF"/>
    <w:rsid w:val="45365FCC"/>
    <w:rsid w:val="453946EA"/>
    <w:rsid w:val="457706F0"/>
    <w:rsid w:val="457D20B1"/>
    <w:rsid w:val="458742F4"/>
    <w:rsid w:val="45AD743F"/>
    <w:rsid w:val="46086818"/>
    <w:rsid w:val="462B710A"/>
    <w:rsid w:val="46302EBB"/>
    <w:rsid w:val="46686A72"/>
    <w:rsid w:val="467B7F29"/>
    <w:rsid w:val="46900BCA"/>
    <w:rsid w:val="46E11B31"/>
    <w:rsid w:val="46E54F06"/>
    <w:rsid w:val="47095C13"/>
    <w:rsid w:val="472977ED"/>
    <w:rsid w:val="47312560"/>
    <w:rsid w:val="474926B2"/>
    <w:rsid w:val="478E6AB5"/>
    <w:rsid w:val="479769CB"/>
    <w:rsid w:val="47A61CD8"/>
    <w:rsid w:val="47BA1BBF"/>
    <w:rsid w:val="48347F0E"/>
    <w:rsid w:val="49213A4A"/>
    <w:rsid w:val="493A03F9"/>
    <w:rsid w:val="493D277D"/>
    <w:rsid w:val="49412FB7"/>
    <w:rsid w:val="49445AF3"/>
    <w:rsid w:val="49605781"/>
    <w:rsid w:val="49666D30"/>
    <w:rsid w:val="496E75D4"/>
    <w:rsid w:val="4A167722"/>
    <w:rsid w:val="4A952D7E"/>
    <w:rsid w:val="4AA2424A"/>
    <w:rsid w:val="4B847953"/>
    <w:rsid w:val="4B9203FD"/>
    <w:rsid w:val="4BA35709"/>
    <w:rsid w:val="4BC5582C"/>
    <w:rsid w:val="4C286379"/>
    <w:rsid w:val="4C49196D"/>
    <w:rsid w:val="4CAA1DB9"/>
    <w:rsid w:val="4CFF6956"/>
    <w:rsid w:val="4D346DB0"/>
    <w:rsid w:val="4D3B6823"/>
    <w:rsid w:val="4D475BC2"/>
    <w:rsid w:val="4D5C0F27"/>
    <w:rsid w:val="4D772495"/>
    <w:rsid w:val="4DA17499"/>
    <w:rsid w:val="4DBE2CD4"/>
    <w:rsid w:val="4DCB026D"/>
    <w:rsid w:val="4DDC6525"/>
    <w:rsid w:val="4DDD115E"/>
    <w:rsid w:val="4E20711C"/>
    <w:rsid w:val="4E5825C5"/>
    <w:rsid w:val="4EA40AAC"/>
    <w:rsid w:val="4EAB21E7"/>
    <w:rsid w:val="4EF10D9F"/>
    <w:rsid w:val="4EF8152C"/>
    <w:rsid w:val="4F2D0D82"/>
    <w:rsid w:val="4F386939"/>
    <w:rsid w:val="4F994444"/>
    <w:rsid w:val="500A1873"/>
    <w:rsid w:val="505236A5"/>
    <w:rsid w:val="507221F1"/>
    <w:rsid w:val="50C210B4"/>
    <w:rsid w:val="50EC23B2"/>
    <w:rsid w:val="511C6683"/>
    <w:rsid w:val="51877B58"/>
    <w:rsid w:val="51C260C2"/>
    <w:rsid w:val="524D0959"/>
    <w:rsid w:val="526B3BD8"/>
    <w:rsid w:val="528C0437"/>
    <w:rsid w:val="52CB1A09"/>
    <w:rsid w:val="52D7405D"/>
    <w:rsid w:val="52D91D92"/>
    <w:rsid w:val="52EE250C"/>
    <w:rsid w:val="53013A4B"/>
    <w:rsid w:val="53116BA1"/>
    <w:rsid w:val="534A3C95"/>
    <w:rsid w:val="53587C15"/>
    <w:rsid w:val="535A5C00"/>
    <w:rsid w:val="536904A7"/>
    <w:rsid w:val="53A028F7"/>
    <w:rsid w:val="53A15461"/>
    <w:rsid w:val="53D758C2"/>
    <w:rsid w:val="53D87D15"/>
    <w:rsid w:val="53F6451D"/>
    <w:rsid w:val="540C5C2B"/>
    <w:rsid w:val="542B4FAE"/>
    <w:rsid w:val="54551C53"/>
    <w:rsid w:val="54580073"/>
    <w:rsid w:val="5464163F"/>
    <w:rsid w:val="54744E21"/>
    <w:rsid w:val="548215A5"/>
    <w:rsid w:val="54A85829"/>
    <w:rsid w:val="54F83701"/>
    <w:rsid w:val="54FF6801"/>
    <w:rsid w:val="55342219"/>
    <w:rsid w:val="554D078F"/>
    <w:rsid w:val="555D32A1"/>
    <w:rsid w:val="55FE1751"/>
    <w:rsid w:val="56325324"/>
    <w:rsid w:val="56626EA7"/>
    <w:rsid w:val="567152FE"/>
    <w:rsid w:val="5688000C"/>
    <w:rsid w:val="56910805"/>
    <w:rsid w:val="569318DB"/>
    <w:rsid w:val="56A12954"/>
    <w:rsid w:val="56BD250F"/>
    <w:rsid w:val="56D14A44"/>
    <w:rsid w:val="56D36A13"/>
    <w:rsid w:val="5715657C"/>
    <w:rsid w:val="57171D81"/>
    <w:rsid w:val="577F5EA1"/>
    <w:rsid w:val="57AD0F69"/>
    <w:rsid w:val="57E82C63"/>
    <w:rsid w:val="580C1868"/>
    <w:rsid w:val="580E41BB"/>
    <w:rsid w:val="582A5CF2"/>
    <w:rsid w:val="58433EDF"/>
    <w:rsid w:val="58465F2C"/>
    <w:rsid w:val="584B47FB"/>
    <w:rsid w:val="58721E0B"/>
    <w:rsid w:val="588224FD"/>
    <w:rsid w:val="58D35AAB"/>
    <w:rsid w:val="58E31495"/>
    <w:rsid w:val="591469D0"/>
    <w:rsid w:val="591E7196"/>
    <w:rsid w:val="59555EE8"/>
    <w:rsid w:val="595777A8"/>
    <w:rsid w:val="596115AC"/>
    <w:rsid w:val="597A5475"/>
    <w:rsid w:val="598711CA"/>
    <w:rsid w:val="599359D9"/>
    <w:rsid w:val="59B23598"/>
    <w:rsid w:val="59CE7435"/>
    <w:rsid w:val="5A085671"/>
    <w:rsid w:val="5A105E9D"/>
    <w:rsid w:val="5A5D5ACE"/>
    <w:rsid w:val="5B2729ED"/>
    <w:rsid w:val="5B560BEF"/>
    <w:rsid w:val="5BEA0C9C"/>
    <w:rsid w:val="5C02479D"/>
    <w:rsid w:val="5C2E2A00"/>
    <w:rsid w:val="5C3B6163"/>
    <w:rsid w:val="5C3D39D3"/>
    <w:rsid w:val="5C972585"/>
    <w:rsid w:val="5C9D776E"/>
    <w:rsid w:val="5CC84C37"/>
    <w:rsid w:val="5CE67624"/>
    <w:rsid w:val="5CF91525"/>
    <w:rsid w:val="5D941214"/>
    <w:rsid w:val="5DB62E22"/>
    <w:rsid w:val="5DC7395C"/>
    <w:rsid w:val="5DE55AAD"/>
    <w:rsid w:val="5DF92A7B"/>
    <w:rsid w:val="5E305C66"/>
    <w:rsid w:val="5E770867"/>
    <w:rsid w:val="5E7A7931"/>
    <w:rsid w:val="5E8132FA"/>
    <w:rsid w:val="5E865A48"/>
    <w:rsid w:val="5E957C30"/>
    <w:rsid w:val="5EA3702B"/>
    <w:rsid w:val="5EF7296A"/>
    <w:rsid w:val="5EF820B1"/>
    <w:rsid w:val="5F5971B3"/>
    <w:rsid w:val="5F6C2583"/>
    <w:rsid w:val="5F7A0DCF"/>
    <w:rsid w:val="5F8266B0"/>
    <w:rsid w:val="5F8800AD"/>
    <w:rsid w:val="5FC24B65"/>
    <w:rsid w:val="60196ACC"/>
    <w:rsid w:val="602F3AC7"/>
    <w:rsid w:val="603D4250"/>
    <w:rsid w:val="60462E14"/>
    <w:rsid w:val="605F532C"/>
    <w:rsid w:val="606C1B63"/>
    <w:rsid w:val="60A44923"/>
    <w:rsid w:val="60FA4992"/>
    <w:rsid w:val="610734E9"/>
    <w:rsid w:val="6121464D"/>
    <w:rsid w:val="615826C4"/>
    <w:rsid w:val="617F41F1"/>
    <w:rsid w:val="61B07621"/>
    <w:rsid w:val="61C6591D"/>
    <w:rsid w:val="61F97A44"/>
    <w:rsid w:val="620766A7"/>
    <w:rsid w:val="62112174"/>
    <w:rsid w:val="621A3B78"/>
    <w:rsid w:val="621E36AD"/>
    <w:rsid w:val="622A28CA"/>
    <w:rsid w:val="622C7FA1"/>
    <w:rsid w:val="623724F7"/>
    <w:rsid w:val="62535A99"/>
    <w:rsid w:val="626358E9"/>
    <w:rsid w:val="629D0B25"/>
    <w:rsid w:val="62AC3191"/>
    <w:rsid w:val="62AD6A84"/>
    <w:rsid w:val="62B4676B"/>
    <w:rsid w:val="62E72D7C"/>
    <w:rsid w:val="62EA2020"/>
    <w:rsid w:val="62F66D88"/>
    <w:rsid w:val="632678BF"/>
    <w:rsid w:val="63462059"/>
    <w:rsid w:val="63C059D2"/>
    <w:rsid w:val="63D653F3"/>
    <w:rsid w:val="640B26E3"/>
    <w:rsid w:val="641B6599"/>
    <w:rsid w:val="641E4ED5"/>
    <w:rsid w:val="641F25D2"/>
    <w:rsid w:val="64505CB8"/>
    <w:rsid w:val="645D179A"/>
    <w:rsid w:val="6486542C"/>
    <w:rsid w:val="64A34F81"/>
    <w:rsid w:val="64B14EDC"/>
    <w:rsid w:val="64CF6967"/>
    <w:rsid w:val="64E506BE"/>
    <w:rsid w:val="64F57C6E"/>
    <w:rsid w:val="650D3668"/>
    <w:rsid w:val="651C3534"/>
    <w:rsid w:val="653C7ADA"/>
    <w:rsid w:val="65415AAE"/>
    <w:rsid w:val="657B532A"/>
    <w:rsid w:val="658018F7"/>
    <w:rsid w:val="659169F2"/>
    <w:rsid w:val="65B63780"/>
    <w:rsid w:val="65E1314F"/>
    <w:rsid w:val="66410A3B"/>
    <w:rsid w:val="66627414"/>
    <w:rsid w:val="666526F9"/>
    <w:rsid w:val="669A732D"/>
    <w:rsid w:val="66E02EB1"/>
    <w:rsid w:val="67A27A68"/>
    <w:rsid w:val="67CF34A0"/>
    <w:rsid w:val="680D2170"/>
    <w:rsid w:val="680F42DB"/>
    <w:rsid w:val="681159CB"/>
    <w:rsid w:val="684F03D3"/>
    <w:rsid w:val="68704024"/>
    <w:rsid w:val="6875543C"/>
    <w:rsid w:val="68B94D4F"/>
    <w:rsid w:val="68C137BA"/>
    <w:rsid w:val="68CD6381"/>
    <w:rsid w:val="68CF737E"/>
    <w:rsid w:val="69242BA6"/>
    <w:rsid w:val="694C07E5"/>
    <w:rsid w:val="695E28E2"/>
    <w:rsid w:val="6968091F"/>
    <w:rsid w:val="69D26D53"/>
    <w:rsid w:val="6A75758F"/>
    <w:rsid w:val="6A833BAC"/>
    <w:rsid w:val="6A885403"/>
    <w:rsid w:val="6A8C67E6"/>
    <w:rsid w:val="6AD72D3B"/>
    <w:rsid w:val="6B0810E0"/>
    <w:rsid w:val="6B0C448E"/>
    <w:rsid w:val="6B1027E3"/>
    <w:rsid w:val="6B1762D9"/>
    <w:rsid w:val="6B295E13"/>
    <w:rsid w:val="6B501853"/>
    <w:rsid w:val="6B69085D"/>
    <w:rsid w:val="6B740DBA"/>
    <w:rsid w:val="6BE75D99"/>
    <w:rsid w:val="6C314077"/>
    <w:rsid w:val="6C696C5B"/>
    <w:rsid w:val="6CCD4BBE"/>
    <w:rsid w:val="6CDF7424"/>
    <w:rsid w:val="6CEC5897"/>
    <w:rsid w:val="6D1841DC"/>
    <w:rsid w:val="6D477461"/>
    <w:rsid w:val="6D48372F"/>
    <w:rsid w:val="6D596DB9"/>
    <w:rsid w:val="6D7D7325"/>
    <w:rsid w:val="6D814E1E"/>
    <w:rsid w:val="6DCF505D"/>
    <w:rsid w:val="6E48490F"/>
    <w:rsid w:val="6E6A368B"/>
    <w:rsid w:val="6EBD6146"/>
    <w:rsid w:val="6EEC4937"/>
    <w:rsid w:val="6F062293"/>
    <w:rsid w:val="6F547BDB"/>
    <w:rsid w:val="6F5B698D"/>
    <w:rsid w:val="6F7C5106"/>
    <w:rsid w:val="6F8A29A9"/>
    <w:rsid w:val="6F9317B9"/>
    <w:rsid w:val="6FAF6A12"/>
    <w:rsid w:val="6FC62043"/>
    <w:rsid w:val="704E3899"/>
    <w:rsid w:val="708E79F5"/>
    <w:rsid w:val="70E87DBA"/>
    <w:rsid w:val="70FC3396"/>
    <w:rsid w:val="716466C3"/>
    <w:rsid w:val="717D49AF"/>
    <w:rsid w:val="71C40D8D"/>
    <w:rsid w:val="71D435B5"/>
    <w:rsid w:val="723278B7"/>
    <w:rsid w:val="723F01F2"/>
    <w:rsid w:val="72504666"/>
    <w:rsid w:val="727D490F"/>
    <w:rsid w:val="729552C8"/>
    <w:rsid w:val="72D769C4"/>
    <w:rsid w:val="73110529"/>
    <w:rsid w:val="73492896"/>
    <w:rsid w:val="737B7C0E"/>
    <w:rsid w:val="73BE0ABA"/>
    <w:rsid w:val="73E1294F"/>
    <w:rsid w:val="73E958E9"/>
    <w:rsid w:val="73F62E23"/>
    <w:rsid w:val="74285316"/>
    <w:rsid w:val="7434432A"/>
    <w:rsid w:val="74EF26D4"/>
    <w:rsid w:val="74F0322B"/>
    <w:rsid w:val="75434D5C"/>
    <w:rsid w:val="75A95FB4"/>
    <w:rsid w:val="75AE501A"/>
    <w:rsid w:val="75C627A2"/>
    <w:rsid w:val="75DC0689"/>
    <w:rsid w:val="75E0081B"/>
    <w:rsid w:val="75E37CF2"/>
    <w:rsid w:val="7659580F"/>
    <w:rsid w:val="766706A4"/>
    <w:rsid w:val="76802A49"/>
    <w:rsid w:val="76841D98"/>
    <w:rsid w:val="76936F53"/>
    <w:rsid w:val="769A340F"/>
    <w:rsid w:val="76CF1F80"/>
    <w:rsid w:val="76D642AD"/>
    <w:rsid w:val="76F23F83"/>
    <w:rsid w:val="77017B06"/>
    <w:rsid w:val="770E2391"/>
    <w:rsid w:val="773B1391"/>
    <w:rsid w:val="779405B9"/>
    <w:rsid w:val="77FE22AB"/>
    <w:rsid w:val="7802223A"/>
    <w:rsid w:val="7803690D"/>
    <w:rsid w:val="780F0BAC"/>
    <w:rsid w:val="787C7092"/>
    <w:rsid w:val="787E4C83"/>
    <w:rsid w:val="78984FBE"/>
    <w:rsid w:val="78AD3FCF"/>
    <w:rsid w:val="78D1392F"/>
    <w:rsid w:val="78D936E4"/>
    <w:rsid w:val="791311D2"/>
    <w:rsid w:val="7913366B"/>
    <w:rsid w:val="7922513F"/>
    <w:rsid w:val="79394E30"/>
    <w:rsid w:val="793C7223"/>
    <w:rsid w:val="798B3F0C"/>
    <w:rsid w:val="79AD15D4"/>
    <w:rsid w:val="79CD4BC1"/>
    <w:rsid w:val="79CD5032"/>
    <w:rsid w:val="79EF0B61"/>
    <w:rsid w:val="7A385403"/>
    <w:rsid w:val="7A4B2978"/>
    <w:rsid w:val="7A560A32"/>
    <w:rsid w:val="7A5A3AC3"/>
    <w:rsid w:val="7A656892"/>
    <w:rsid w:val="7A9B4A8E"/>
    <w:rsid w:val="7AE550DC"/>
    <w:rsid w:val="7B1570DF"/>
    <w:rsid w:val="7B195331"/>
    <w:rsid w:val="7B216417"/>
    <w:rsid w:val="7B382280"/>
    <w:rsid w:val="7C0B23FD"/>
    <w:rsid w:val="7CA04924"/>
    <w:rsid w:val="7D3C2DCC"/>
    <w:rsid w:val="7D3F3206"/>
    <w:rsid w:val="7D6F4490"/>
    <w:rsid w:val="7D9E30E4"/>
    <w:rsid w:val="7DA466C2"/>
    <w:rsid w:val="7DCC6F53"/>
    <w:rsid w:val="7DCE3A4A"/>
    <w:rsid w:val="7DE672E2"/>
    <w:rsid w:val="7E4E5843"/>
    <w:rsid w:val="7E6E1D8E"/>
    <w:rsid w:val="7E7560F1"/>
    <w:rsid w:val="7EA233D5"/>
    <w:rsid w:val="7EA73EBF"/>
    <w:rsid w:val="7EAB7C34"/>
    <w:rsid w:val="7EBA7166"/>
    <w:rsid w:val="7F33564E"/>
    <w:rsid w:val="7FBC62AD"/>
    <w:rsid w:val="7FCC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068"/>
    </w:pPr>
    <w:rPr>
      <w:sz w:val="32"/>
      <w:szCs w:val="32"/>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rFonts w:cs="Times New Roman"/>
      <w:b/>
      <w:bCs/>
    </w:rPr>
  </w:style>
  <w:style w:type="character" w:styleId="13">
    <w:name w:val="Hyperlink"/>
    <w:basedOn w:val="11"/>
    <w:qFormat/>
    <w:uiPriority w:val="0"/>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Char"/>
    <w:basedOn w:val="11"/>
    <w:link w:val="5"/>
    <w:semiHidden/>
    <w:qFormat/>
    <w:uiPriority w:val="99"/>
    <w:rPr>
      <w:rFonts w:asciiTheme="minorHAnsi" w:hAnsiTheme="minorHAnsi" w:eastAsiaTheme="minorEastAsia" w:cstheme="minorBidi"/>
      <w:kern w:val="2"/>
      <w:sz w:val="21"/>
      <w:szCs w:val="22"/>
    </w:rPr>
  </w:style>
  <w:style w:type="paragraph" w:customStyle="1" w:styleId="18">
    <w:name w:val="列出段落1"/>
    <w:basedOn w:val="1"/>
    <w:qFormat/>
    <w:uiPriority w:val="34"/>
    <w:pPr>
      <w:ind w:firstLine="420" w:firstLineChars="200"/>
    </w:pPr>
    <w:rPr>
      <w:rFonts w:cs="Times New Roman"/>
    </w:rPr>
  </w:style>
  <w:style w:type="character" w:customStyle="1" w:styleId="19">
    <w:name w:val="批注框文本 Char"/>
    <w:basedOn w:val="11"/>
    <w:link w:val="6"/>
    <w:semiHidden/>
    <w:qFormat/>
    <w:uiPriority w:val="99"/>
    <w:rPr>
      <w:rFonts w:asciiTheme="minorHAnsi" w:hAnsiTheme="minorHAnsi" w:eastAsiaTheme="minorEastAsia" w:cstheme="minorBidi"/>
      <w:kern w:val="2"/>
      <w:sz w:val="18"/>
      <w:szCs w:val="18"/>
    </w:rPr>
  </w:style>
  <w:style w:type="character" w:customStyle="1" w:styleId="20">
    <w:name w:val="apple-converted-space"/>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E9191-051F-4396-A387-426D6F71C9F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579</Words>
  <Characters>3303</Characters>
  <Lines>27</Lines>
  <Paragraphs>7</Paragraphs>
  <TotalTime>5</TotalTime>
  <ScaleCrop>false</ScaleCrop>
  <LinksUpToDate>false</LinksUpToDate>
  <CharactersWithSpaces>3875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2019-04-04T07:28:00Z</dcterms:created>
  <dc:creator>PP P</dc:creator>
  <cp:lastModifiedBy>Administrator</cp:lastModifiedBy>
  <cp:lastPrinted>2021-01-28T08:09:00Z</cp:lastPrinted>
  <dcterms:modified xsi:type="dcterms:W3CDTF">2021-04-30T00:22:25Z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BC84458D988D4D81B5C978D0404EE6C2</vt:lpwstr>
  </property>
</Properties>
</file>