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color w:val="FF0000"/>
          <w:sz w:val="44"/>
          <w:szCs w:val="44"/>
        </w:rPr>
      </w:pPr>
    </w:p>
    <w:p>
      <w:pPr>
        <w:jc w:val="center"/>
        <w:rPr>
          <w:rFonts w:asciiTheme="minorEastAsia" w:hAnsiTheme="minorEastAsia" w:cstheme="minorEastAsia"/>
          <w:b/>
          <w:bCs/>
          <w:color w:val="FF0000"/>
          <w:sz w:val="63"/>
          <w:szCs w:val="63"/>
        </w:rPr>
      </w:pPr>
      <w:r>
        <w:rPr>
          <w:rFonts w:hint="eastAsia" w:asciiTheme="minorEastAsia" w:hAnsiTheme="minorEastAsia" w:cstheme="minorEastAsia"/>
          <w:b/>
          <w:bCs/>
          <w:color w:val="FF0000"/>
          <w:sz w:val="63"/>
          <w:szCs w:val="63"/>
        </w:rPr>
        <w:t>北京隆基盛世国际教育咨询中心</w:t>
      </w:r>
    </w:p>
    <w:p>
      <w:pPr>
        <w:spacing w:line="400" w:lineRule="exact"/>
        <w:jc w:val="center"/>
        <w:rPr>
          <w:rFonts w:asciiTheme="minorEastAsia" w:hAnsiTheme="minorEastAsia" w:cstheme="minorEastAsia"/>
          <w:b/>
          <w:bCs/>
          <w:sz w:val="28"/>
          <w:szCs w:val="28"/>
        </w:rPr>
      </w:pPr>
      <w:r>
        <w:rPr>
          <w:rFonts w:hint="eastAsia" w:asciiTheme="minorEastAsia" w:hAnsiTheme="minorEastAsia" w:cstheme="minorEastAsia"/>
          <w:sz w:val="24"/>
          <w:szCs w:val="24"/>
        </w:rPr>
        <w:t>隆基国教[2021]08号</w:t>
      </w:r>
    </w:p>
    <w:p>
      <w:pPr>
        <w:spacing w:line="400" w:lineRule="exact"/>
        <w:jc w:val="center"/>
        <w:rPr>
          <w:rFonts w:asciiTheme="minorEastAsia" w:hAnsiTheme="minorEastAsia" w:cstheme="minorEastAsia"/>
          <w:b/>
          <w:bCs/>
          <w:sz w:val="28"/>
          <w:szCs w:val="28"/>
        </w:rPr>
      </w:pPr>
      <w:r>
        <w:rPr>
          <w:rFonts w:asciiTheme="minorEastAsia" w:hAnsiTheme="minorEastAsia" w:cstheme="minorEastAsia"/>
          <w:sz w:val="63"/>
          <w:szCs w:val="63"/>
        </w:rPr>
        <mc:AlternateContent>
          <mc:Choice Requires="wps">
            <w:drawing>
              <wp:anchor distT="0" distB="0" distL="114300" distR="114300" simplePos="0" relativeHeight="251662336" behindDoc="0" locked="0" layoutInCell="1" allowOverlap="1">
                <wp:simplePos x="0" y="0"/>
                <wp:positionH relativeFrom="column">
                  <wp:posOffset>-192405</wp:posOffset>
                </wp:positionH>
                <wp:positionV relativeFrom="paragraph">
                  <wp:posOffset>54610</wp:posOffset>
                </wp:positionV>
                <wp:extent cx="60699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69965" cy="0"/>
                        </a:xfrm>
                        <a:prstGeom prst="line">
                          <a:avLst/>
                        </a:prstGeom>
                        <a:noFill/>
                        <a:ln w="15875" cap="flat" cmpd="sng" algn="ctr">
                          <a:solidFill>
                            <a:srgbClr val="FF0000"/>
                          </a:solidFill>
                          <a:prstDash val="solid"/>
                        </a:ln>
                        <a:effectLst/>
                      </wps:spPr>
                      <wps:bodyPr/>
                    </wps:wsp>
                  </a:graphicData>
                </a:graphic>
              </wp:anchor>
            </w:drawing>
          </mc:Choice>
          <mc:Fallback>
            <w:pict>
              <v:line id="_x0000_s1026" o:spid="_x0000_s1026" o:spt="20" style="position:absolute;left:0pt;margin-left:-15.15pt;margin-top:4.3pt;height:0pt;width:477.95pt;z-index:251662336;mso-width-relative:page;mso-height-relative:page;" filled="f" stroked="t" coordsize="21600,21600" o:gfxdata="UEsDBAoAAAAAAIdO4kAAAAAAAAAAAAAAAAAEAAAAZHJzL1BLAwQUAAAACACHTuJAhVjlfNUAAAAH&#10;AQAADwAAAGRycy9kb3ducmV2LnhtbE2OwU7DMBBE70j8g7VIXFBrN4HShjg9gBA3KkqlXre2SSLi&#10;dYjdpvD1LFzgNqMZzbxydfKdOLohtoE0zKYKhCMTbEu1hu3r42QBIiYki10gp+HTRVhV52clFjaM&#10;9OKOm1QLHqFYoIYmpb6QMprGeYzT0Dvi7C0MHhPboZZ2wJHHfSczpebSY0v80GDv7htn3jcHr4Fu&#10;l0/mY71L5lqOY7jKv54xe9D68mKm7kAkd0p/ZfjBZ3SomGkfDmSj6DRMcpVzVcNiDoLzZXbDYv/r&#10;ZVXK//zVN1BLAwQUAAAACACHTuJAyyv4BuABAACpAwAADgAAAGRycy9lMm9Eb2MueG1srVNLbtsw&#10;EN0X6B0I7mvJAeImguUsYribojXQ9gBjipII8AcOY9mX6AUKdNeuuuy+t2l6jA4pxU2TTRbRgpoh&#10;R2/mPT4trw5Gs70MqJyt+XxWciatcI2yXc0/fdy8uuAMI9gGtLOy5keJ/Gr18sVy8JU8c73TjQyM&#10;QCxWg695H6OvigJFLw3gzHlp6bB1wUCkNHRFE2AgdKOLs7JcFIMLjQ9OSETaXY+HfEIMTwF0bauE&#10;XDtxY6SNI2qQGiJRwl555Ks8bdtKEd+3LcrIdM2JacwrNaF4l9ZitYSqC+B7JaYR4CkjPOBkQFlq&#10;eoJaQwR2E9QjKKNEcOjaOBPOFCORrAixmJcPtPnQg5eZC0mN/iQ6Ph+seLffBqYacgJnFgxd+O2X&#10;n78/f/vz6yuttz++s3kSafBYUe213YYpQ78NifGhDSa9iQs7ZGGPJ2HlITJBm4tycXm5OOdM3J0V&#10;/z70AeMb6QxLQc21sokzVLB/i5GaUeldSdq2bqO0zvemLRto8POL1wkayIwtmYBC44kQ2o4z0B25&#10;XMSQIdFp1aTPExCGbnetA9sDeWOzKelJTKndf2Wp9xqwH+vy0VSmbYKR2WXTqEmmUZgU7VxzzHoV&#10;KaMbzOiT25JF7ucU3//DV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VjlfNUAAAAHAQAADwAA&#10;AAAAAAABACAAAAAiAAAAZHJzL2Rvd25yZXYueG1sUEsBAhQAFAAAAAgAh07iQMsr+AbgAQAAqQMA&#10;AA4AAAAAAAAAAQAgAAAAJAEAAGRycy9lMm9Eb2MueG1sUEsFBgAAAAAGAAYAWQEAAHYFAAAAAA==&#10;">
                <v:fill on="f" focussize="0,0"/>
                <v:stroke weight="1.25pt" color="#FF0000" joinstyle="round"/>
                <v:imagedata o:title=""/>
                <o:lock v:ext="edit" aspectratio="f"/>
              </v:line>
            </w:pict>
          </mc:Fallback>
        </mc:AlternateContent>
      </w:r>
    </w:p>
    <w:p>
      <w:pPr>
        <w:spacing w:line="4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关于举办“建设工程全过程造价管控与结算审计实务操作暨《建设项目工程总承包合同（示范文本）》精要解读与案例解析专题培训班”的通知</w:t>
      </w:r>
    </w:p>
    <w:p>
      <w:pPr>
        <w:rPr>
          <w:rFonts w:asciiTheme="minorEastAsia" w:hAnsiTheme="minorEastAsia" w:cstheme="minorEastAsia"/>
        </w:rPr>
      </w:pPr>
    </w:p>
    <w:p>
      <w:pPr>
        <w:rPr>
          <w:rFonts w:asciiTheme="minorEastAsia" w:hAnsiTheme="minorEastAsia" w:cstheme="minorEastAsia"/>
          <w:b/>
          <w:bCs/>
        </w:rPr>
      </w:pPr>
    </w:p>
    <w:p>
      <w:pPr>
        <w:rPr>
          <w:rFonts w:asciiTheme="minorEastAsia" w:hAnsiTheme="minorEastAsia" w:cstheme="minorEastAsia"/>
          <w:b/>
          <w:bCs/>
        </w:rPr>
      </w:pPr>
      <w:r>
        <w:rPr>
          <w:rFonts w:hint="eastAsia" w:asciiTheme="minorEastAsia" w:hAnsiTheme="minorEastAsia" w:cstheme="minorEastAsia"/>
          <w:b/>
          <w:bCs/>
        </w:rPr>
        <w:t>各有关单位：</w:t>
      </w:r>
    </w:p>
    <w:p>
      <w:pPr>
        <w:ind w:firstLine="420" w:firstLineChars="200"/>
        <w:rPr>
          <w:rFonts w:asciiTheme="minorEastAsia" w:hAnsiTheme="minorEastAsia" w:cstheme="minorEastAsia"/>
        </w:rPr>
      </w:pPr>
      <w:r>
        <w:rPr>
          <w:rFonts w:hint="eastAsia" w:asciiTheme="minorEastAsia" w:hAnsiTheme="minorEastAsia" w:cstheme="minorEastAsia"/>
        </w:rPr>
        <w:t>工程总承包模式反映了市场专业化分工趋势和风险规避要求，是建筑业改革与发展的重要突破口。新一轮工程总承包和项目管理的热潮已经到来，并促进建筑业改革不断迈上新的台阶。住建部、国家发改委联合发布《房屋建筑和市政基础设施项目工程总承包管理办法》（[2019]12号）并于2020年3月1日正式施行，标志着我国工程建设行业的改革发展进入了崭新的新阶段。住房和城乡建设部、市场监管总局制定了《建设项目工程总承包合同（示范文本）》（GF-2020-0216），自2021年1月1日起执行。2020版合同示范文本，对助力工程总承包优化升级、促进建筑业持续健康发展具有重要意义。</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工程造价一直是建筑市场博弈的焦点，工程造价管控、计价分歧、施工合同纠纷、工程价款调整与结算审计疑难问题越来越引起各市场主体的高度重视。</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当前形势下工程造价与结算审计问题比较突出。工程设计变更、人工材料涨价、计价纠纷、结算纠纷、工程款纠纷等等各类造价问题严重困扰着各参建方，如何在造价层面予以防范？避免不必要的损失！以及产生纠纷后如何有效处理？工程造价有哪些新动态？建设工程施工合同纠纷的计价与结算有哪些热点与难点问题？如何确定工程造价？这都是在工程实践中亟需掌握的重中之重。</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为实现各方合作共赢的梦想，我中心决定举办“建设工程全过程造价管控与结算审计实务操作暨分险防范视角下《建设项目工程总承包合同（示范文本）》精要解读专题培训班”。我们将工程造价与结算审计疑难问题进行全面梳理，提出相应的对策和措施。现将有关事项通知如下：</w:t>
      </w:r>
    </w:p>
    <w:p>
      <w:pPr>
        <w:pStyle w:val="15"/>
        <w:widowControl/>
        <w:autoSpaceDE w:val="0"/>
        <w:autoSpaceDN w:val="0"/>
        <w:adjustRightInd w:val="0"/>
        <w:spacing w:line="380" w:lineRule="exact"/>
        <w:ind w:firstLine="0" w:firstLineChars="0"/>
        <w:jc w:val="left"/>
        <w:rPr>
          <w:rFonts w:asciiTheme="minorEastAsia" w:hAnsiTheme="minorEastAsia" w:cstheme="minorEastAsia"/>
          <w:b/>
          <w:bCs/>
          <w:szCs w:val="21"/>
        </w:rPr>
      </w:pPr>
    </w:p>
    <w:p>
      <w:pPr>
        <w:pStyle w:val="15"/>
        <w:widowControl/>
        <w:autoSpaceDE w:val="0"/>
        <w:autoSpaceDN w:val="0"/>
        <w:adjustRightInd w:val="0"/>
        <w:spacing w:line="380" w:lineRule="exact"/>
        <w:ind w:firstLine="0" w:firstLineChars="0"/>
        <w:jc w:val="left"/>
        <w:rPr>
          <w:rFonts w:asciiTheme="minorEastAsia" w:hAnsiTheme="minorEastAsia" w:cstheme="minorEastAsia"/>
          <w:b/>
          <w:bCs/>
          <w:szCs w:val="21"/>
        </w:rPr>
      </w:pPr>
      <w:r>
        <w:rPr>
          <w:rFonts w:hint="eastAsia" w:asciiTheme="minorEastAsia" w:hAnsiTheme="minorEastAsia" w:cstheme="minorEastAsia"/>
          <w:b/>
          <w:bCs/>
          <w:szCs w:val="21"/>
        </w:rPr>
        <w:t>一、培训内容</w:t>
      </w:r>
    </w:p>
    <w:p>
      <w:pPr>
        <w:pStyle w:val="15"/>
        <w:widowControl/>
        <w:autoSpaceDE w:val="0"/>
        <w:autoSpaceDN w:val="0"/>
        <w:adjustRightInd w:val="0"/>
        <w:spacing w:line="380" w:lineRule="exact"/>
        <w:ind w:firstLine="0" w:firstLineChars="0"/>
        <w:jc w:val="left"/>
        <w:rPr>
          <w:rFonts w:asciiTheme="minorEastAsia" w:hAnsiTheme="minorEastAsia" w:cstheme="minorEastAsia"/>
          <w:b/>
          <w:bCs/>
          <w:szCs w:val="21"/>
        </w:rPr>
      </w:pPr>
      <w:r>
        <w:rPr>
          <w:rFonts w:hint="eastAsia" w:asciiTheme="minorEastAsia" w:hAnsiTheme="minorEastAsia" w:cstheme="minorEastAsia"/>
          <w:b/>
          <w:bCs/>
          <w:szCs w:val="21"/>
        </w:rPr>
        <w:t>第一部分</w:t>
      </w:r>
    </w:p>
    <w:p>
      <w:pPr>
        <w:spacing w:line="400" w:lineRule="exact"/>
        <w:rPr>
          <w:rFonts w:asciiTheme="minorEastAsia" w:hAnsiTheme="minorEastAsia" w:cstheme="minorEastAsia"/>
          <w:b/>
          <w:bCs/>
        </w:rPr>
      </w:pPr>
      <w:r>
        <w:rPr>
          <w:rFonts w:hint="eastAsia" w:asciiTheme="minorEastAsia" w:hAnsiTheme="minorEastAsia" w:cstheme="minorEastAsia"/>
          <w:b/>
          <w:bCs/>
        </w:rPr>
        <w:t>（一）全过程控价难点与对策</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概算定额、估算指标如何适用？</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没有预算定额，最高投标限价如何编制？如何报价？</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人工、材料、机械台班市场价格如何确定？</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如何依据大数据、人工智能等信息化技术编制概预算？</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设计限额、建造标准、合同价格，对结算造价影响？</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 xml:space="preserve">没有概算定额，如何报价与结算？ </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没有定额，综合单价如何计取？</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市场询价，分部分项的组成要素量如何确定？</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清单计价，市场询价如何推行？</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当出现新的合同外清单时，怎么定价？</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如何来判别成本是否合理？</w:t>
      </w:r>
    </w:p>
    <w:p>
      <w:pPr>
        <w:numPr>
          <w:ilvl w:val="0"/>
          <w:numId w:val="1"/>
        </w:numPr>
        <w:spacing w:line="400" w:lineRule="exact"/>
        <w:rPr>
          <w:rFonts w:asciiTheme="minorEastAsia" w:hAnsiTheme="minorEastAsia" w:cstheme="minorEastAsia"/>
        </w:rPr>
      </w:pPr>
      <w:r>
        <w:rPr>
          <w:rFonts w:hint="eastAsia" w:asciiTheme="minorEastAsia" w:hAnsiTheme="minorEastAsia" w:cstheme="minorEastAsia"/>
        </w:rPr>
        <w:t>如何根据实时价及实施量进行结算？</w:t>
      </w:r>
    </w:p>
    <w:p>
      <w:pPr>
        <w:spacing w:line="400" w:lineRule="exact"/>
        <w:rPr>
          <w:rFonts w:asciiTheme="minorEastAsia" w:hAnsiTheme="minorEastAsia" w:cstheme="minorEastAsia"/>
          <w:b/>
          <w:bCs/>
        </w:rPr>
      </w:pPr>
      <w:r>
        <w:rPr>
          <w:rFonts w:hint="eastAsia" w:asciiTheme="minorEastAsia" w:hAnsiTheme="minorEastAsia" w:cstheme="minorEastAsia"/>
          <w:b/>
          <w:bCs/>
        </w:rPr>
        <w:t>（二）招投标阶段造价问题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不平衡报价问题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暂列金漏传问题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招标工程设计图纸标明按“二次设计”、“深化设计”等字眼的，如何考虑该费用</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招标控制价，措施费漏项</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招标控制价项目特征描述不完整或与工程规范要求不符问题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招标控制价综合单价不统一或偏离市场价问题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招标清单、投标清单、招标控制价组价明细不一致问题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设计图纸与招标工程量清单不一致问题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设计优化造成部分工作删减引起的同价款调整</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清单计价模式下暂估价问题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清单量大于图纸量造价问题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清单招标、费率招标中的临时措施费问题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施工总承包（单价包干）项目中标了，暂未签订合同，现发现中标价格低于市场价，如何处理</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停工、窝工、用工签证、机械台班造价问题</w:t>
      </w:r>
    </w:p>
    <w:p>
      <w:pPr>
        <w:numPr>
          <w:ilvl w:val="0"/>
          <w:numId w:val="2"/>
        </w:numPr>
        <w:spacing w:line="400" w:lineRule="exact"/>
        <w:rPr>
          <w:rFonts w:asciiTheme="minorEastAsia" w:hAnsiTheme="minorEastAsia" w:cstheme="minorEastAsia"/>
        </w:rPr>
      </w:pPr>
      <w:r>
        <w:rPr>
          <w:rFonts w:hint="eastAsia" w:asciiTheme="minorEastAsia" w:hAnsiTheme="minorEastAsia" w:cstheme="minorEastAsia"/>
        </w:rPr>
        <w:t>有初步设计和财评审定概算，采用报下浮率并填报概算清单的方式</w:t>
      </w:r>
    </w:p>
    <w:p>
      <w:pPr>
        <w:spacing w:line="400" w:lineRule="exact"/>
        <w:rPr>
          <w:rFonts w:asciiTheme="minorEastAsia" w:hAnsiTheme="minorEastAsia" w:cstheme="minorEastAsia"/>
          <w:b/>
          <w:bCs/>
        </w:rPr>
      </w:pPr>
      <w:r>
        <w:rPr>
          <w:rFonts w:hint="eastAsia" w:asciiTheme="minorEastAsia" w:hAnsiTheme="minorEastAsia" w:cstheme="minorEastAsia"/>
          <w:b/>
          <w:bCs/>
        </w:rPr>
        <w:t>（三）合同签订阶段造价问题</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变更引起的费用超额调整合同价款</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不可预见的外界障碍或自然条件签证造价问题</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不利地质条件造价问题</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初步设计发包与结算完不成概算量扣款问题</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措施费包干，红线外措施费调整？</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当事人对工程价款约定了固定价的情形下，是否绝对不能申请鉴定</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对于施工措施项目没有设计图纸，但是在工程造价占比比较大的，例如钢平台、施工围堰、施工便道、水塔拆除，如何考虑该费用</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信息价计算主材价格造价问题</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延期期间能否调整合同约定的调差权重</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延期期间能否增加管理费？是否增加管理费与延期时间关系？如增加管理费，计算标准如何？</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降效费、赶工措施费如何计算比较合理？</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中标后拒绝签订合同问题</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甲供材造价合同取费基数问题</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合同约定材料、人工等价格包死条款的风险及争议处理</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黑白合同对工程履约、竣工结算的影响</w:t>
      </w:r>
    </w:p>
    <w:p>
      <w:pPr>
        <w:numPr>
          <w:ilvl w:val="0"/>
          <w:numId w:val="3"/>
        </w:numPr>
        <w:spacing w:line="400" w:lineRule="exact"/>
        <w:rPr>
          <w:rFonts w:asciiTheme="minorEastAsia" w:hAnsiTheme="minorEastAsia" w:cstheme="minorEastAsia"/>
        </w:rPr>
      </w:pPr>
      <w:r>
        <w:rPr>
          <w:rFonts w:hint="eastAsia" w:asciiTheme="minorEastAsia" w:hAnsiTheme="minorEastAsia" w:cstheme="minorEastAsia"/>
        </w:rPr>
        <w:t>合同中约定价格调整按照省、市交通主管部门文件规定执行</w:t>
      </w:r>
    </w:p>
    <w:p>
      <w:pPr>
        <w:spacing w:line="400" w:lineRule="exact"/>
        <w:rPr>
          <w:rFonts w:asciiTheme="minorEastAsia" w:hAnsiTheme="minorEastAsia" w:cstheme="minorEastAsia"/>
          <w:b/>
          <w:bCs/>
        </w:rPr>
      </w:pPr>
      <w:r>
        <w:rPr>
          <w:rFonts w:hint="eastAsia" w:asciiTheme="minorEastAsia" w:hAnsiTheme="minorEastAsia" w:cstheme="minorEastAsia"/>
          <w:b/>
          <w:bCs/>
        </w:rPr>
        <w:t>（四）履约阶段造价问题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恶劣天气工期顺延造价问题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二次报价问题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二次植筋费、高支模费问题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发生设计变更的，能否调整固定价款</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分包未签施工合同结算问题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工程变更、工期和价款调整造价问题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工程量变更引起包干措施项目费调整</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工程量偏差引起的安全文明施工费调整争议</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混合逾期，材料调价差</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人工费调整、材料价差调整问题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工程量清单错漏项问题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措施项目费调整问题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消耗量定额缺失、信息价格缺失等问题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EPC，公路08定额，18定额，预算高</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地铁，概算，下浮，总价包干，一部分变更，明挖变暗挖，变更部分，套预算定额</w:t>
      </w:r>
    </w:p>
    <w:p>
      <w:pPr>
        <w:numPr>
          <w:ilvl w:val="0"/>
          <w:numId w:val="4"/>
        </w:numPr>
        <w:spacing w:line="400" w:lineRule="exact"/>
        <w:rPr>
          <w:rFonts w:asciiTheme="minorEastAsia" w:hAnsiTheme="minorEastAsia" w:cstheme="minorEastAsia"/>
        </w:rPr>
      </w:pPr>
      <w:r>
        <w:rPr>
          <w:rFonts w:hint="eastAsia" w:asciiTheme="minorEastAsia" w:hAnsiTheme="minorEastAsia" w:cstheme="minorEastAsia"/>
        </w:rPr>
        <w:t>轻轨，ppp+epc，官方文件要求甲方初设，现乙方要求初设</w:t>
      </w:r>
    </w:p>
    <w:p>
      <w:pPr>
        <w:spacing w:line="400" w:lineRule="exact"/>
        <w:rPr>
          <w:rFonts w:asciiTheme="minorEastAsia" w:hAnsiTheme="minorEastAsia" w:cstheme="minorEastAsia"/>
          <w:b/>
          <w:bCs/>
        </w:rPr>
      </w:pPr>
      <w:r>
        <w:rPr>
          <w:rFonts w:hint="eastAsia" w:asciiTheme="minorEastAsia" w:hAnsiTheme="minorEastAsia" w:cstheme="minorEastAsia"/>
          <w:b/>
          <w:bCs/>
        </w:rPr>
        <w:t>（五）结算阶段造价问题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图纸与现场标高不一致，投标答疑与报价风险</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只有监理人员签字而没有建设单位的签字及盖章的签证能否作为结算的依据</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设计变更导致综合单价重新确定问题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设计变更或施工图有误造价问题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无效施工合同中“企业管理费”、“利润”、“规费”问题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先施工后签合同造价问题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结算超设计造价问题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可研估算立项与结算超限额问题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没有详图或具体使用部位造价问题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签名+“同意”、签名+“情况属实”、签名+“以上情况属实，同意结算”，有何区别</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签证直接签金额就大大减少甲方事后审价审减的空间</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情势变更、显失公平、重大误解、无限风险问题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人工浮动工资、议价项目、材料价格造价问题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已竣工项目，不验收、不结算问题</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地铁盾构机开挖，前期甲方管线挪移，赶工措施费</w:t>
      </w:r>
    </w:p>
    <w:p>
      <w:pPr>
        <w:numPr>
          <w:ilvl w:val="0"/>
          <w:numId w:val="5"/>
        </w:numPr>
        <w:spacing w:line="400" w:lineRule="exact"/>
        <w:rPr>
          <w:rFonts w:asciiTheme="minorEastAsia" w:hAnsiTheme="minorEastAsia" w:cstheme="minorEastAsia"/>
        </w:rPr>
      </w:pPr>
      <w:r>
        <w:rPr>
          <w:rFonts w:hint="eastAsia" w:asciiTheme="minorEastAsia" w:hAnsiTheme="minorEastAsia" w:cstheme="minorEastAsia"/>
        </w:rPr>
        <w:t>交通局概算包干，护坡塌方</w:t>
      </w:r>
    </w:p>
    <w:p>
      <w:pPr>
        <w:spacing w:line="400" w:lineRule="exact"/>
        <w:rPr>
          <w:rFonts w:asciiTheme="minorEastAsia" w:hAnsiTheme="minorEastAsia" w:cstheme="minorEastAsia"/>
          <w:b/>
          <w:bCs/>
        </w:rPr>
      </w:pPr>
      <w:r>
        <w:rPr>
          <w:rFonts w:hint="eastAsia" w:asciiTheme="minorEastAsia" w:hAnsiTheme="minorEastAsia" w:cstheme="minorEastAsia"/>
          <w:b/>
          <w:bCs/>
        </w:rPr>
        <w:t>（六）结算审计与财评</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路桥公司，EPC，财政评审，材料费，信息价</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EPC,跨铁桥，超概，挂靠</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实际施工与设计图纸不一致，结算如何调整</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招标文件约定施工过程核价问题</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招标控制价中没有赶工措施费，项目在实施过程中，因业主原因需要施工单位进行赶工，赶工措施费如何计算比较合理？</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EPC项目合同及范围外的结算原则</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当事人约定以行政审计、财政评审作为工程款结算依据的，按照约定处理。</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行政审计、财政评审部门明确表示无法进行审计或者无正当理由长期未出具审计结论，当事人申请进行司法鉴定的，可以准许。</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在双方当事人已经通过结算协议确认了工程结算价款并已基本履行完毕的情况下，国家审计机关作出的审计结论或财政评审意见，不影响双方结算协议的效力。</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中标合同与另行约定以审计结果作为结算依据不一致，如何处理？</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约定以审计结论作为结算依据，能否变更结算约定？</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审计机构超越资质范围出具审计报告，审计结果能否作为结算依据？</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政府审计结果是否影响双方当事人结算协议的履行？</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审计机关对发包人的竣工决算审计结果对承包人与实际施工人约定的结算方式的影响？</w:t>
      </w:r>
    </w:p>
    <w:p>
      <w:pPr>
        <w:numPr>
          <w:ilvl w:val="0"/>
          <w:numId w:val="6"/>
        </w:numPr>
        <w:spacing w:line="400" w:lineRule="exact"/>
        <w:rPr>
          <w:rFonts w:asciiTheme="minorEastAsia" w:hAnsiTheme="minorEastAsia" w:cstheme="minorEastAsia"/>
        </w:rPr>
      </w:pPr>
      <w:r>
        <w:rPr>
          <w:rFonts w:hint="eastAsia" w:asciiTheme="minorEastAsia" w:hAnsiTheme="minorEastAsia" w:cstheme="minorEastAsia"/>
        </w:rPr>
        <w:t>合同约定以决算审核部门审核结果作为结算依据的，审核结果能否作为结算的依据？</w:t>
      </w:r>
    </w:p>
    <w:p>
      <w:pPr>
        <w:spacing w:line="400" w:lineRule="exact"/>
        <w:rPr>
          <w:rFonts w:asciiTheme="minorEastAsia" w:hAnsiTheme="minorEastAsia" w:cstheme="minorEastAsia"/>
        </w:rPr>
      </w:pPr>
      <w:r>
        <w:rPr>
          <w:rFonts w:hint="eastAsia" w:asciiTheme="minorEastAsia" w:hAnsiTheme="minorEastAsia" w:cstheme="minorEastAsia"/>
        </w:rPr>
        <w:t>如果已经按照造价咨询机构的结论，全部支付完了工程款项，审计机关时候又提出审减的意见，这种要怎么处理？是要把钱追回来么？如果追不回来了，经办人员要被追责么？</w:t>
      </w:r>
    </w:p>
    <w:p>
      <w:pPr>
        <w:spacing w:line="400" w:lineRule="exact"/>
        <w:rPr>
          <w:rFonts w:asciiTheme="minorEastAsia" w:hAnsiTheme="minorEastAsia" w:cstheme="minorEastAsia"/>
          <w:b/>
          <w:bCs/>
        </w:rPr>
      </w:pPr>
    </w:p>
    <w:p>
      <w:pPr>
        <w:spacing w:line="400" w:lineRule="exact"/>
        <w:rPr>
          <w:rFonts w:asciiTheme="minorEastAsia" w:hAnsiTheme="minorEastAsia" w:cstheme="minorEastAsia"/>
          <w:b/>
          <w:bCs/>
        </w:rPr>
      </w:pPr>
      <w:r>
        <w:rPr>
          <w:rFonts w:hint="eastAsia" w:asciiTheme="minorEastAsia" w:hAnsiTheme="minorEastAsia" w:cstheme="minorEastAsia"/>
          <w:b/>
          <w:bCs/>
        </w:rPr>
        <w:t>第二部分</w:t>
      </w:r>
    </w:p>
    <w:p>
      <w:pPr>
        <w:spacing w:line="400" w:lineRule="exact"/>
        <w:rPr>
          <w:rFonts w:asciiTheme="minorEastAsia" w:hAnsiTheme="minorEastAsia" w:cstheme="minorEastAsia"/>
          <w:b/>
          <w:bCs/>
        </w:rPr>
      </w:pPr>
      <w:r>
        <w:rPr>
          <w:rFonts w:hint="eastAsia" w:asciiTheme="minorEastAsia" w:hAnsiTheme="minorEastAsia" w:cstheme="minorEastAsia"/>
          <w:b/>
          <w:bCs/>
        </w:rPr>
        <w:t>（一）2020版工程总承包合同诞生缘起</w:t>
      </w:r>
    </w:p>
    <w:p>
      <w:pPr>
        <w:numPr>
          <w:ilvl w:val="0"/>
          <w:numId w:val="7"/>
        </w:numPr>
        <w:spacing w:line="400" w:lineRule="exact"/>
        <w:rPr>
          <w:rFonts w:asciiTheme="minorEastAsia" w:hAnsiTheme="minorEastAsia" w:cstheme="minorEastAsia"/>
        </w:rPr>
      </w:pPr>
      <w:r>
        <w:rPr>
          <w:rFonts w:hint="eastAsia" w:asciiTheme="minorEastAsia" w:hAnsiTheme="minorEastAsia" w:cstheme="minorEastAsia"/>
        </w:rPr>
        <w:t>大势所趋：中央和地方大力推进工程总承包发展</w:t>
      </w:r>
    </w:p>
    <w:p>
      <w:pPr>
        <w:numPr>
          <w:ilvl w:val="0"/>
          <w:numId w:val="7"/>
        </w:numPr>
        <w:spacing w:line="400" w:lineRule="exact"/>
        <w:rPr>
          <w:rFonts w:asciiTheme="minorEastAsia" w:hAnsiTheme="minorEastAsia" w:cstheme="minorEastAsia"/>
        </w:rPr>
      </w:pPr>
      <w:r>
        <w:rPr>
          <w:rFonts w:hint="eastAsia" w:asciiTheme="minorEastAsia" w:hAnsiTheme="minorEastAsia" w:cstheme="minorEastAsia"/>
        </w:rPr>
        <w:t>继往开来：充分认识推行工程总承包合同示范文本的重要性</w:t>
      </w:r>
    </w:p>
    <w:p>
      <w:pPr>
        <w:numPr>
          <w:ilvl w:val="0"/>
          <w:numId w:val="7"/>
        </w:numPr>
        <w:spacing w:line="400" w:lineRule="exact"/>
        <w:rPr>
          <w:rFonts w:asciiTheme="minorEastAsia" w:hAnsiTheme="minorEastAsia" w:cstheme="minorEastAsia"/>
        </w:rPr>
      </w:pPr>
      <w:r>
        <w:rPr>
          <w:rFonts w:hint="eastAsia" w:asciiTheme="minorEastAsia" w:hAnsiTheme="minorEastAsia" w:cstheme="minorEastAsia"/>
        </w:rPr>
        <w:t>鉥心刿目：2020版工程总承包合同制定过程及内容对比介绍</w:t>
      </w:r>
    </w:p>
    <w:p>
      <w:pPr>
        <w:spacing w:line="400" w:lineRule="exact"/>
        <w:rPr>
          <w:rFonts w:asciiTheme="minorEastAsia" w:hAnsiTheme="minorEastAsia" w:cstheme="minorEastAsia"/>
        </w:rPr>
      </w:pPr>
      <w:r>
        <w:rPr>
          <w:rFonts w:hint="eastAsia" w:asciiTheme="minorEastAsia" w:hAnsiTheme="minorEastAsia" w:cstheme="minorEastAsia"/>
          <w:b/>
          <w:bCs/>
        </w:rPr>
        <w:t>（二）2020版工程总承包合同精要解读</w:t>
      </w:r>
    </w:p>
    <w:p>
      <w:pPr>
        <w:numPr>
          <w:ilvl w:val="0"/>
          <w:numId w:val="8"/>
        </w:numPr>
        <w:rPr>
          <w:rFonts w:asciiTheme="minorEastAsia" w:hAnsiTheme="minorEastAsia" w:cstheme="minorEastAsia"/>
        </w:rPr>
      </w:pPr>
      <w:r>
        <w:rPr>
          <w:rFonts w:hint="eastAsia" w:asciiTheme="minorEastAsia" w:hAnsiTheme="minorEastAsia" w:cstheme="minorEastAsia"/>
        </w:rPr>
        <w:t>工程总承包各参与方管理职责条款：新增[发包人的管理]，引入并完善[工程师]制度</w:t>
      </w:r>
    </w:p>
    <w:p>
      <w:pPr>
        <w:numPr>
          <w:ilvl w:val="0"/>
          <w:numId w:val="8"/>
        </w:numPr>
        <w:rPr>
          <w:rFonts w:asciiTheme="minorEastAsia" w:hAnsiTheme="minorEastAsia" w:cstheme="minorEastAsia"/>
        </w:rPr>
      </w:pPr>
      <w:r>
        <w:rPr>
          <w:rFonts w:hint="eastAsia" w:asciiTheme="minorEastAsia" w:hAnsiTheme="minorEastAsia" w:cstheme="minorEastAsia"/>
        </w:rPr>
        <w:t>合同价格条款：区分税率，细化合同价格组成</w:t>
      </w:r>
    </w:p>
    <w:p>
      <w:pPr>
        <w:numPr>
          <w:ilvl w:val="0"/>
          <w:numId w:val="8"/>
        </w:numPr>
        <w:rPr>
          <w:rFonts w:asciiTheme="minorEastAsia" w:hAnsiTheme="minorEastAsia" w:cstheme="minorEastAsia"/>
        </w:rPr>
      </w:pPr>
      <w:r>
        <w:rPr>
          <w:rFonts w:hint="eastAsia" w:asciiTheme="minorEastAsia" w:hAnsiTheme="minorEastAsia" w:cstheme="minorEastAsia"/>
        </w:rPr>
        <w:t>合同价格条款：引入《价格指数权重表》，改变“变更”界定方法</w:t>
      </w:r>
    </w:p>
    <w:p>
      <w:pPr>
        <w:numPr>
          <w:ilvl w:val="0"/>
          <w:numId w:val="8"/>
        </w:numPr>
        <w:rPr>
          <w:rFonts w:asciiTheme="minorEastAsia" w:hAnsiTheme="minorEastAsia" w:cstheme="minorEastAsia"/>
        </w:rPr>
      </w:pPr>
      <w:r>
        <w:rPr>
          <w:rFonts w:hint="eastAsia" w:asciiTheme="minorEastAsia" w:hAnsiTheme="minorEastAsia" w:cstheme="minorEastAsia"/>
        </w:rPr>
        <w:t>自然环境、地质条件、技术标准和其他不可预见困难等风险的分担条款：不可预见困难制度或可促进发承包人双赢</w:t>
      </w:r>
    </w:p>
    <w:p>
      <w:pPr>
        <w:numPr>
          <w:ilvl w:val="0"/>
          <w:numId w:val="8"/>
        </w:numPr>
        <w:rPr>
          <w:rFonts w:asciiTheme="minorEastAsia" w:hAnsiTheme="minorEastAsia" w:cstheme="minorEastAsia"/>
        </w:rPr>
      </w:pPr>
      <w:r>
        <w:rPr>
          <w:rFonts w:hint="eastAsia" w:asciiTheme="minorEastAsia" w:hAnsiTheme="minorEastAsia" w:cstheme="minorEastAsia"/>
        </w:rPr>
        <w:t>发包人资料错误的风险承担条款：发包人承担资料错误风险，承包人可依约索赔</w:t>
      </w:r>
    </w:p>
    <w:p>
      <w:pPr>
        <w:numPr>
          <w:ilvl w:val="0"/>
          <w:numId w:val="8"/>
        </w:numPr>
        <w:rPr>
          <w:rFonts w:asciiTheme="minorEastAsia" w:hAnsiTheme="minorEastAsia" w:cstheme="minorEastAsia"/>
        </w:rPr>
      </w:pPr>
      <w:r>
        <w:rPr>
          <w:rFonts w:hint="eastAsia" w:asciiTheme="minorEastAsia" w:hAnsiTheme="minorEastAsia" w:cstheme="minorEastAsia"/>
        </w:rPr>
        <w:t>索赔条款：案例讲解</w:t>
      </w:r>
    </w:p>
    <w:p>
      <w:pPr>
        <w:numPr>
          <w:ilvl w:val="0"/>
          <w:numId w:val="8"/>
        </w:numPr>
        <w:rPr>
          <w:rFonts w:asciiTheme="minorEastAsia" w:hAnsiTheme="minorEastAsia" w:cstheme="minorEastAsia"/>
        </w:rPr>
      </w:pPr>
      <w:r>
        <w:rPr>
          <w:rFonts w:hint="eastAsia" w:asciiTheme="minorEastAsia" w:hAnsiTheme="minorEastAsia" w:cstheme="minorEastAsia"/>
        </w:rPr>
        <w:t>建筑工人权利保护条款：工资、安全、健康、保险等全方位保护建筑工人</w:t>
      </w:r>
    </w:p>
    <w:p>
      <w:pPr>
        <w:numPr>
          <w:ilvl w:val="0"/>
          <w:numId w:val="8"/>
        </w:numPr>
        <w:rPr>
          <w:rFonts w:asciiTheme="minorEastAsia" w:hAnsiTheme="minorEastAsia" w:cstheme="minorEastAsia"/>
        </w:rPr>
      </w:pPr>
      <w:r>
        <w:rPr>
          <w:rFonts w:hint="eastAsia" w:asciiTheme="minorEastAsia" w:hAnsiTheme="minorEastAsia" w:cstheme="minorEastAsia"/>
        </w:rPr>
        <w:t>发包人的违约责任条款：发包人履约是保障项目顺利进行的前提</w:t>
      </w:r>
    </w:p>
    <w:p>
      <w:pPr>
        <w:numPr>
          <w:ilvl w:val="0"/>
          <w:numId w:val="8"/>
        </w:numPr>
        <w:rPr>
          <w:rFonts w:asciiTheme="minorEastAsia" w:hAnsiTheme="minorEastAsia" w:cstheme="minorEastAsia"/>
        </w:rPr>
      </w:pPr>
      <w:r>
        <w:rPr>
          <w:rFonts w:hint="eastAsia" w:asciiTheme="minorEastAsia" w:hAnsiTheme="minorEastAsia" w:cstheme="minorEastAsia"/>
        </w:rPr>
        <w:t>承包人的违约责任条款：承包人履约是保障项目顺利进行的关键</w:t>
      </w:r>
    </w:p>
    <w:p>
      <w:pPr>
        <w:numPr>
          <w:ilvl w:val="0"/>
          <w:numId w:val="8"/>
        </w:numPr>
        <w:rPr>
          <w:rFonts w:asciiTheme="minorEastAsia" w:hAnsiTheme="minorEastAsia" w:cstheme="minorEastAsia"/>
        </w:rPr>
      </w:pPr>
      <w:r>
        <w:rPr>
          <w:rFonts w:hint="eastAsia" w:asciiTheme="minorEastAsia" w:hAnsiTheme="minorEastAsia" w:cstheme="minorEastAsia"/>
        </w:rPr>
        <w:t>竣工验收和缺陷责任：理顺竣工验收相关条款，引导使用履约保函</w:t>
      </w:r>
    </w:p>
    <w:p>
      <w:pPr>
        <w:numPr>
          <w:ilvl w:val="0"/>
          <w:numId w:val="8"/>
        </w:numPr>
        <w:rPr>
          <w:rFonts w:asciiTheme="minorEastAsia" w:hAnsiTheme="minorEastAsia" w:cstheme="minorEastAsia"/>
        </w:rPr>
      </w:pPr>
      <w:r>
        <w:rPr>
          <w:rFonts w:hint="eastAsia" w:asciiTheme="minorEastAsia" w:hAnsiTheme="minorEastAsia" w:cstheme="minorEastAsia"/>
        </w:rPr>
        <w:t>不可抗力条款：不可抗力的停工损失为双方合理分担</w:t>
      </w:r>
    </w:p>
    <w:p>
      <w:pPr>
        <w:rPr>
          <w:rFonts w:asciiTheme="minorEastAsia" w:hAnsiTheme="minorEastAsia" w:cstheme="minorEastAsia"/>
          <w:b/>
          <w:bCs/>
        </w:rPr>
      </w:pPr>
      <w:r>
        <w:rPr>
          <w:rFonts w:hint="eastAsia" w:asciiTheme="minorEastAsia" w:hAnsiTheme="minorEastAsia" w:cstheme="minorEastAsia"/>
          <w:b/>
          <w:bCs/>
        </w:rPr>
        <w:t>二、培训对象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rPr>
        <w:t>建设行政主管部门、（房地产开发、工程项目管理、工程监理、工程咨询、招标办、公共资源交易中心、工程交易中心、投资项目评审中心、招标代理、城投公司、平台公司等）总经理、总造</w:t>
      </w:r>
      <w:r>
        <w:rPr>
          <w:rFonts w:hint="eastAsia" w:asciiTheme="minorEastAsia" w:hAnsiTheme="minorEastAsia" w:cstheme="minorEastAsia"/>
          <w:szCs w:val="21"/>
        </w:rPr>
        <w:t>价顾问、法务总监、项目管理、商务谈判、招标投标、合同管理、成本管理等中高级管理人员以及业务相关的直线管理人等。</w:t>
      </w:r>
    </w:p>
    <w:p>
      <w:pPr>
        <w:numPr>
          <w:ilvl w:val="0"/>
          <w:numId w:val="9"/>
        </w:numPr>
        <w:spacing w:line="400" w:lineRule="exact"/>
        <w:rPr>
          <w:rFonts w:asciiTheme="minorEastAsia" w:hAnsiTheme="minorEastAsia" w:cstheme="minorEastAsia"/>
          <w:b/>
          <w:bCs/>
          <w:szCs w:val="21"/>
        </w:rPr>
      </w:pPr>
      <w:r>
        <w:rPr>
          <w:rFonts w:hint="eastAsia" w:asciiTheme="minorEastAsia" w:hAnsiTheme="minorEastAsia" w:cstheme="minorEastAsia"/>
          <w:b/>
          <w:bCs/>
          <w:szCs w:val="21"/>
        </w:rPr>
        <w:t>时间、地点</w:t>
      </w:r>
    </w:p>
    <w:p>
      <w:pPr>
        <w:spacing w:line="400" w:lineRule="exact"/>
        <w:ind w:left="840" w:leftChars="400"/>
        <w:jc w:val="left"/>
        <w:rPr>
          <w:rFonts w:asciiTheme="minorEastAsia" w:hAnsiTheme="minorEastAsia" w:cstheme="minorEastAsia"/>
          <w:szCs w:val="21"/>
        </w:rPr>
      </w:pPr>
      <w:r>
        <w:rPr>
          <w:rFonts w:hint="eastAsia" w:asciiTheme="minorEastAsia" w:hAnsiTheme="minorEastAsia" w:cstheme="minorEastAsia"/>
          <w:szCs w:val="21"/>
        </w:rPr>
        <w:t>2021年6月17</w:t>
      </w:r>
      <w:r>
        <w:rPr>
          <w:rFonts w:hint="eastAsia" w:asciiTheme="minorEastAsia" w:hAnsiTheme="minorEastAsia" w:cstheme="minorEastAsia"/>
          <w:szCs w:val="21"/>
          <w:lang w:eastAsia="zh-CN"/>
        </w:rPr>
        <w:t>日</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6月</w:t>
      </w: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lang w:eastAsia="zh-CN"/>
        </w:rPr>
        <w:t>日</w:t>
      </w:r>
      <w:r>
        <w:rPr>
          <w:rFonts w:hint="eastAsia" w:asciiTheme="minorEastAsia" w:hAnsiTheme="minorEastAsia" w:cstheme="minorEastAsia"/>
          <w:szCs w:val="21"/>
        </w:rPr>
        <w:t xml:space="preserve">    </w:t>
      </w:r>
      <w:bookmarkStart w:id="0" w:name="_GoBack"/>
      <w:bookmarkEnd w:id="0"/>
      <w:r>
        <w:rPr>
          <w:rFonts w:hint="eastAsia" w:asciiTheme="minorEastAsia" w:hAnsiTheme="minorEastAsia" w:cstheme="minorEastAsia"/>
          <w:szCs w:val="21"/>
        </w:rPr>
        <w:t>广    州</w:t>
      </w:r>
      <w:r>
        <w:rPr>
          <w:rFonts w:hint="eastAsia" w:asciiTheme="minorEastAsia" w:hAnsiTheme="minorEastAsia" w:cstheme="minorEastAsia"/>
          <w:szCs w:val="21"/>
        </w:rPr>
        <w:br w:type="textWrapping"/>
      </w:r>
      <w:r>
        <w:rPr>
          <w:rFonts w:hint="eastAsia" w:asciiTheme="minorEastAsia" w:hAnsiTheme="minorEastAsia" w:cstheme="minorEastAsia"/>
          <w:szCs w:val="21"/>
        </w:rPr>
        <w:t>2021年7月21</w:t>
      </w:r>
      <w:r>
        <w:rPr>
          <w:rFonts w:hint="eastAsia" w:asciiTheme="minorEastAsia" w:hAnsiTheme="minorEastAsia" w:cstheme="minorEastAsia"/>
          <w:szCs w:val="21"/>
          <w:lang w:eastAsia="zh-CN"/>
        </w:rPr>
        <w:t>日</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7月</w:t>
      </w:r>
      <w:r>
        <w:rPr>
          <w:rFonts w:hint="eastAsia" w:asciiTheme="minorEastAsia" w:hAnsiTheme="minorEastAsia" w:cstheme="minorEastAsia"/>
          <w:szCs w:val="21"/>
        </w:rPr>
        <w:t xml:space="preserve">25 </w:t>
      </w:r>
      <w:r>
        <w:rPr>
          <w:rFonts w:hint="eastAsia" w:asciiTheme="minorEastAsia" w:hAnsiTheme="minorEastAsia" w:cstheme="minorEastAsia"/>
          <w:szCs w:val="21"/>
          <w:lang w:eastAsia="zh-CN"/>
        </w:rPr>
        <w:t>日</w:t>
      </w:r>
      <w:r>
        <w:rPr>
          <w:rFonts w:hint="eastAsia" w:asciiTheme="minorEastAsia" w:hAnsiTheme="minorEastAsia" w:cstheme="minorEastAsia"/>
          <w:szCs w:val="21"/>
        </w:rPr>
        <w:t xml:space="preserve">    乌鲁木齐</w:t>
      </w:r>
      <w:r>
        <w:rPr>
          <w:rFonts w:hint="eastAsia" w:asciiTheme="minorEastAsia" w:hAnsiTheme="minorEastAsia" w:cstheme="minorEastAsia"/>
          <w:szCs w:val="21"/>
        </w:rPr>
        <w:br w:type="textWrapping"/>
      </w:r>
      <w:r>
        <w:rPr>
          <w:rFonts w:hint="eastAsia" w:asciiTheme="minorEastAsia" w:hAnsiTheme="minorEastAsia" w:cstheme="minorEastAsia"/>
          <w:szCs w:val="21"/>
        </w:rPr>
        <w:t>2021年8月26</w:t>
      </w:r>
      <w:r>
        <w:rPr>
          <w:rFonts w:hint="eastAsia" w:asciiTheme="minorEastAsia" w:hAnsiTheme="minorEastAsia" w:cstheme="minorEastAsia"/>
          <w:szCs w:val="21"/>
          <w:lang w:eastAsia="zh-CN"/>
        </w:rPr>
        <w:t>日</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8月</w:t>
      </w:r>
      <w:r>
        <w:rPr>
          <w:rFonts w:hint="eastAsia" w:asciiTheme="minorEastAsia" w:hAnsiTheme="minorEastAsia" w:cstheme="minorEastAsia"/>
          <w:szCs w:val="21"/>
        </w:rPr>
        <w:t xml:space="preserve">29 </w:t>
      </w:r>
      <w:r>
        <w:rPr>
          <w:rFonts w:hint="eastAsia" w:asciiTheme="minorEastAsia" w:hAnsiTheme="minorEastAsia" w:cstheme="minorEastAsia"/>
          <w:szCs w:val="21"/>
          <w:lang w:eastAsia="zh-CN"/>
        </w:rPr>
        <w:t>日</w:t>
      </w:r>
      <w:r>
        <w:rPr>
          <w:rFonts w:hint="eastAsia" w:asciiTheme="minorEastAsia" w:hAnsiTheme="minorEastAsia" w:cstheme="minorEastAsia"/>
          <w:szCs w:val="21"/>
        </w:rPr>
        <w:t xml:space="preserve">    长    春</w:t>
      </w:r>
      <w:r>
        <w:rPr>
          <w:rFonts w:hint="eastAsia" w:asciiTheme="minorEastAsia" w:hAnsiTheme="minorEastAsia" w:cstheme="minorEastAsia"/>
          <w:szCs w:val="21"/>
        </w:rPr>
        <w:br w:type="textWrapping"/>
      </w:r>
      <w:r>
        <w:rPr>
          <w:rFonts w:hint="eastAsia" w:asciiTheme="minorEastAsia" w:hAnsiTheme="minorEastAsia" w:cstheme="minorEastAsia"/>
          <w:szCs w:val="21"/>
        </w:rPr>
        <w:t>2021年9月23</w:t>
      </w:r>
      <w:r>
        <w:rPr>
          <w:rFonts w:hint="eastAsia" w:asciiTheme="minorEastAsia" w:hAnsiTheme="minorEastAsia" w:cstheme="minorEastAsia"/>
          <w:szCs w:val="21"/>
          <w:lang w:eastAsia="zh-CN"/>
        </w:rPr>
        <w:t>日</w:t>
      </w:r>
      <w:r>
        <w:rPr>
          <w:rFonts w:hint="eastAsia" w:asciiTheme="minorEastAsia" w:hAnsiTheme="minorEastAsia" w:cstheme="minorEastAsia"/>
          <w:szCs w:val="21"/>
          <w:lang w:val="en-US" w:eastAsia="zh-CN"/>
        </w:rPr>
        <w:t>-9月</w:t>
      </w:r>
      <w:r>
        <w:rPr>
          <w:rFonts w:hint="eastAsia" w:asciiTheme="minorEastAsia" w:hAnsiTheme="minorEastAsia" w:cstheme="minorEastAsia"/>
          <w:szCs w:val="21"/>
        </w:rPr>
        <w:t xml:space="preserve">26 </w:t>
      </w:r>
      <w:r>
        <w:rPr>
          <w:rFonts w:hint="eastAsia" w:asciiTheme="minorEastAsia" w:hAnsiTheme="minorEastAsia" w:cstheme="minorEastAsia"/>
          <w:szCs w:val="21"/>
          <w:lang w:eastAsia="zh-CN"/>
        </w:rPr>
        <w:t>日</w:t>
      </w: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 xml:space="preserve"> 济    南</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具体地点于开班前一周通知</w:t>
      </w:r>
    </w:p>
    <w:p>
      <w:pPr>
        <w:numPr>
          <w:ilvl w:val="0"/>
          <w:numId w:val="9"/>
        </w:numPr>
        <w:spacing w:line="400" w:lineRule="exact"/>
        <w:rPr>
          <w:rFonts w:asciiTheme="minorEastAsia" w:hAnsiTheme="minorEastAsia" w:cstheme="minorEastAsia"/>
          <w:b/>
          <w:bCs/>
          <w:szCs w:val="21"/>
        </w:rPr>
      </w:pPr>
      <w:r>
        <w:rPr>
          <w:rFonts w:hint="eastAsia" w:asciiTheme="minorEastAsia" w:hAnsiTheme="minorEastAsia" w:cstheme="minorEastAsia"/>
          <w:b/>
          <w:bCs/>
          <w:szCs w:val="21"/>
        </w:rPr>
        <w:t>相关费用</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培训费：</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A.3280元/人（含培训费、资料费、电子课件、场地、会议期间午餐），住宿统一安排，费用自理。</w:t>
      </w:r>
      <w:r>
        <w:rPr>
          <w:rFonts w:hint="eastAsia" w:asciiTheme="minorEastAsia" w:hAnsiTheme="minorEastAsia" w:cstheme="minorEastAsia"/>
          <w:szCs w:val="21"/>
        </w:rPr>
        <w:br w:type="textWrapping"/>
      </w:r>
      <w:r>
        <w:rPr>
          <w:rFonts w:hint="eastAsia" w:asciiTheme="minorEastAsia" w:hAnsiTheme="minorEastAsia" w:cstheme="minorEastAsia"/>
          <w:szCs w:val="21"/>
        </w:rPr>
        <w:t xml:space="preserve">      B.4980元/人（含全过程工程咨询师(高级、中级)证书及网上学习3天专业课程、资料费、电子课件、会议期间午餐），住宿统一安排，费用自理。</w:t>
      </w:r>
    </w:p>
    <w:p>
      <w:pPr>
        <w:spacing w:line="400" w:lineRule="exact"/>
        <w:ind w:firstLine="525" w:firstLineChars="250"/>
        <w:rPr>
          <w:rFonts w:asciiTheme="minorEastAsia" w:hAnsiTheme="minorEastAsia" w:cstheme="minorEastAsia"/>
          <w:szCs w:val="21"/>
        </w:rPr>
      </w:pPr>
      <w:r>
        <w:rPr>
          <w:rFonts w:hint="eastAsia" w:asciiTheme="minorEastAsia" w:hAnsiTheme="minorEastAsia" w:cstheme="minorEastAsia"/>
          <w:szCs w:val="21"/>
        </w:rPr>
        <w:t>C. 4800元/人网上学习（全过程工程咨询师(高级、中级)）3天课程。</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备注：申报证书需提供报名表一份、2寸照电子照片（蓝底免冠彩照）、身份证复印件一份、学历证书复印件一份，在职单位证明（原件）一份，审核通过后出准考证，每个月最后一个周末为网上考试时间。</w:t>
      </w:r>
    </w:p>
    <w:p>
      <w:pPr>
        <w:spacing w:line="400" w:lineRule="exact"/>
        <w:ind w:firstLine="316" w:firstLineChars="150"/>
        <w:rPr>
          <w:rFonts w:asciiTheme="minorEastAsia" w:hAnsiTheme="minorEastAsia" w:cstheme="minorEastAsia"/>
          <w:szCs w:val="21"/>
        </w:rPr>
      </w:pPr>
      <w:r>
        <w:rPr>
          <w:rFonts w:hint="eastAsia" w:asciiTheme="minorEastAsia" w:hAnsiTheme="minorEastAsia" w:cstheme="minorEastAsia"/>
          <w:b/>
          <w:szCs w:val="21"/>
        </w:rPr>
        <w:t>颁证机构</w:t>
      </w:r>
      <w:r>
        <w:rPr>
          <w:rFonts w:hint="eastAsia" w:asciiTheme="minorEastAsia" w:hAnsiTheme="minorEastAsia" w:cstheme="minorEastAsia"/>
          <w:szCs w:val="21"/>
        </w:rPr>
        <w:t>：</w:t>
      </w:r>
      <w:r>
        <w:t>国家职业资格培训鉴定实验基地（http://www.nptb.org/）是人力资源和社会保障部在天津建立的综合性职业标准开发机构，主要承担国家新职业标准研发和推广任务，开展培训鉴定实验项目和课题研究</w:t>
      </w:r>
      <w:r>
        <w:rPr>
          <w:rFonts w:hint="eastAsia"/>
        </w:rPr>
        <w:t>，</w:t>
      </w:r>
      <w:r>
        <w:t>进行新职业教材和课程设计</w:t>
      </w:r>
      <w:r>
        <w:rPr>
          <w:rFonts w:hint="eastAsia"/>
        </w:rPr>
        <w:t>，建立新职业考核标准、考试题库。</w:t>
      </w:r>
    </w:p>
    <w:p>
      <w:pPr>
        <w:numPr>
          <w:ilvl w:val="0"/>
          <w:numId w:val="9"/>
        </w:numPr>
        <w:spacing w:line="400" w:lineRule="exact"/>
        <w:rPr>
          <w:rFonts w:asciiTheme="minorEastAsia" w:hAnsiTheme="minorEastAsia" w:cstheme="minorEastAsia"/>
          <w:b/>
          <w:bCs/>
          <w:szCs w:val="21"/>
        </w:rPr>
      </w:pPr>
      <w:r>
        <w:rPr>
          <w:rFonts w:hint="eastAsia" w:asciiTheme="minorEastAsia" w:hAnsiTheme="minorEastAsia" w:cstheme="minorEastAsia"/>
          <w:b/>
          <w:bCs/>
          <w:szCs w:val="21"/>
        </w:rPr>
        <w:t>联系方式</w:t>
      </w:r>
    </w:p>
    <w:p>
      <w:pPr>
        <w:spacing w:line="400" w:lineRule="exact"/>
        <w:rPr>
          <w:rFonts w:hint="eastAsia" w:asciiTheme="minorEastAsia" w:hAnsiTheme="minorEastAsia" w:cstheme="minorEastAsia"/>
          <w:lang w:val="en-US" w:eastAsia="zh-CN"/>
        </w:rPr>
      </w:pPr>
      <w:r>
        <w:rPr>
          <w:rFonts w:hint="eastAsia" w:asciiTheme="minorEastAsia" w:hAnsiTheme="minorEastAsia" w:cstheme="minorEastAsia"/>
        </w:rPr>
        <w:drawing>
          <wp:anchor distT="0" distB="0" distL="114300" distR="114300" simplePos="0" relativeHeight="251661312" behindDoc="1" locked="0" layoutInCell="1" allowOverlap="1">
            <wp:simplePos x="0" y="0"/>
            <wp:positionH relativeFrom="column">
              <wp:posOffset>4004310</wp:posOffset>
            </wp:positionH>
            <wp:positionV relativeFrom="paragraph">
              <wp:posOffset>92075</wp:posOffset>
            </wp:positionV>
            <wp:extent cx="1491615" cy="1491615"/>
            <wp:effectExtent l="19050" t="0" r="0" b="0"/>
            <wp:wrapNone/>
            <wp:docPr id="2"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2"/>
                    <pic:cNvPicPr>
                      <a:picLocks noChangeAspect="1"/>
                    </pic:cNvPicPr>
                  </pic:nvPicPr>
                  <pic:blipFill>
                    <a:blip r:embed="rId4" cstate="print"/>
                    <a:stretch>
                      <a:fillRect/>
                    </a:stretch>
                  </pic:blipFill>
                  <pic:spPr>
                    <a:xfrm>
                      <a:off x="0" y="0"/>
                      <a:ext cx="1491615" cy="1491615"/>
                    </a:xfrm>
                    <a:prstGeom prst="rect">
                      <a:avLst/>
                    </a:prstGeom>
                    <a:noFill/>
                    <a:ln>
                      <a:noFill/>
                    </a:ln>
                  </pic:spPr>
                </pic:pic>
              </a:graphicData>
            </a:graphic>
          </wp:anchor>
        </w:drawing>
      </w:r>
      <w:r>
        <w:rPr>
          <w:rFonts w:hint="eastAsia" w:asciiTheme="minorEastAsia" w:hAnsiTheme="minorEastAsia" w:cstheme="minorEastAsia"/>
          <w:lang w:val="en-US" w:eastAsia="zh-CN"/>
        </w:rPr>
        <w:t xml:space="preserve">  报名负责人：聂红军 主任18211071700（微信）   </w:t>
      </w:r>
    </w:p>
    <w:p>
      <w:pPr>
        <w:spacing w:line="400" w:lineRule="exact"/>
        <w:ind w:firstLine="210" w:firstLineChars="100"/>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电  话：010-87697580      邮    箱：zqgphwz@126.com  </w:t>
      </w:r>
    </w:p>
    <w:p>
      <w:pPr>
        <w:spacing w:line="400" w:lineRule="exact"/>
        <w:ind w:firstLine="210" w:firstLineChars="100"/>
        <w:rPr>
          <w:rFonts w:asciiTheme="minorEastAsia" w:hAnsiTheme="minorEastAsia" w:cstheme="minorEastAsia"/>
        </w:rPr>
      </w:pPr>
      <w:r>
        <w:rPr>
          <w:rFonts w:hint="eastAsia" w:asciiTheme="minorEastAsia" w:hAnsiTheme="minorEastAsia" w:cstheme="minorEastAsia"/>
          <w:lang w:val="en-US" w:eastAsia="zh-CN"/>
        </w:rPr>
        <w:t xml:space="preserve">qq咨询：3177524020        网址查询：http://www.zqgpchina.cn/ </w:t>
      </w:r>
    </w:p>
    <w:p>
      <w:pPr>
        <w:spacing w:line="400" w:lineRule="exact"/>
        <w:ind w:firstLine="5587" w:firstLineChars="2650"/>
        <w:rPr>
          <w:rFonts w:asciiTheme="minorEastAsia" w:hAnsiTheme="minorEastAsia" w:cstheme="minorEastAsia"/>
        </w:rPr>
      </w:pPr>
      <w:r>
        <w:rPr>
          <w:rFonts w:hint="eastAsia" w:asciiTheme="minorEastAsia" w:hAnsiTheme="minorEastAsia" w:cstheme="minorEastAsia"/>
          <w:b/>
          <w:bCs/>
        </w:rPr>
        <w:t xml:space="preserve">  北京隆基盛世国际教育咨询中心</w:t>
      </w:r>
    </w:p>
    <w:p>
      <w:pPr>
        <w:spacing w:line="400" w:lineRule="exact"/>
        <w:jc w:val="center"/>
        <w:rPr>
          <w:rFonts w:asciiTheme="minorEastAsia" w:hAnsiTheme="minorEastAsia" w:cstheme="minorEastAsia"/>
          <w:b/>
          <w:bCs/>
        </w:rPr>
      </w:pPr>
      <w:r>
        <w:rPr>
          <w:rFonts w:hint="eastAsia" w:asciiTheme="minorEastAsia" w:hAnsiTheme="minorEastAsia" w:cstheme="minorEastAsia"/>
          <w:b/>
          <w:bCs/>
        </w:rPr>
        <w:t xml:space="preserve">                                            2021年5月6日</w:t>
      </w:r>
    </w:p>
    <w:p>
      <w:pPr>
        <w:spacing w:line="400" w:lineRule="exact"/>
        <w:jc w:val="center"/>
        <w:rPr>
          <w:rFonts w:asciiTheme="minorEastAsia" w:hAnsiTheme="minorEastAsia" w:cstheme="minorEastAsia"/>
          <w:b/>
          <w:bCs/>
        </w:rPr>
      </w:pPr>
    </w:p>
    <w:p>
      <w:pPr>
        <w:spacing w:line="400" w:lineRule="exact"/>
        <w:jc w:val="center"/>
        <w:rPr>
          <w:rFonts w:asciiTheme="minorEastAsia" w:hAnsiTheme="minorEastAsia" w:cstheme="minorEastAsia"/>
          <w:b/>
          <w:bCs/>
        </w:rPr>
      </w:pPr>
      <w:r>
        <w:rPr>
          <w:rFonts w:hint="eastAsia" w:asciiTheme="minorEastAsia" w:hAnsiTheme="minorEastAsia" w:cstheme="minorEastAsia"/>
          <w:b/>
          <w:bCs/>
          <w:sz w:val="28"/>
          <w:szCs w:val="28"/>
        </w:rPr>
        <w:t>“建设工程全过程造价管控与结算审计暨《建设项目工程总承包合同（示范文本）》精要解读与实际操作案例解析专题培训班”报名回执表</w:t>
      </w:r>
    </w:p>
    <w:tbl>
      <w:tblPr>
        <w:tblStyle w:val="9"/>
        <w:tblpPr w:leftFromText="180" w:rightFromText="180" w:vertAnchor="text" w:horzAnchor="page" w:tblpXSpec="center" w:tblpY="187"/>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71"/>
        <w:gridCol w:w="1374"/>
        <w:gridCol w:w="1418"/>
        <w:gridCol w:w="802"/>
        <w:gridCol w:w="6"/>
        <w:gridCol w:w="1299"/>
        <w:gridCol w:w="19"/>
        <w:gridCol w:w="35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单位名称</w:t>
            </w:r>
          </w:p>
        </w:tc>
        <w:tc>
          <w:tcPr>
            <w:tcW w:w="4371" w:type="dxa"/>
            <w:gridSpan w:val="5"/>
            <w:noWrap/>
            <w:vAlign w:val="center"/>
          </w:tcPr>
          <w:p>
            <w:pPr>
              <w:spacing w:line="360" w:lineRule="exact"/>
              <w:jc w:val="center"/>
              <w:rPr>
                <w:rFonts w:asciiTheme="minorEastAsia" w:hAnsiTheme="minorEastAsia" w:cstheme="minorEastAsia"/>
                <w:bCs/>
                <w:sz w:val="24"/>
              </w:rPr>
            </w:pPr>
          </w:p>
        </w:tc>
        <w:tc>
          <w:tcPr>
            <w:tcW w:w="1299" w:type="dxa"/>
            <w:noWrap/>
            <w:vAlign w:val="center"/>
          </w:tcPr>
          <w:p>
            <w:pPr>
              <w:spacing w:line="360" w:lineRule="exact"/>
              <w:ind w:right="-107" w:rightChars="-51"/>
              <w:jc w:val="center"/>
              <w:rPr>
                <w:rFonts w:asciiTheme="minorEastAsia" w:hAnsiTheme="minorEastAsia" w:cstheme="minorEastAsia"/>
                <w:bCs/>
                <w:sz w:val="24"/>
              </w:rPr>
            </w:pPr>
            <w:r>
              <w:rPr>
                <w:rFonts w:hint="eastAsia" w:asciiTheme="minorEastAsia" w:hAnsiTheme="minorEastAsia" w:cstheme="minorEastAsia"/>
                <w:bCs/>
                <w:sz w:val="24"/>
              </w:rPr>
              <w:t>邮编</w:t>
            </w:r>
          </w:p>
        </w:tc>
        <w:tc>
          <w:tcPr>
            <w:tcW w:w="1861" w:type="dxa"/>
            <w:gridSpan w:val="3"/>
            <w:noWrap/>
            <w:vAlign w:val="center"/>
          </w:tcPr>
          <w:p>
            <w:pPr>
              <w:spacing w:line="360" w:lineRule="exact"/>
              <w:ind w:left="149" w:hanging="148" w:hangingChars="62"/>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详细地址</w:t>
            </w:r>
          </w:p>
        </w:tc>
        <w:tc>
          <w:tcPr>
            <w:tcW w:w="7531" w:type="dxa"/>
            <w:gridSpan w:val="9"/>
            <w:noWrap/>
            <w:vAlign w:val="center"/>
          </w:tcPr>
          <w:p>
            <w:pPr>
              <w:spacing w:line="360" w:lineRule="exac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联系人</w:t>
            </w:r>
          </w:p>
        </w:tc>
        <w:tc>
          <w:tcPr>
            <w:tcW w:w="3563" w:type="dxa"/>
            <w:gridSpan w:val="3"/>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keepNext/>
              <w:spacing w:line="360" w:lineRule="exact"/>
              <w:jc w:val="center"/>
              <w:outlineLvl w:val="0"/>
              <w:rPr>
                <w:rFonts w:asciiTheme="minorEastAsia" w:hAnsiTheme="minorEastAsia" w:cstheme="minorEastAsia"/>
                <w:bCs/>
                <w:sz w:val="24"/>
              </w:rPr>
            </w:pPr>
            <w:r>
              <w:rPr>
                <w:rFonts w:hint="eastAsia" w:asciiTheme="minorEastAsia" w:hAnsiTheme="minorEastAsia" w:cstheme="minorEastAsia"/>
                <w:bCs/>
                <w:sz w:val="24"/>
              </w:rPr>
              <w:t>E-mail</w:t>
            </w: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电话（区号）</w:t>
            </w:r>
          </w:p>
        </w:tc>
        <w:tc>
          <w:tcPr>
            <w:tcW w:w="3563" w:type="dxa"/>
            <w:gridSpan w:val="3"/>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传真</w:t>
            </w: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参班代表姓名</w:t>
            </w:r>
          </w:p>
        </w:tc>
        <w:tc>
          <w:tcPr>
            <w:tcW w:w="771"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性别</w:t>
            </w:r>
          </w:p>
        </w:tc>
        <w:tc>
          <w:tcPr>
            <w:tcW w:w="1374"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部门</w:t>
            </w:r>
          </w:p>
        </w:tc>
        <w:tc>
          <w:tcPr>
            <w:tcW w:w="1418"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职务</w:t>
            </w:r>
          </w:p>
        </w:tc>
        <w:tc>
          <w:tcPr>
            <w:tcW w:w="2126" w:type="dxa"/>
            <w:gridSpan w:val="4"/>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手机</w:t>
            </w:r>
          </w:p>
        </w:tc>
        <w:tc>
          <w:tcPr>
            <w:tcW w:w="1842" w:type="dxa"/>
            <w:gridSpan w:val="2"/>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jc w:val="center"/>
              <w:rPr>
                <w:rFonts w:asciiTheme="minorEastAsia" w:hAnsiTheme="minorEastAsia" w:cstheme="minorEastAsia"/>
                <w:bCs/>
                <w:sz w:val="24"/>
              </w:rPr>
            </w:pPr>
          </w:p>
        </w:tc>
        <w:tc>
          <w:tcPr>
            <w:tcW w:w="771" w:type="dxa"/>
            <w:noWrap/>
            <w:vAlign w:val="center"/>
          </w:tcPr>
          <w:p>
            <w:pPr>
              <w:spacing w:line="360" w:lineRule="exact"/>
              <w:jc w:val="center"/>
              <w:rPr>
                <w:rFonts w:asciiTheme="minorEastAsia" w:hAnsiTheme="minorEastAsia" w:cstheme="minorEastAsia"/>
                <w:bCs/>
                <w:sz w:val="24"/>
              </w:rPr>
            </w:pPr>
          </w:p>
        </w:tc>
        <w:tc>
          <w:tcPr>
            <w:tcW w:w="1374" w:type="dxa"/>
            <w:noWrap/>
            <w:vAlign w:val="center"/>
          </w:tcPr>
          <w:p>
            <w:pPr>
              <w:spacing w:line="360" w:lineRule="exact"/>
              <w:jc w:val="center"/>
              <w:rPr>
                <w:rFonts w:asciiTheme="minorEastAsia" w:hAnsiTheme="minorEastAsia" w:cstheme="minorEastAsia"/>
                <w:bCs/>
                <w:sz w:val="24"/>
              </w:rPr>
            </w:pPr>
          </w:p>
        </w:tc>
        <w:tc>
          <w:tcPr>
            <w:tcW w:w="1418" w:type="dxa"/>
            <w:noWrap/>
            <w:vAlign w:val="center"/>
          </w:tcPr>
          <w:p>
            <w:pPr>
              <w:spacing w:line="360" w:lineRule="exact"/>
              <w:jc w:val="center"/>
              <w:rPr>
                <w:rFonts w:asciiTheme="minorEastAsia" w:hAnsiTheme="minorEastAsia" w:cstheme="minorEastAsia"/>
                <w:bCs/>
                <w:sz w:val="24"/>
              </w:rPr>
            </w:pPr>
          </w:p>
        </w:tc>
        <w:tc>
          <w:tcPr>
            <w:tcW w:w="2126" w:type="dxa"/>
            <w:gridSpan w:val="4"/>
            <w:noWrap/>
            <w:vAlign w:val="center"/>
          </w:tcPr>
          <w:p>
            <w:pPr>
              <w:spacing w:line="360" w:lineRule="exact"/>
              <w:jc w:val="center"/>
              <w:rPr>
                <w:rFonts w:asciiTheme="minorEastAsia" w:hAnsiTheme="minorEastAsia" w:cstheme="minorEastAsia"/>
                <w:bCs/>
                <w:sz w:val="24"/>
              </w:rPr>
            </w:pPr>
          </w:p>
        </w:tc>
        <w:tc>
          <w:tcPr>
            <w:tcW w:w="1842" w:type="dxa"/>
            <w:gridSpan w:val="2"/>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住宿安排</w:t>
            </w:r>
          </w:p>
        </w:tc>
        <w:tc>
          <w:tcPr>
            <w:tcW w:w="7531" w:type="dxa"/>
            <w:gridSpan w:val="9"/>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□单间     □标间   订房数量</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间    □否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参会地点</w:t>
            </w:r>
          </w:p>
        </w:tc>
        <w:tc>
          <w:tcPr>
            <w:tcW w:w="4365" w:type="dxa"/>
            <w:gridSpan w:val="4"/>
            <w:noWrap/>
            <w:vAlign w:val="center"/>
          </w:tcPr>
          <w:p>
            <w:pPr>
              <w:spacing w:line="360" w:lineRule="exact"/>
              <w:rPr>
                <w:rFonts w:asciiTheme="minorEastAsia" w:hAnsiTheme="minorEastAsia" w:cstheme="minorEastAsia"/>
                <w:bCs/>
                <w:sz w:val="24"/>
              </w:rPr>
            </w:pPr>
            <w:r>
              <w:rPr>
                <w:rFonts w:hint="eastAsia" w:asciiTheme="minorEastAsia" w:hAnsiTheme="minorEastAsia" w:cstheme="minorEastAsia"/>
                <w:bCs/>
                <w:sz w:val="24"/>
              </w:rPr>
              <w:t>□广州  □乌鲁木齐  □长春  □济南</w:t>
            </w:r>
          </w:p>
        </w:tc>
        <w:tc>
          <w:tcPr>
            <w:tcW w:w="1680" w:type="dxa"/>
            <w:gridSpan w:val="4"/>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培训费用</w:t>
            </w:r>
          </w:p>
        </w:tc>
        <w:tc>
          <w:tcPr>
            <w:tcW w:w="1486" w:type="dxa"/>
            <w:noWrap/>
            <w:vAlign w:val="center"/>
          </w:tcPr>
          <w:p>
            <w:pPr>
              <w:spacing w:line="360" w:lineRule="exact"/>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付款方式</w:t>
            </w:r>
          </w:p>
        </w:tc>
        <w:tc>
          <w:tcPr>
            <w:tcW w:w="7531" w:type="dxa"/>
            <w:gridSpan w:val="9"/>
            <w:noWrap/>
            <w:vAlign w:val="center"/>
          </w:tcPr>
          <w:p>
            <w:pPr>
              <w:spacing w:line="360" w:lineRule="exact"/>
              <w:ind w:firstLine="240" w:firstLineChars="100"/>
              <w:jc w:val="center"/>
              <w:rPr>
                <w:rFonts w:asciiTheme="minorEastAsia" w:hAnsiTheme="minorEastAsia" w:cstheme="minorEastAsia"/>
                <w:bCs/>
                <w:sz w:val="24"/>
              </w:rPr>
            </w:pPr>
            <w:r>
              <w:rPr>
                <w:rFonts w:hint="eastAsia" w:asciiTheme="minorEastAsia" w:hAnsiTheme="minorEastAsia" w:cstheme="minorEastAsia"/>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jc w:val="center"/>
              <w:rPr>
                <w:rFonts w:asciiTheme="minorEastAsia" w:hAnsiTheme="minorEastAsia" w:cstheme="minorEastAsia"/>
                <w:b/>
                <w:bCs/>
                <w:sz w:val="24"/>
                <w:lang w:val="zh-CN" w:bidi="zh-CN"/>
              </w:rPr>
            </w:pPr>
            <w:r>
              <w:rPr>
                <w:rFonts w:hint="eastAsia" w:asciiTheme="minorEastAsia" w:hAnsiTheme="minorEastAsia" w:cstheme="minorEastAsia"/>
                <w:b/>
                <w:bCs/>
                <w:sz w:val="24"/>
              </w:rPr>
              <w:t>发票类别</w:t>
            </w:r>
          </w:p>
        </w:tc>
        <w:tc>
          <w:tcPr>
            <w:tcW w:w="7531" w:type="dxa"/>
            <w:gridSpan w:val="9"/>
            <w:noWrap/>
          </w:tcPr>
          <w:p>
            <w:pPr>
              <w:rPr>
                <w:rFonts w:asciiTheme="minorEastAsia" w:hAnsiTheme="minorEastAsia" w:cstheme="minorEastAsia"/>
                <w:b/>
                <w:bCs/>
                <w:sz w:val="24"/>
              </w:rPr>
            </w:pPr>
            <w:r>
              <w:rPr>
                <w:rFonts w:hint="eastAsia" w:asciiTheme="minorEastAsia" w:hAnsiTheme="minorEastAsia" w:cstheme="minorEastAsia"/>
                <w:b/>
                <w:bCs/>
                <w:sz w:val="24"/>
              </w:rPr>
              <w:t>增值税（□普通□专用）发票,开票信息如下：</w:t>
            </w:r>
          </w:p>
          <w:p>
            <w:pPr>
              <w:rPr>
                <w:rFonts w:asciiTheme="minorEastAsia" w:hAnsiTheme="minorEastAsia" w:cstheme="minorEastAsia"/>
                <w:b/>
                <w:bCs/>
                <w:sz w:val="24"/>
              </w:rPr>
            </w:pPr>
            <w:r>
              <w:rPr>
                <w:rFonts w:hint="eastAsia" w:asciiTheme="minorEastAsia" w:hAnsiTheme="minorEastAsia" w:cstheme="minorEastAsia"/>
                <w:b/>
                <w:bCs/>
                <w:sz w:val="24"/>
              </w:rPr>
              <w:t>单 位 名 称：</w:t>
            </w:r>
          </w:p>
          <w:p>
            <w:pPr>
              <w:rPr>
                <w:rFonts w:asciiTheme="minorEastAsia" w:hAnsiTheme="minorEastAsia" w:cstheme="minorEastAsia"/>
                <w:b/>
                <w:bCs/>
                <w:sz w:val="24"/>
              </w:rPr>
            </w:pPr>
            <w:r>
              <w:rPr>
                <w:rFonts w:hint="eastAsia" w:asciiTheme="minorEastAsia" w:hAnsiTheme="minorEastAsia" w:cstheme="minorEastAsia"/>
                <w:b/>
                <w:bCs/>
                <w:sz w:val="24"/>
              </w:rPr>
              <w:t>税       号：</w:t>
            </w:r>
          </w:p>
          <w:p>
            <w:pPr>
              <w:rPr>
                <w:rFonts w:asciiTheme="minorEastAsia" w:hAnsiTheme="minorEastAsia" w:cstheme="minorEastAsia"/>
                <w:b/>
                <w:bCs/>
                <w:sz w:val="24"/>
              </w:rPr>
            </w:pPr>
            <w:r>
              <w:rPr>
                <w:rFonts w:hint="eastAsia" w:asciiTheme="minorEastAsia" w:hAnsiTheme="minorEastAsia" w:cstheme="minorEastAsia"/>
                <w:b/>
                <w:bCs/>
                <w:sz w:val="24"/>
              </w:rPr>
              <w:t>地址、 电话：</w:t>
            </w:r>
          </w:p>
          <w:p>
            <w:pPr>
              <w:rPr>
                <w:rFonts w:asciiTheme="minorEastAsia" w:hAnsiTheme="minorEastAsia" w:cstheme="minorEastAsia"/>
                <w:bCs/>
                <w:sz w:val="24"/>
              </w:rPr>
            </w:pPr>
            <w:r>
              <w:rPr>
                <w:rFonts w:hint="eastAsia" w:asciiTheme="minorEastAsia" w:hAnsiTheme="minorEastAsia" w:cstheme="minorEastAsia"/>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spacing w:line="360" w:lineRule="exact"/>
              <w:jc w:val="center"/>
              <w:rPr>
                <w:rFonts w:asciiTheme="minorEastAsia" w:hAnsiTheme="minorEastAsia" w:cstheme="minorEastAsia"/>
                <w:bCs/>
                <w:sz w:val="24"/>
                <w:lang w:val="zh-CN" w:bidi="zh-CN"/>
              </w:rPr>
            </w:pPr>
            <w:r>
              <w:rPr>
                <w:rFonts w:hint="eastAsia" w:asciiTheme="minorEastAsia" w:hAnsiTheme="minorEastAsia" w:cstheme="minorEastAsia"/>
                <w:bCs/>
                <w:sz w:val="24"/>
              </w:rPr>
              <w:t>指定收款账户</w:t>
            </w:r>
          </w:p>
        </w:tc>
        <w:tc>
          <w:tcPr>
            <w:tcW w:w="7531" w:type="dxa"/>
            <w:gridSpan w:val="9"/>
            <w:noWrap/>
            <w:vAlign w:val="center"/>
          </w:tcPr>
          <w:p>
            <w:pPr>
              <w:spacing w:line="340" w:lineRule="exact"/>
              <w:rPr>
                <w:rFonts w:asciiTheme="minorEastAsia" w:hAnsiTheme="minorEastAsia" w:cstheme="minorEastAsia"/>
                <w:bCs/>
                <w:sz w:val="28"/>
                <w:szCs w:val="28"/>
                <w:lang w:val="ru-RU"/>
              </w:rPr>
            </w:pPr>
            <w:r>
              <w:rPr>
                <w:rFonts w:hint="eastAsia" w:asciiTheme="minorEastAsia" w:hAnsiTheme="minorEastAsia" w:cstheme="minorEastAsia"/>
                <w:bCs/>
                <w:sz w:val="28"/>
                <w:szCs w:val="28"/>
                <w:lang w:val="ru-RU"/>
              </w:rPr>
              <w:t>户  名：北京隆基盛世国际教育咨询中心</w:t>
            </w:r>
          </w:p>
          <w:p>
            <w:pPr>
              <w:spacing w:line="340" w:lineRule="exact"/>
              <w:rPr>
                <w:rFonts w:asciiTheme="minorEastAsia" w:hAnsiTheme="minorEastAsia" w:cstheme="minorEastAsia"/>
                <w:bCs/>
                <w:sz w:val="28"/>
                <w:szCs w:val="28"/>
                <w:lang w:val="ru-RU"/>
              </w:rPr>
            </w:pPr>
            <w:r>
              <w:rPr>
                <w:rFonts w:hint="eastAsia" w:asciiTheme="minorEastAsia" w:hAnsiTheme="minorEastAsia" w:cstheme="minorEastAsia"/>
                <w:bCs/>
                <w:sz w:val="28"/>
                <w:szCs w:val="28"/>
                <w:lang w:val="ru-RU"/>
              </w:rPr>
              <w:t>开户行：中国建设银行北京西三旗支行</w:t>
            </w:r>
          </w:p>
          <w:p>
            <w:pPr>
              <w:spacing w:line="340" w:lineRule="exact"/>
              <w:rPr>
                <w:rFonts w:asciiTheme="minorEastAsia" w:hAnsiTheme="minorEastAsia" w:cstheme="minorEastAsia"/>
                <w:bCs/>
                <w:sz w:val="28"/>
                <w:szCs w:val="28"/>
              </w:rPr>
            </w:pPr>
            <w:r>
              <w:rPr>
                <w:rFonts w:hint="eastAsia" w:asciiTheme="minorEastAsia" w:hAnsiTheme="minorEastAsia" w:cstheme="minorEastAsia"/>
                <w:bCs/>
                <w:sz w:val="28"/>
                <w:szCs w:val="28"/>
                <w:lang w:val="ru-RU"/>
              </w:rPr>
              <w:t>账  号：1100 1018 4000 5926 1084</w:t>
            </w:r>
          </w:p>
          <w:p>
            <w:pPr>
              <w:spacing w:line="360" w:lineRule="exact"/>
              <w:rPr>
                <w:rFonts w:hint="default" w:asciiTheme="minorEastAsia" w:hAnsiTheme="minorEastAsia" w:eastAsiaTheme="minorEastAsia" w:cstheme="minorEastAsia"/>
                <w:bCs/>
                <w:sz w:val="24"/>
                <w:lang w:val="en-US" w:eastAsia="zh-CN" w:bidi="zh-CN"/>
              </w:rPr>
            </w:pPr>
            <w:r>
              <w:rPr>
                <w:rFonts w:hint="eastAsia" w:asciiTheme="minorEastAsia" w:hAnsiTheme="minorEastAsia" w:cstheme="minorEastAsia"/>
                <w:sz w:val="28"/>
                <w:szCs w:val="28"/>
              </w:rPr>
              <w:t>汇款后，请将银行电汇凭证传真至：010-</w:t>
            </w:r>
            <w:r>
              <w:rPr>
                <w:rFonts w:hint="eastAsia" w:asciiTheme="minorEastAsia" w:hAnsiTheme="minorEastAsia" w:cstheme="minorEastAsia"/>
                <w:sz w:val="28"/>
                <w:szCs w:val="28"/>
                <w:lang w:val="en-US" w:eastAsia="zh-CN"/>
              </w:rPr>
              <w:t>87697580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参会方式</w:t>
            </w:r>
          </w:p>
        </w:tc>
        <w:tc>
          <w:tcPr>
            <w:tcW w:w="7531" w:type="dxa"/>
            <w:gridSpan w:val="9"/>
            <w:noWrap/>
            <w:vAlign w:val="center"/>
          </w:tcPr>
          <w:p>
            <w:pPr>
              <w:spacing w:line="360" w:lineRule="exact"/>
              <w:jc w:val="center"/>
              <w:rPr>
                <w:rFonts w:asciiTheme="minorEastAsia" w:hAnsiTheme="minorEastAsia" w:cstheme="minorEastAsia"/>
                <w:bCs/>
                <w:sz w:val="24"/>
              </w:rPr>
            </w:pPr>
            <w:r>
              <w:rPr>
                <w:rFonts w:hint="eastAsia" w:asciiTheme="minorEastAsia" w:hAnsiTheme="minorEastAsia" w:cstheme="minorEastAsia"/>
                <w:bCs/>
                <w:sz w:val="24"/>
              </w:rPr>
              <w:t>请参会单位把参会回执回传至会务组，会务组确认后即发《参会凭证》，其中将详细注明报到时间、报到地点、食宿等具体安排事项。</w:t>
            </w:r>
          </w:p>
        </w:tc>
      </w:tr>
    </w:tbl>
    <w:p>
      <w:pPr>
        <w:spacing w:line="400" w:lineRule="exact"/>
        <w:rPr>
          <w:rStyle w:val="11"/>
          <w:rFonts w:asciiTheme="minorEastAsia" w:hAnsiTheme="minorEastAsia" w:cstheme="minorEastAsia"/>
          <w:b w:val="0"/>
          <w:color w:val="000000"/>
          <w:sz w:val="28"/>
          <w:szCs w:val="28"/>
        </w:rPr>
      </w:pPr>
      <w:r>
        <w:rPr>
          <w:rStyle w:val="11"/>
          <w:rFonts w:hint="eastAsia" w:asciiTheme="minorEastAsia" w:hAnsiTheme="minorEastAsia" w:cstheme="minorEastAsia"/>
          <w:color w:val="000000"/>
          <w:sz w:val="28"/>
          <w:szCs w:val="28"/>
        </w:rPr>
        <w:t>注：</w:t>
      </w:r>
      <w:r>
        <w:rPr>
          <w:rStyle w:val="11"/>
          <w:rFonts w:hint="eastAsia" w:asciiTheme="minorEastAsia" w:hAnsiTheme="minorEastAsia" w:cstheme="minorEastAsia"/>
          <w:color w:val="000000"/>
        </w:rPr>
        <w:t>为保证培训质量，培训班名额有限，额满为止，请确定人员后及早报名。</w:t>
      </w:r>
    </w:p>
    <w:p>
      <w:pPr>
        <w:pStyle w:val="2"/>
        <w:spacing w:line="400" w:lineRule="exact"/>
        <w:rPr>
          <w:rFonts w:hint="eastAsia" w:asciiTheme="minorEastAsia" w:hAnsiTheme="minorEastAsia" w:eastAsiaTheme="minorEastAsia" w:cstheme="minorEastAsia"/>
          <w:spacing w:val="-8"/>
          <w:w w:val="95"/>
        </w:rPr>
      </w:pPr>
      <w:r>
        <w:rPr>
          <w:rFonts w:hint="eastAsia" w:asciiTheme="minorEastAsia" w:hAnsiTheme="minorEastAsia" w:eastAsiaTheme="minorEastAsia" w:cstheme="minorEastAsia"/>
          <w:spacing w:val="-8"/>
          <w:w w:val="95"/>
        </w:rPr>
        <w:t xml:space="preserve">报名负责人：聂红军 主任18211071700（微信）   </w:t>
      </w:r>
    </w:p>
    <w:p>
      <w:pPr>
        <w:pStyle w:val="2"/>
        <w:spacing w:line="400" w:lineRule="exact"/>
        <w:rPr>
          <w:rFonts w:hint="eastAsia" w:asciiTheme="minorEastAsia" w:hAnsiTheme="minorEastAsia" w:eastAsiaTheme="minorEastAsia" w:cstheme="minorEastAsia"/>
          <w:spacing w:val="-8"/>
          <w:w w:val="95"/>
        </w:rPr>
      </w:pPr>
      <w:r>
        <w:rPr>
          <w:rFonts w:hint="eastAsia" w:asciiTheme="minorEastAsia" w:hAnsiTheme="minorEastAsia" w:eastAsiaTheme="minorEastAsia" w:cstheme="minorEastAsia"/>
          <w:spacing w:val="-8"/>
          <w:w w:val="95"/>
        </w:rPr>
        <w:t xml:space="preserve">电  话：010-87697580      邮    箱：zqgphwz@126.com  </w:t>
      </w:r>
    </w:p>
    <w:p>
      <w:pPr>
        <w:pStyle w:val="2"/>
        <w:spacing w:line="400" w:lineRule="exact"/>
        <w:rPr>
          <w:rFonts w:hint="eastAsia" w:asciiTheme="minorEastAsia" w:hAnsiTheme="minorEastAsia" w:eastAsiaTheme="minorEastAsia" w:cstheme="minorEastAsia"/>
          <w:spacing w:val="-8"/>
          <w:w w:val="95"/>
        </w:rPr>
      </w:pPr>
      <w:r>
        <w:rPr>
          <w:rFonts w:hint="eastAsia" w:asciiTheme="minorEastAsia" w:hAnsiTheme="minorEastAsia" w:eastAsiaTheme="minorEastAsia" w:cstheme="minorEastAsia"/>
          <w:spacing w:val="-8"/>
          <w:w w:val="95"/>
        </w:rPr>
        <w:t xml:space="preserve">qq咨询：3177524020        网址查询：http://www.zqgpchina.cn/ </w:t>
      </w:r>
    </w:p>
    <w:sectPr>
      <w:pgSz w:w="11906" w:h="16838"/>
      <w:pgMar w:top="873"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8F669"/>
    <w:multiLevelType w:val="singleLevel"/>
    <w:tmpl w:val="8748F669"/>
    <w:lvl w:ilvl="0" w:tentative="0">
      <w:start w:val="1"/>
      <w:numFmt w:val="decimal"/>
      <w:suff w:val="nothing"/>
      <w:lvlText w:val="%1．"/>
      <w:lvlJc w:val="left"/>
      <w:pPr>
        <w:ind w:left="0" w:firstLine="400"/>
      </w:pPr>
      <w:rPr>
        <w:rFonts w:hint="default"/>
      </w:rPr>
    </w:lvl>
  </w:abstractNum>
  <w:abstractNum w:abstractNumId="1">
    <w:nsid w:val="8AAAF344"/>
    <w:multiLevelType w:val="singleLevel"/>
    <w:tmpl w:val="8AAAF344"/>
    <w:lvl w:ilvl="0" w:tentative="0">
      <w:start w:val="1"/>
      <w:numFmt w:val="decimal"/>
      <w:suff w:val="nothing"/>
      <w:lvlText w:val="%1．"/>
      <w:lvlJc w:val="left"/>
      <w:pPr>
        <w:ind w:left="0" w:firstLine="400"/>
      </w:pPr>
      <w:rPr>
        <w:rFonts w:hint="default"/>
      </w:rPr>
    </w:lvl>
  </w:abstractNum>
  <w:abstractNum w:abstractNumId="2">
    <w:nsid w:val="8FED5F65"/>
    <w:multiLevelType w:val="singleLevel"/>
    <w:tmpl w:val="8FED5F65"/>
    <w:lvl w:ilvl="0" w:tentative="0">
      <w:start w:val="1"/>
      <w:numFmt w:val="decimal"/>
      <w:suff w:val="nothing"/>
      <w:lvlText w:val="%1．"/>
      <w:lvlJc w:val="left"/>
      <w:pPr>
        <w:ind w:left="0" w:firstLine="400"/>
      </w:pPr>
      <w:rPr>
        <w:rFonts w:hint="default"/>
      </w:rPr>
    </w:lvl>
  </w:abstractNum>
  <w:abstractNum w:abstractNumId="3">
    <w:nsid w:val="9D114A16"/>
    <w:multiLevelType w:val="singleLevel"/>
    <w:tmpl w:val="9D114A16"/>
    <w:lvl w:ilvl="0" w:tentative="0">
      <w:start w:val="1"/>
      <w:numFmt w:val="decimal"/>
      <w:suff w:val="nothing"/>
      <w:lvlText w:val="%1．"/>
      <w:lvlJc w:val="left"/>
      <w:pPr>
        <w:ind w:left="0" w:firstLine="400"/>
      </w:pPr>
      <w:rPr>
        <w:rFonts w:hint="default"/>
      </w:rPr>
    </w:lvl>
  </w:abstractNum>
  <w:abstractNum w:abstractNumId="4">
    <w:nsid w:val="F0943160"/>
    <w:multiLevelType w:val="singleLevel"/>
    <w:tmpl w:val="F0943160"/>
    <w:lvl w:ilvl="0" w:tentative="0">
      <w:start w:val="1"/>
      <w:numFmt w:val="decimal"/>
      <w:suff w:val="nothing"/>
      <w:lvlText w:val="%1．"/>
      <w:lvlJc w:val="left"/>
      <w:pPr>
        <w:ind w:left="0" w:firstLine="400"/>
      </w:pPr>
      <w:rPr>
        <w:rFonts w:hint="default"/>
      </w:rPr>
    </w:lvl>
  </w:abstractNum>
  <w:abstractNum w:abstractNumId="5">
    <w:nsid w:val="24DFC1AA"/>
    <w:multiLevelType w:val="singleLevel"/>
    <w:tmpl w:val="24DFC1AA"/>
    <w:lvl w:ilvl="0" w:tentative="0">
      <w:start w:val="1"/>
      <w:numFmt w:val="decimal"/>
      <w:suff w:val="nothing"/>
      <w:lvlText w:val="%1．"/>
      <w:lvlJc w:val="left"/>
      <w:pPr>
        <w:ind w:left="0" w:firstLine="400"/>
      </w:pPr>
      <w:rPr>
        <w:rFonts w:hint="default"/>
      </w:rPr>
    </w:lvl>
  </w:abstractNum>
  <w:abstractNum w:abstractNumId="6">
    <w:nsid w:val="4EF710F0"/>
    <w:multiLevelType w:val="singleLevel"/>
    <w:tmpl w:val="4EF710F0"/>
    <w:lvl w:ilvl="0" w:tentative="0">
      <w:start w:val="3"/>
      <w:numFmt w:val="chineseCounting"/>
      <w:suff w:val="nothing"/>
      <w:lvlText w:val="%1、"/>
      <w:lvlJc w:val="left"/>
      <w:rPr>
        <w:rFonts w:hint="eastAsia"/>
      </w:rPr>
    </w:lvl>
  </w:abstractNum>
  <w:abstractNum w:abstractNumId="7">
    <w:nsid w:val="5800F674"/>
    <w:multiLevelType w:val="singleLevel"/>
    <w:tmpl w:val="5800F674"/>
    <w:lvl w:ilvl="0" w:tentative="0">
      <w:start w:val="1"/>
      <w:numFmt w:val="decimal"/>
      <w:suff w:val="nothing"/>
      <w:lvlText w:val="%1．"/>
      <w:lvlJc w:val="left"/>
      <w:pPr>
        <w:ind w:left="0" w:firstLine="400"/>
      </w:pPr>
      <w:rPr>
        <w:rFonts w:hint="default"/>
      </w:rPr>
    </w:lvl>
  </w:abstractNum>
  <w:abstractNum w:abstractNumId="8">
    <w:nsid w:val="60F8332B"/>
    <w:multiLevelType w:val="singleLevel"/>
    <w:tmpl w:val="60F8332B"/>
    <w:lvl w:ilvl="0" w:tentative="0">
      <w:start w:val="1"/>
      <w:numFmt w:val="decimal"/>
      <w:suff w:val="nothing"/>
      <w:lvlText w:val="%1．"/>
      <w:lvlJc w:val="left"/>
      <w:pPr>
        <w:ind w:left="0" w:firstLine="400"/>
      </w:pPr>
      <w:rPr>
        <w:rFonts w:hint="default"/>
      </w:rPr>
    </w:lvl>
  </w:abstractNum>
  <w:num w:numId="1">
    <w:abstractNumId w:val="4"/>
  </w:num>
  <w:num w:numId="2">
    <w:abstractNumId w:val="8"/>
  </w:num>
  <w:num w:numId="3">
    <w:abstractNumId w:val="3"/>
  </w:num>
  <w:num w:numId="4">
    <w:abstractNumId w:val="7"/>
  </w:num>
  <w:num w:numId="5">
    <w:abstractNumId w:val="2"/>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4C7"/>
    <w:rsid w:val="00004B83"/>
    <w:rsid w:val="00031869"/>
    <w:rsid w:val="00031C92"/>
    <w:rsid w:val="00034EC6"/>
    <w:rsid w:val="00057DA9"/>
    <w:rsid w:val="00077080"/>
    <w:rsid w:val="00080D68"/>
    <w:rsid w:val="00087610"/>
    <w:rsid w:val="000B57B8"/>
    <w:rsid w:val="00104B13"/>
    <w:rsid w:val="001216D8"/>
    <w:rsid w:val="001316EA"/>
    <w:rsid w:val="001319DB"/>
    <w:rsid w:val="00135B81"/>
    <w:rsid w:val="00152105"/>
    <w:rsid w:val="00164659"/>
    <w:rsid w:val="00183DAD"/>
    <w:rsid w:val="00193BAA"/>
    <w:rsid w:val="0019580E"/>
    <w:rsid w:val="00200712"/>
    <w:rsid w:val="00207E09"/>
    <w:rsid w:val="00243054"/>
    <w:rsid w:val="00250623"/>
    <w:rsid w:val="002528C1"/>
    <w:rsid w:val="00255148"/>
    <w:rsid w:val="0029547E"/>
    <w:rsid w:val="00296EB1"/>
    <w:rsid w:val="002A1DC4"/>
    <w:rsid w:val="002A2DEE"/>
    <w:rsid w:val="002A6852"/>
    <w:rsid w:val="002C645D"/>
    <w:rsid w:val="002C64CB"/>
    <w:rsid w:val="002D35BC"/>
    <w:rsid w:val="002F2207"/>
    <w:rsid w:val="003574DB"/>
    <w:rsid w:val="0037433C"/>
    <w:rsid w:val="0038233F"/>
    <w:rsid w:val="00396814"/>
    <w:rsid w:val="003A5ADD"/>
    <w:rsid w:val="003F0B61"/>
    <w:rsid w:val="003F40F3"/>
    <w:rsid w:val="00414105"/>
    <w:rsid w:val="0042133D"/>
    <w:rsid w:val="004213FF"/>
    <w:rsid w:val="00450922"/>
    <w:rsid w:val="00452BA1"/>
    <w:rsid w:val="0048437A"/>
    <w:rsid w:val="00486901"/>
    <w:rsid w:val="004C0B9B"/>
    <w:rsid w:val="004F4DF6"/>
    <w:rsid w:val="004F5290"/>
    <w:rsid w:val="00501507"/>
    <w:rsid w:val="0051259B"/>
    <w:rsid w:val="00512CB6"/>
    <w:rsid w:val="005137E7"/>
    <w:rsid w:val="0052486A"/>
    <w:rsid w:val="005440BE"/>
    <w:rsid w:val="00546835"/>
    <w:rsid w:val="00561F7C"/>
    <w:rsid w:val="00565D43"/>
    <w:rsid w:val="00596A5F"/>
    <w:rsid w:val="005B025F"/>
    <w:rsid w:val="005C14B0"/>
    <w:rsid w:val="005D0AAD"/>
    <w:rsid w:val="005F178E"/>
    <w:rsid w:val="005F4F1A"/>
    <w:rsid w:val="00600295"/>
    <w:rsid w:val="00601D42"/>
    <w:rsid w:val="00610C1F"/>
    <w:rsid w:val="006476FD"/>
    <w:rsid w:val="00657B88"/>
    <w:rsid w:val="00671B42"/>
    <w:rsid w:val="006831A1"/>
    <w:rsid w:val="00694832"/>
    <w:rsid w:val="006A3902"/>
    <w:rsid w:val="006B407B"/>
    <w:rsid w:val="006E5601"/>
    <w:rsid w:val="006E7E00"/>
    <w:rsid w:val="00703D3C"/>
    <w:rsid w:val="00720E70"/>
    <w:rsid w:val="0077051C"/>
    <w:rsid w:val="0077546D"/>
    <w:rsid w:val="007760D0"/>
    <w:rsid w:val="007828BD"/>
    <w:rsid w:val="0079477F"/>
    <w:rsid w:val="007A2D03"/>
    <w:rsid w:val="007B7F2B"/>
    <w:rsid w:val="007E7120"/>
    <w:rsid w:val="008206BF"/>
    <w:rsid w:val="00860B7B"/>
    <w:rsid w:val="00863966"/>
    <w:rsid w:val="008926C9"/>
    <w:rsid w:val="008A433C"/>
    <w:rsid w:val="008B6873"/>
    <w:rsid w:val="008C0ECF"/>
    <w:rsid w:val="009033D4"/>
    <w:rsid w:val="00926929"/>
    <w:rsid w:val="0093291A"/>
    <w:rsid w:val="0094302E"/>
    <w:rsid w:val="0096430C"/>
    <w:rsid w:val="0097533F"/>
    <w:rsid w:val="00985DCB"/>
    <w:rsid w:val="009912CA"/>
    <w:rsid w:val="009972B0"/>
    <w:rsid w:val="00997BB8"/>
    <w:rsid w:val="009A0006"/>
    <w:rsid w:val="009A7E29"/>
    <w:rsid w:val="009B572F"/>
    <w:rsid w:val="009B6C68"/>
    <w:rsid w:val="009E395A"/>
    <w:rsid w:val="009E7427"/>
    <w:rsid w:val="009E7C87"/>
    <w:rsid w:val="00A04AA6"/>
    <w:rsid w:val="00A071CE"/>
    <w:rsid w:val="00A12262"/>
    <w:rsid w:val="00A2633F"/>
    <w:rsid w:val="00A417CC"/>
    <w:rsid w:val="00A52BE1"/>
    <w:rsid w:val="00A631E6"/>
    <w:rsid w:val="00A8111D"/>
    <w:rsid w:val="00A900E0"/>
    <w:rsid w:val="00A93BCC"/>
    <w:rsid w:val="00AE2558"/>
    <w:rsid w:val="00AF174C"/>
    <w:rsid w:val="00B03C83"/>
    <w:rsid w:val="00B23B1E"/>
    <w:rsid w:val="00B30C55"/>
    <w:rsid w:val="00B3275A"/>
    <w:rsid w:val="00B466D6"/>
    <w:rsid w:val="00B53C9B"/>
    <w:rsid w:val="00BB4BC1"/>
    <w:rsid w:val="00BD3673"/>
    <w:rsid w:val="00BD6527"/>
    <w:rsid w:val="00BE3B90"/>
    <w:rsid w:val="00BE6433"/>
    <w:rsid w:val="00C02970"/>
    <w:rsid w:val="00C05E85"/>
    <w:rsid w:val="00C137EC"/>
    <w:rsid w:val="00C177B9"/>
    <w:rsid w:val="00C27FED"/>
    <w:rsid w:val="00C34714"/>
    <w:rsid w:val="00C36392"/>
    <w:rsid w:val="00C36E43"/>
    <w:rsid w:val="00C468CD"/>
    <w:rsid w:val="00C6698F"/>
    <w:rsid w:val="00C7773F"/>
    <w:rsid w:val="00C94526"/>
    <w:rsid w:val="00CB4F1A"/>
    <w:rsid w:val="00CC2236"/>
    <w:rsid w:val="00CD4209"/>
    <w:rsid w:val="00CF0422"/>
    <w:rsid w:val="00D2236A"/>
    <w:rsid w:val="00D328AA"/>
    <w:rsid w:val="00D42B2D"/>
    <w:rsid w:val="00D45222"/>
    <w:rsid w:val="00D5180E"/>
    <w:rsid w:val="00D74DF4"/>
    <w:rsid w:val="00D97E79"/>
    <w:rsid w:val="00DA6C7A"/>
    <w:rsid w:val="00DD27AB"/>
    <w:rsid w:val="00DF6CB3"/>
    <w:rsid w:val="00E10D5D"/>
    <w:rsid w:val="00E17696"/>
    <w:rsid w:val="00E56F34"/>
    <w:rsid w:val="00E607A1"/>
    <w:rsid w:val="00E76A04"/>
    <w:rsid w:val="00E8182C"/>
    <w:rsid w:val="00E946C6"/>
    <w:rsid w:val="00F0085B"/>
    <w:rsid w:val="00F224C7"/>
    <w:rsid w:val="00F4240B"/>
    <w:rsid w:val="00F4433E"/>
    <w:rsid w:val="00F57E45"/>
    <w:rsid w:val="00F65BE7"/>
    <w:rsid w:val="00FA5685"/>
    <w:rsid w:val="00FB679A"/>
    <w:rsid w:val="00FD1CED"/>
    <w:rsid w:val="00FF1E07"/>
    <w:rsid w:val="015A2CD3"/>
    <w:rsid w:val="0C9B0BA1"/>
    <w:rsid w:val="1C1A638D"/>
    <w:rsid w:val="249242C1"/>
    <w:rsid w:val="2A00631A"/>
    <w:rsid w:val="2E0834AF"/>
    <w:rsid w:val="345F752C"/>
    <w:rsid w:val="359B622B"/>
    <w:rsid w:val="3DDC1438"/>
    <w:rsid w:val="522F2DFF"/>
    <w:rsid w:val="52496BA9"/>
    <w:rsid w:val="64F73FBB"/>
    <w:rsid w:val="660F3ECD"/>
    <w:rsid w:val="6F3D1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bidi="zh-CN"/>
    </w:rPr>
  </w:style>
  <w:style w:type="paragraph" w:styleId="3">
    <w:name w:val="Body Text Indent"/>
    <w:basedOn w:val="1"/>
    <w:link w:val="16"/>
    <w:qFormat/>
    <w:uiPriority w:val="0"/>
    <w:pPr>
      <w:spacing w:after="120"/>
      <w:ind w:left="420" w:leftChars="200"/>
    </w:pPr>
    <w:rPr>
      <w:rFonts w:ascii="Times New Roman" w:hAnsi="Times New Roman" w:eastAsia="宋体" w:cs="Times New Roman"/>
      <w:szCs w:val="24"/>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apple-converted-space"/>
    <w:basedOn w:val="10"/>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缩进 Char"/>
    <w:basedOn w:val="10"/>
    <w:link w:val="3"/>
    <w:qFormat/>
    <w:uiPriority w:val="0"/>
    <w:rPr>
      <w:rFonts w:ascii="Times New Roman" w:hAnsi="Times New Roman" w:eastAsia="宋体" w:cs="Times New Roman"/>
      <w:szCs w:val="24"/>
    </w:rPr>
  </w:style>
  <w:style w:type="character" w:customStyle="1" w:styleId="17">
    <w:name w:val="批注框文本 Char"/>
    <w:basedOn w:val="10"/>
    <w:link w:val="5"/>
    <w:semiHidden/>
    <w:qFormat/>
    <w:uiPriority w:val="99"/>
    <w:rPr>
      <w:rFonts w:asciiTheme="minorHAnsi" w:hAnsiTheme="minorHAnsi" w:eastAsiaTheme="minorEastAsia" w:cstheme="minorBidi"/>
      <w:kern w:val="2"/>
      <w:sz w:val="18"/>
      <w:szCs w:val="18"/>
    </w:rPr>
  </w:style>
  <w:style w:type="character" w:customStyle="1" w:styleId="18">
    <w:name w:val="日期 Char"/>
    <w:basedOn w:val="10"/>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ll</Company>
  <Pages>1</Pages>
  <Words>724</Words>
  <Characters>4132</Characters>
  <Lines>34</Lines>
  <Paragraphs>9</Paragraphs>
  <TotalTime>475</TotalTime>
  <ScaleCrop>false</ScaleCrop>
  <LinksUpToDate>false</LinksUpToDate>
  <CharactersWithSpaces>4847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2021-03-27T11:58:00Z</dcterms:created>
  <dc:creator>ll</dc:creator>
  <cp:lastModifiedBy>Administrator</cp:lastModifiedBy>
  <dcterms:modified xsi:type="dcterms:W3CDTF">2021-05-14T06:39:38Z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