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FF0000"/>
          <w:sz w:val="44"/>
          <w:szCs w:val="44"/>
        </w:rPr>
      </w:pPr>
    </w:p>
    <w:p>
      <w:pPr>
        <w:jc w:val="center"/>
        <w:rPr>
          <w:rFonts w:asciiTheme="minorEastAsia" w:hAnsiTheme="minorEastAsia" w:cstheme="minorEastAsia"/>
          <w:b/>
          <w:bCs/>
          <w:color w:val="FF0000"/>
          <w:sz w:val="63"/>
          <w:szCs w:val="63"/>
        </w:rPr>
      </w:pPr>
      <w:r>
        <w:rPr>
          <w:rFonts w:hint="eastAsia" w:asciiTheme="minorEastAsia" w:hAnsiTheme="minorEastAsia" w:cstheme="minorEastAsia"/>
          <w:b/>
          <w:bCs/>
          <w:color w:val="FF0000"/>
          <w:sz w:val="63"/>
          <w:szCs w:val="63"/>
        </w:rPr>
        <w:t>北京隆基盛世国际教育咨询中心</w:t>
      </w:r>
    </w:p>
    <w:p>
      <w:pPr>
        <w:spacing w:line="400" w:lineRule="exact"/>
        <w:jc w:val="center"/>
        <w:rPr>
          <w:rFonts w:asciiTheme="minorEastAsia" w:hAnsiTheme="minorEastAsia" w:cstheme="minorEastAsia"/>
          <w:b/>
          <w:bCs/>
          <w:sz w:val="28"/>
          <w:szCs w:val="28"/>
        </w:rPr>
      </w:pPr>
      <w:r>
        <w:rPr>
          <w:rFonts w:hint="eastAsia" w:asciiTheme="minorEastAsia" w:hAnsiTheme="minorEastAsia" w:cstheme="minorEastAsia"/>
          <w:sz w:val="24"/>
          <w:szCs w:val="24"/>
        </w:rPr>
        <w:t>隆基国教[2021]08号</w:t>
      </w:r>
    </w:p>
    <w:p>
      <w:pPr>
        <w:spacing w:line="400" w:lineRule="exact"/>
        <w:jc w:val="center"/>
        <w:rPr>
          <w:rFonts w:asciiTheme="minorEastAsia" w:hAnsiTheme="minorEastAsia" w:cstheme="minorEastAsia"/>
          <w:b/>
          <w:bCs/>
          <w:sz w:val="28"/>
          <w:szCs w:val="28"/>
        </w:rPr>
      </w:pPr>
      <w:r>
        <w:rPr>
          <w:rFonts w:asciiTheme="minorEastAsia" w:hAnsiTheme="minorEastAsia" w:cstheme="minorEastAsia"/>
          <w:sz w:val="63"/>
          <w:szCs w:val="63"/>
        </w:rPr>
        <mc:AlternateContent>
          <mc:Choice Requires="wps">
            <w:drawing>
              <wp:anchor distT="0" distB="0" distL="114300" distR="114300" simplePos="0" relativeHeight="251662336" behindDoc="0" locked="0" layoutInCell="1" allowOverlap="1">
                <wp:simplePos x="0" y="0"/>
                <wp:positionH relativeFrom="column">
                  <wp:posOffset>-192405</wp:posOffset>
                </wp:positionH>
                <wp:positionV relativeFrom="paragraph">
                  <wp:posOffset>54610</wp:posOffset>
                </wp:positionV>
                <wp:extent cx="606996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069965" cy="0"/>
                        </a:xfrm>
                        <a:prstGeom prst="line">
                          <a:avLst/>
                        </a:prstGeom>
                        <a:noFill/>
                        <a:ln w="15875" cap="flat" cmpd="sng" algn="ctr">
                          <a:solidFill>
                            <a:srgbClr val="FF0000"/>
                          </a:solidFill>
                          <a:prstDash val="solid"/>
                        </a:ln>
                        <a:effectLst/>
                      </wps:spPr>
                      <wps:bodyPr/>
                    </wps:wsp>
                  </a:graphicData>
                </a:graphic>
              </wp:anchor>
            </w:drawing>
          </mc:Choice>
          <mc:Fallback>
            <w:pict>
              <v:line id="_x0000_s1026" o:spid="_x0000_s1026" o:spt="20" style="position:absolute;left:0pt;margin-left:-15.15pt;margin-top:4.3pt;height:0pt;width:477.95pt;z-index:251662336;mso-width-relative:page;mso-height-relative:page;" filled="f" stroked="t" coordsize="21600,21600" o:gfxdata="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VjlfNUAAAAHAQAADwAA&#10;AAAAAAABACAAAAAiAAAAZHJzL2Rvd25yZXYueG1sUEsBAhQAFAAAAAgAh07iQMsr+AbgAQAAqQMA&#10;AA4AAAAAAAAAAQAgAAAAJAEAAGRycy9lMm9Eb2MueG1sUEsFBgAAAAAGAAYAWQEAAHYFAAAAAA==&#10;">
                <v:fill on="f" focussize="0,0"/>
                <v:stroke weight="1.25pt" color="#FF0000" joinstyle="round"/>
                <v:imagedata o:title=""/>
                <o:lock v:ext="edit" aspectratio="f"/>
              </v:line>
            </w:pict>
          </mc:Fallback>
        </mc:AlternateContent>
      </w:r>
    </w:p>
    <w:p>
      <w:pPr>
        <w:spacing w:line="40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关于举办“建设工程全过程造价管控与结算审计实务操作暨《建设项目工程总承包合同（示范文本）》精要解读与案例解析专题培训班”的通知</w:t>
      </w:r>
    </w:p>
    <w:p>
      <w:pPr>
        <w:rPr>
          <w:rFonts w:asciiTheme="minorEastAsia" w:hAnsiTheme="minorEastAsia" w:cstheme="minorEastAsia"/>
        </w:rPr>
      </w:pPr>
    </w:p>
    <w:p>
      <w:pPr>
        <w:rPr>
          <w:rFonts w:asciiTheme="minorEastAsia" w:hAnsiTheme="minorEastAsia" w:cstheme="minorEastAsia"/>
          <w:b/>
          <w:bCs/>
        </w:rPr>
      </w:pPr>
    </w:p>
    <w:p>
      <w:pPr>
        <w:rPr>
          <w:rFonts w:asciiTheme="minorEastAsia" w:hAnsiTheme="minorEastAsia" w:cstheme="minorEastAsia"/>
          <w:b/>
          <w:bCs/>
        </w:rPr>
      </w:pPr>
      <w:r>
        <w:rPr>
          <w:rFonts w:hint="eastAsia" w:asciiTheme="minorEastAsia" w:hAnsiTheme="minorEastAsia" w:cstheme="minorEastAsia"/>
          <w:b/>
          <w:bCs/>
        </w:rPr>
        <w:t>各有关单位：</w:t>
      </w:r>
    </w:p>
    <w:p>
      <w:pPr>
        <w:ind w:firstLine="420" w:firstLineChars="200"/>
        <w:rPr>
          <w:rFonts w:asciiTheme="minorEastAsia" w:hAnsiTheme="minorEastAsia" w:cstheme="minorEastAsia"/>
        </w:rPr>
      </w:pPr>
      <w:r>
        <w:rPr>
          <w:rFonts w:hint="eastAsia" w:asciiTheme="minorEastAsia" w:hAnsiTheme="minorEastAsia" w:cstheme="minorEastAsia"/>
        </w:rPr>
        <w:t>工程总承包模式反映了市场专业化分工趋势和风险规避要求，是建筑业改革与发展的重要突破口。新一轮工程总承包和项目管理的热潮已经到来，并促进建筑业改革不断迈上新的台阶。住建部、国家发改委联合发布《房屋建筑和市政基础设施项目工程总承包管理办法》（[2019]12号）并于2020年3月1日正式施行，标志着我国工程建设行业的改革发展进入了崭新的新阶段。住房和城乡建设部、市场监管总局制定了《建设项目工程总承包合同（示范文本）》（GF-2020-0216），自2021年1月1日起执行。2020版合同示范文本，对助力工程总承包优化升级、促进建筑业持续健康发展具有重要意义。</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工程造价一直是建筑市场博弈的焦点，工程造价管控、计价分歧、施工合同纠纷、工程价款调整与结算审计疑难问题越来越引起各市场主体的高度重视。</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当前形势下工程造价与结算审计问题比较突出。工程设计变更、人工材料涨价、计价纠纷、结算纠纷、工程款纠纷等等各类造价问题严重困扰着各参建方，如何在造价层面予以防范？避免不必要的损失！以及产生纠纷后如何有效处理？工程造价有哪些新动态？建设工程施工合同纠纷的计价与结算有哪些热点与难点问题？如何确定工程造价？这都是在工程实践中亟需掌握的重中之重。</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为实现各方合作共赢的梦想，我中心决定举办“建设工程全过程造价管控与结算审计实务操作暨分险防范视角下《建设项目工程总承包合同（示范文本）》精要解读专题培训班”。我们将工程造价与结算审计疑难问题进行全面梳理，提出相应的对策和措施。现将有关事项通知如下：</w:t>
      </w:r>
    </w:p>
    <w:p>
      <w:pPr>
        <w:pStyle w:val="15"/>
        <w:widowControl/>
        <w:autoSpaceDE w:val="0"/>
        <w:autoSpaceDN w:val="0"/>
        <w:adjustRightInd w:val="0"/>
        <w:spacing w:line="380" w:lineRule="exact"/>
        <w:ind w:firstLine="0" w:firstLineChars="0"/>
        <w:jc w:val="left"/>
        <w:rPr>
          <w:rFonts w:asciiTheme="minorEastAsia" w:hAnsiTheme="minorEastAsia" w:cstheme="minorEastAsia"/>
          <w:b/>
          <w:bCs/>
          <w:szCs w:val="21"/>
        </w:rPr>
      </w:pPr>
    </w:p>
    <w:p>
      <w:pPr>
        <w:pStyle w:val="15"/>
        <w:widowControl/>
        <w:autoSpaceDE w:val="0"/>
        <w:autoSpaceDN w:val="0"/>
        <w:adjustRightInd w:val="0"/>
        <w:spacing w:line="380" w:lineRule="exact"/>
        <w:ind w:firstLine="0" w:firstLineChars="0"/>
        <w:jc w:val="left"/>
        <w:rPr>
          <w:rFonts w:asciiTheme="minorEastAsia" w:hAnsiTheme="minorEastAsia" w:cstheme="minorEastAsia"/>
          <w:b/>
          <w:bCs/>
          <w:szCs w:val="21"/>
        </w:rPr>
      </w:pPr>
      <w:r>
        <w:rPr>
          <w:rFonts w:hint="eastAsia" w:asciiTheme="minorEastAsia" w:hAnsiTheme="minorEastAsia" w:cstheme="minorEastAsia"/>
          <w:b/>
          <w:bCs/>
          <w:szCs w:val="21"/>
        </w:rPr>
        <w:t>一、培训内容</w:t>
      </w:r>
    </w:p>
    <w:p>
      <w:pPr>
        <w:pStyle w:val="15"/>
        <w:widowControl/>
        <w:autoSpaceDE w:val="0"/>
        <w:autoSpaceDN w:val="0"/>
        <w:adjustRightInd w:val="0"/>
        <w:spacing w:line="380" w:lineRule="exact"/>
        <w:ind w:firstLine="0" w:firstLineChars="0"/>
        <w:jc w:val="left"/>
        <w:rPr>
          <w:rFonts w:asciiTheme="minorEastAsia" w:hAnsiTheme="minorEastAsia" w:cstheme="minorEastAsia"/>
          <w:b/>
          <w:bCs/>
          <w:szCs w:val="21"/>
        </w:rPr>
      </w:pPr>
      <w:r>
        <w:rPr>
          <w:rFonts w:hint="eastAsia" w:asciiTheme="minorEastAsia" w:hAnsiTheme="minorEastAsia" w:cstheme="minorEastAsia"/>
          <w:b/>
          <w:bCs/>
          <w:szCs w:val="21"/>
        </w:rPr>
        <w:t>第一部分</w:t>
      </w:r>
    </w:p>
    <w:p>
      <w:pPr>
        <w:spacing w:line="400" w:lineRule="exact"/>
        <w:rPr>
          <w:rFonts w:asciiTheme="minorEastAsia" w:hAnsiTheme="minorEastAsia" w:cstheme="minorEastAsia"/>
          <w:b/>
          <w:bCs/>
        </w:rPr>
      </w:pPr>
      <w:r>
        <w:rPr>
          <w:rFonts w:hint="eastAsia" w:asciiTheme="minorEastAsia" w:hAnsiTheme="minorEastAsia" w:cstheme="minorEastAsia"/>
          <w:b/>
          <w:bCs/>
        </w:rPr>
        <w:t>（一）全过程控价难点与对策</w:t>
      </w:r>
    </w:p>
    <w:p>
      <w:pPr>
        <w:numPr>
          <w:ilvl w:val="0"/>
          <w:numId w:val="1"/>
        </w:numPr>
        <w:spacing w:line="400" w:lineRule="exact"/>
        <w:rPr>
          <w:rFonts w:asciiTheme="minorEastAsia" w:hAnsiTheme="minorEastAsia" w:cstheme="minorEastAsia"/>
        </w:rPr>
      </w:pPr>
      <w:r>
        <w:rPr>
          <w:rFonts w:hint="eastAsia" w:asciiTheme="minorEastAsia" w:hAnsiTheme="minorEastAsia" w:cstheme="minorEastAsia"/>
        </w:rPr>
        <w:t>概算定额、估算指标如何适用？</w:t>
      </w:r>
    </w:p>
    <w:p>
      <w:pPr>
        <w:numPr>
          <w:ilvl w:val="0"/>
          <w:numId w:val="1"/>
        </w:numPr>
        <w:spacing w:line="400" w:lineRule="exact"/>
        <w:rPr>
          <w:rFonts w:asciiTheme="minorEastAsia" w:hAnsiTheme="minorEastAsia" w:cstheme="minorEastAsia"/>
        </w:rPr>
      </w:pPr>
      <w:r>
        <w:rPr>
          <w:rFonts w:hint="eastAsia" w:asciiTheme="minorEastAsia" w:hAnsiTheme="minorEastAsia" w:cstheme="minorEastAsia"/>
        </w:rPr>
        <w:t>没有预算定额，最高投标限价如何编制？如何报价？</w:t>
      </w:r>
    </w:p>
    <w:p>
      <w:pPr>
        <w:numPr>
          <w:ilvl w:val="0"/>
          <w:numId w:val="1"/>
        </w:numPr>
        <w:spacing w:line="400" w:lineRule="exact"/>
        <w:rPr>
          <w:rFonts w:asciiTheme="minorEastAsia" w:hAnsiTheme="minorEastAsia" w:cstheme="minorEastAsia"/>
        </w:rPr>
      </w:pPr>
      <w:r>
        <w:rPr>
          <w:rFonts w:hint="eastAsia" w:asciiTheme="minorEastAsia" w:hAnsiTheme="minorEastAsia" w:cstheme="minorEastAsia"/>
        </w:rPr>
        <w:t>人工、材料、机械台班市场价格如何确定？</w:t>
      </w:r>
    </w:p>
    <w:p>
      <w:pPr>
        <w:numPr>
          <w:ilvl w:val="0"/>
          <w:numId w:val="1"/>
        </w:numPr>
        <w:spacing w:line="400" w:lineRule="exact"/>
        <w:rPr>
          <w:rFonts w:asciiTheme="minorEastAsia" w:hAnsiTheme="minorEastAsia" w:cstheme="minorEastAsia"/>
        </w:rPr>
      </w:pPr>
      <w:r>
        <w:rPr>
          <w:rFonts w:hint="eastAsia" w:asciiTheme="minorEastAsia" w:hAnsiTheme="minorEastAsia" w:cstheme="minorEastAsia"/>
        </w:rPr>
        <w:t>如何依据大数据、人工智能等信息化技术编制概预算？</w:t>
      </w:r>
    </w:p>
    <w:p>
      <w:pPr>
        <w:numPr>
          <w:ilvl w:val="0"/>
          <w:numId w:val="1"/>
        </w:numPr>
        <w:spacing w:line="400" w:lineRule="exact"/>
        <w:rPr>
          <w:rFonts w:asciiTheme="minorEastAsia" w:hAnsiTheme="minorEastAsia" w:cstheme="minorEastAsia"/>
        </w:rPr>
      </w:pPr>
      <w:r>
        <w:rPr>
          <w:rFonts w:hint="eastAsia" w:asciiTheme="minorEastAsia" w:hAnsiTheme="minorEastAsia" w:cstheme="minorEastAsia"/>
        </w:rPr>
        <w:t>设计限额、建造标准、合同价格，对结算造价影响？</w:t>
      </w:r>
    </w:p>
    <w:p>
      <w:pPr>
        <w:numPr>
          <w:ilvl w:val="0"/>
          <w:numId w:val="1"/>
        </w:numPr>
        <w:spacing w:line="400" w:lineRule="exact"/>
        <w:rPr>
          <w:rFonts w:asciiTheme="minorEastAsia" w:hAnsiTheme="minorEastAsia" w:cstheme="minorEastAsia"/>
        </w:rPr>
      </w:pPr>
      <w:r>
        <w:rPr>
          <w:rFonts w:hint="eastAsia" w:asciiTheme="minorEastAsia" w:hAnsiTheme="minorEastAsia" w:cstheme="minorEastAsia"/>
        </w:rPr>
        <w:t xml:space="preserve">没有概算定额，如何报价与结算？ </w:t>
      </w:r>
    </w:p>
    <w:p>
      <w:pPr>
        <w:numPr>
          <w:ilvl w:val="0"/>
          <w:numId w:val="1"/>
        </w:numPr>
        <w:spacing w:line="400" w:lineRule="exact"/>
        <w:rPr>
          <w:rFonts w:asciiTheme="minorEastAsia" w:hAnsiTheme="minorEastAsia" w:cstheme="minorEastAsia"/>
        </w:rPr>
      </w:pPr>
      <w:r>
        <w:rPr>
          <w:rFonts w:hint="eastAsia" w:asciiTheme="minorEastAsia" w:hAnsiTheme="minorEastAsia" w:cstheme="minorEastAsia"/>
        </w:rPr>
        <w:t>没有定额，综合单价如何计取？</w:t>
      </w:r>
    </w:p>
    <w:p>
      <w:pPr>
        <w:numPr>
          <w:ilvl w:val="0"/>
          <w:numId w:val="1"/>
        </w:numPr>
        <w:spacing w:line="400" w:lineRule="exact"/>
        <w:rPr>
          <w:rFonts w:asciiTheme="minorEastAsia" w:hAnsiTheme="minorEastAsia" w:cstheme="minorEastAsia"/>
        </w:rPr>
      </w:pPr>
      <w:r>
        <w:rPr>
          <w:rFonts w:hint="eastAsia" w:asciiTheme="minorEastAsia" w:hAnsiTheme="minorEastAsia" w:cstheme="minorEastAsia"/>
        </w:rPr>
        <w:t>市场询价，分部分项的组成要素量如何确定？</w:t>
      </w:r>
    </w:p>
    <w:p>
      <w:pPr>
        <w:numPr>
          <w:ilvl w:val="0"/>
          <w:numId w:val="1"/>
        </w:numPr>
        <w:spacing w:line="400" w:lineRule="exact"/>
        <w:rPr>
          <w:rFonts w:asciiTheme="minorEastAsia" w:hAnsiTheme="minorEastAsia" w:cstheme="minorEastAsia"/>
        </w:rPr>
      </w:pPr>
      <w:r>
        <w:rPr>
          <w:rFonts w:hint="eastAsia" w:asciiTheme="minorEastAsia" w:hAnsiTheme="minorEastAsia" w:cstheme="minorEastAsia"/>
        </w:rPr>
        <w:t>清单计价，市场询价如何推行？</w:t>
      </w:r>
    </w:p>
    <w:p>
      <w:pPr>
        <w:numPr>
          <w:ilvl w:val="0"/>
          <w:numId w:val="1"/>
        </w:numPr>
        <w:spacing w:line="400" w:lineRule="exact"/>
        <w:rPr>
          <w:rFonts w:asciiTheme="minorEastAsia" w:hAnsiTheme="minorEastAsia" w:cstheme="minorEastAsia"/>
        </w:rPr>
      </w:pPr>
      <w:r>
        <w:rPr>
          <w:rFonts w:hint="eastAsia" w:asciiTheme="minorEastAsia" w:hAnsiTheme="minorEastAsia" w:cstheme="minorEastAsia"/>
        </w:rPr>
        <w:t>当出现新的合同外清单时，怎么定价？</w:t>
      </w:r>
    </w:p>
    <w:p>
      <w:pPr>
        <w:numPr>
          <w:ilvl w:val="0"/>
          <w:numId w:val="1"/>
        </w:numPr>
        <w:spacing w:line="400" w:lineRule="exact"/>
        <w:rPr>
          <w:rFonts w:asciiTheme="minorEastAsia" w:hAnsiTheme="minorEastAsia" w:cstheme="minorEastAsia"/>
        </w:rPr>
      </w:pPr>
      <w:r>
        <w:rPr>
          <w:rFonts w:hint="eastAsia" w:asciiTheme="minorEastAsia" w:hAnsiTheme="minorEastAsia" w:cstheme="minorEastAsia"/>
        </w:rPr>
        <w:t>如何来判别成本是否合理？</w:t>
      </w:r>
    </w:p>
    <w:p>
      <w:pPr>
        <w:numPr>
          <w:ilvl w:val="0"/>
          <w:numId w:val="1"/>
        </w:numPr>
        <w:spacing w:line="400" w:lineRule="exact"/>
        <w:rPr>
          <w:rFonts w:asciiTheme="minorEastAsia" w:hAnsiTheme="minorEastAsia" w:cstheme="minorEastAsia"/>
        </w:rPr>
      </w:pPr>
      <w:r>
        <w:rPr>
          <w:rFonts w:hint="eastAsia" w:asciiTheme="minorEastAsia" w:hAnsiTheme="minorEastAsia" w:cstheme="minorEastAsia"/>
        </w:rPr>
        <w:t>如何根据实时价及实施量进行结算？</w:t>
      </w:r>
    </w:p>
    <w:p>
      <w:pPr>
        <w:spacing w:line="400" w:lineRule="exact"/>
        <w:rPr>
          <w:rFonts w:asciiTheme="minorEastAsia" w:hAnsiTheme="minorEastAsia" w:cstheme="minorEastAsia"/>
          <w:b/>
          <w:bCs/>
        </w:rPr>
      </w:pPr>
      <w:r>
        <w:rPr>
          <w:rFonts w:hint="eastAsia" w:asciiTheme="minorEastAsia" w:hAnsiTheme="minorEastAsia" w:cstheme="minorEastAsia"/>
          <w:b/>
          <w:bCs/>
        </w:rPr>
        <w:t>（二）招投标阶段造价问题</w:t>
      </w:r>
    </w:p>
    <w:p>
      <w:pPr>
        <w:numPr>
          <w:ilvl w:val="0"/>
          <w:numId w:val="2"/>
        </w:numPr>
        <w:spacing w:line="400" w:lineRule="exact"/>
        <w:rPr>
          <w:rFonts w:asciiTheme="minorEastAsia" w:hAnsiTheme="minorEastAsia" w:cstheme="minorEastAsia"/>
        </w:rPr>
      </w:pPr>
      <w:r>
        <w:rPr>
          <w:rFonts w:hint="eastAsia" w:asciiTheme="minorEastAsia" w:hAnsiTheme="minorEastAsia" w:cstheme="minorEastAsia"/>
        </w:rPr>
        <w:t>不平衡报价问题</w:t>
      </w:r>
    </w:p>
    <w:p>
      <w:pPr>
        <w:numPr>
          <w:ilvl w:val="0"/>
          <w:numId w:val="2"/>
        </w:numPr>
        <w:spacing w:line="400" w:lineRule="exact"/>
        <w:rPr>
          <w:rFonts w:asciiTheme="minorEastAsia" w:hAnsiTheme="minorEastAsia" w:cstheme="minorEastAsia"/>
        </w:rPr>
      </w:pPr>
      <w:r>
        <w:rPr>
          <w:rFonts w:hint="eastAsia" w:asciiTheme="minorEastAsia" w:hAnsiTheme="minorEastAsia" w:cstheme="minorEastAsia"/>
        </w:rPr>
        <w:t>暂列金漏传问题</w:t>
      </w:r>
    </w:p>
    <w:p>
      <w:pPr>
        <w:numPr>
          <w:ilvl w:val="0"/>
          <w:numId w:val="2"/>
        </w:numPr>
        <w:spacing w:line="400" w:lineRule="exact"/>
        <w:rPr>
          <w:rFonts w:asciiTheme="minorEastAsia" w:hAnsiTheme="minorEastAsia" w:cstheme="minorEastAsia"/>
        </w:rPr>
      </w:pPr>
      <w:r>
        <w:rPr>
          <w:rFonts w:hint="eastAsia" w:asciiTheme="minorEastAsia" w:hAnsiTheme="minorEastAsia" w:cstheme="minorEastAsia"/>
        </w:rPr>
        <w:t>招标工程设计图纸标明按“二次设计”、“深化设计”等字眼的，如何考虑该费用</w:t>
      </w:r>
    </w:p>
    <w:p>
      <w:pPr>
        <w:numPr>
          <w:ilvl w:val="0"/>
          <w:numId w:val="2"/>
        </w:numPr>
        <w:spacing w:line="400" w:lineRule="exact"/>
        <w:rPr>
          <w:rFonts w:asciiTheme="minorEastAsia" w:hAnsiTheme="minorEastAsia" w:cstheme="minorEastAsia"/>
        </w:rPr>
      </w:pPr>
      <w:r>
        <w:rPr>
          <w:rFonts w:hint="eastAsia" w:asciiTheme="minorEastAsia" w:hAnsiTheme="minorEastAsia" w:cstheme="minorEastAsia"/>
        </w:rPr>
        <w:t>招标控制价，措施费漏项</w:t>
      </w:r>
    </w:p>
    <w:p>
      <w:pPr>
        <w:numPr>
          <w:ilvl w:val="0"/>
          <w:numId w:val="2"/>
        </w:numPr>
        <w:spacing w:line="400" w:lineRule="exact"/>
        <w:rPr>
          <w:rFonts w:asciiTheme="minorEastAsia" w:hAnsiTheme="minorEastAsia" w:cstheme="minorEastAsia"/>
        </w:rPr>
      </w:pPr>
      <w:r>
        <w:rPr>
          <w:rFonts w:hint="eastAsia" w:asciiTheme="minorEastAsia" w:hAnsiTheme="minorEastAsia" w:cstheme="minorEastAsia"/>
        </w:rPr>
        <w:t>招标控制价项目特征描述不完整或与工程规范要求不符问题</w:t>
      </w:r>
    </w:p>
    <w:p>
      <w:pPr>
        <w:numPr>
          <w:ilvl w:val="0"/>
          <w:numId w:val="2"/>
        </w:numPr>
        <w:spacing w:line="400" w:lineRule="exact"/>
        <w:rPr>
          <w:rFonts w:asciiTheme="minorEastAsia" w:hAnsiTheme="minorEastAsia" w:cstheme="minorEastAsia"/>
        </w:rPr>
      </w:pPr>
      <w:r>
        <w:rPr>
          <w:rFonts w:hint="eastAsia" w:asciiTheme="minorEastAsia" w:hAnsiTheme="minorEastAsia" w:cstheme="minorEastAsia"/>
        </w:rPr>
        <w:t>招标控制价综合单价不统一或偏离市场价问题</w:t>
      </w:r>
    </w:p>
    <w:p>
      <w:pPr>
        <w:numPr>
          <w:ilvl w:val="0"/>
          <w:numId w:val="2"/>
        </w:numPr>
        <w:spacing w:line="400" w:lineRule="exact"/>
        <w:rPr>
          <w:rFonts w:asciiTheme="minorEastAsia" w:hAnsiTheme="minorEastAsia" w:cstheme="minorEastAsia"/>
        </w:rPr>
      </w:pPr>
      <w:r>
        <w:rPr>
          <w:rFonts w:hint="eastAsia" w:asciiTheme="minorEastAsia" w:hAnsiTheme="minorEastAsia" w:cstheme="minorEastAsia"/>
        </w:rPr>
        <w:t>招标清单、投标清单、招标控制价组价明细不一致问题</w:t>
      </w:r>
    </w:p>
    <w:p>
      <w:pPr>
        <w:numPr>
          <w:ilvl w:val="0"/>
          <w:numId w:val="2"/>
        </w:numPr>
        <w:spacing w:line="400" w:lineRule="exact"/>
        <w:rPr>
          <w:rFonts w:asciiTheme="minorEastAsia" w:hAnsiTheme="minorEastAsia" w:cstheme="minorEastAsia"/>
        </w:rPr>
      </w:pPr>
      <w:r>
        <w:rPr>
          <w:rFonts w:hint="eastAsia" w:asciiTheme="minorEastAsia" w:hAnsiTheme="minorEastAsia" w:cstheme="minorEastAsia"/>
        </w:rPr>
        <w:t>设计图纸与招标工程量清单不一致问题</w:t>
      </w:r>
    </w:p>
    <w:p>
      <w:pPr>
        <w:numPr>
          <w:ilvl w:val="0"/>
          <w:numId w:val="2"/>
        </w:numPr>
        <w:spacing w:line="400" w:lineRule="exact"/>
        <w:rPr>
          <w:rFonts w:asciiTheme="minorEastAsia" w:hAnsiTheme="minorEastAsia" w:cstheme="minorEastAsia"/>
        </w:rPr>
      </w:pPr>
      <w:r>
        <w:rPr>
          <w:rFonts w:hint="eastAsia" w:asciiTheme="minorEastAsia" w:hAnsiTheme="minorEastAsia" w:cstheme="minorEastAsia"/>
        </w:rPr>
        <w:t>设计优化造成部分工作删减引起的同价款调整</w:t>
      </w:r>
    </w:p>
    <w:p>
      <w:pPr>
        <w:numPr>
          <w:ilvl w:val="0"/>
          <w:numId w:val="2"/>
        </w:numPr>
        <w:spacing w:line="400" w:lineRule="exact"/>
        <w:rPr>
          <w:rFonts w:asciiTheme="minorEastAsia" w:hAnsiTheme="minorEastAsia" w:cstheme="minorEastAsia"/>
        </w:rPr>
      </w:pPr>
      <w:r>
        <w:rPr>
          <w:rFonts w:hint="eastAsia" w:asciiTheme="minorEastAsia" w:hAnsiTheme="minorEastAsia" w:cstheme="minorEastAsia"/>
        </w:rPr>
        <w:t>清单计价模式下暂估价问题</w:t>
      </w:r>
    </w:p>
    <w:p>
      <w:pPr>
        <w:numPr>
          <w:ilvl w:val="0"/>
          <w:numId w:val="2"/>
        </w:numPr>
        <w:spacing w:line="400" w:lineRule="exact"/>
        <w:rPr>
          <w:rFonts w:asciiTheme="minorEastAsia" w:hAnsiTheme="minorEastAsia" w:cstheme="minorEastAsia"/>
        </w:rPr>
      </w:pPr>
      <w:r>
        <w:rPr>
          <w:rFonts w:hint="eastAsia" w:asciiTheme="minorEastAsia" w:hAnsiTheme="minorEastAsia" w:cstheme="minorEastAsia"/>
        </w:rPr>
        <w:t>清单量大于图纸量造价问题</w:t>
      </w:r>
    </w:p>
    <w:p>
      <w:pPr>
        <w:numPr>
          <w:ilvl w:val="0"/>
          <w:numId w:val="2"/>
        </w:numPr>
        <w:spacing w:line="400" w:lineRule="exact"/>
        <w:rPr>
          <w:rFonts w:asciiTheme="minorEastAsia" w:hAnsiTheme="minorEastAsia" w:cstheme="minorEastAsia"/>
        </w:rPr>
      </w:pPr>
      <w:r>
        <w:rPr>
          <w:rFonts w:hint="eastAsia" w:asciiTheme="minorEastAsia" w:hAnsiTheme="minorEastAsia" w:cstheme="minorEastAsia"/>
        </w:rPr>
        <w:t>清单招标、费率招标中的临时措施费问题</w:t>
      </w:r>
    </w:p>
    <w:p>
      <w:pPr>
        <w:numPr>
          <w:ilvl w:val="0"/>
          <w:numId w:val="2"/>
        </w:numPr>
        <w:spacing w:line="400" w:lineRule="exact"/>
        <w:rPr>
          <w:rFonts w:asciiTheme="minorEastAsia" w:hAnsiTheme="minorEastAsia" w:cstheme="minorEastAsia"/>
        </w:rPr>
      </w:pPr>
      <w:r>
        <w:rPr>
          <w:rFonts w:hint="eastAsia" w:asciiTheme="minorEastAsia" w:hAnsiTheme="minorEastAsia" w:cstheme="minorEastAsia"/>
        </w:rPr>
        <w:t>施工总承包（单价包干）项目中标了，暂未签订合同，现发现中标价格低于市场价，如何处理</w:t>
      </w:r>
    </w:p>
    <w:p>
      <w:pPr>
        <w:numPr>
          <w:ilvl w:val="0"/>
          <w:numId w:val="2"/>
        </w:numPr>
        <w:spacing w:line="400" w:lineRule="exact"/>
        <w:rPr>
          <w:rFonts w:asciiTheme="minorEastAsia" w:hAnsiTheme="minorEastAsia" w:cstheme="minorEastAsia"/>
        </w:rPr>
      </w:pPr>
      <w:r>
        <w:rPr>
          <w:rFonts w:hint="eastAsia" w:asciiTheme="minorEastAsia" w:hAnsiTheme="minorEastAsia" w:cstheme="minorEastAsia"/>
        </w:rPr>
        <w:t>停工、窝工、用工签证、机械台班造价问题</w:t>
      </w:r>
    </w:p>
    <w:p>
      <w:pPr>
        <w:numPr>
          <w:ilvl w:val="0"/>
          <w:numId w:val="2"/>
        </w:numPr>
        <w:spacing w:line="400" w:lineRule="exact"/>
        <w:rPr>
          <w:rFonts w:asciiTheme="minorEastAsia" w:hAnsiTheme="minorEastAsia" w:cstheme="minorEastAsia"/>
        </w:rPr>
      </w:pPr>
      <w:r>
        <w:rPr>
          <w:rFonts w:hint="eastAsia" w:asciiTheme="minorEastAsia" w:hAnsiTheme="minorEastAsia" w:cstheme="minorEastAsia"/>
        </w:rPr>
        <w:t>有初步设计和财评审定概算，采用报下浮率并填报概算清单的方式</w:t>
      </w:r>
    </w:p>
    <w:p>
      <w:pPr>
        <w:spacing w:line="400" w:lineRule="exact"/>
        <w:rPr>
          <w:rFonts w:asciiTheme="minorEastAsia" w:hAnsiTheme="minorEastAsia" w:cstheme="minorEastAsia"/>
          <w:b/>
          <w:bCs/>
        </w:rPr>
      </w:pPr>
      <w:r>
        <w:rPr>
          <w:rFonts w:hint="eastAsia" w:asciiTheme="minorEastAsia" w:hAnsiTheme="minorEastAsia" w:cstheme="minorEastAsia"/>
          <w:b/>
          <w:bCs/>
        </w:rPr>
        <w:t>（三）合同签订阶段造价问题</w:t>
      </w:r>
    </w:p>
    <w:p>
      <w:pPr>
        <w:numPr>
          <w:ilvl w:val="0"/>
          <w:numId w:val="3"/>
        </w:numPr>
        <w:spacing w:line="400" w:lineRule="exact"/>
        <w:rPr>
          <w:rFonts w:asciiTheme="minorEastAsia" w:hAnsiTheme="minorEastAsia" w:cstheme="minorEastAsia"/>
        </w:rPr>
      </w:pPr>
      <w:r>
        <w:rPr>
          <w:rFonts w:hint="eastAsia" w:asciiTheme="minorEastAsia" w:hAnsiTheme="minorEastAsia" w:cstheme="minorEastAsia"/>
        </w:rPr>
        <w:t>变更引起的费用超额调整合同价款</w:t>
      </w:r>
    </w:p>
    <w:p>
      <w:pPr>
        <w:numPr>
          <w:ilvl w:val="0"/>
          <w:numId w:val="3"/>
        </w:numPr>
        <w:spacing w:line="400" w:lineRule="exact"/>
        <w:rPr>
          <w:rFonts w:asciiTheme="minorEastAsia" w:hAnsiTheme="minorEastAsia" w:cstheme="minorEastAsia"/>
        </w:rPr>
      </w:pPr>
      <w:r>
        <w:rPr>
          <w:rFonts w:hint="eastAsia" w:asciiTheme="minorEastAsia" w:hAnsiTheme="minorEastAsia" w:cstheme="minorEastAsia"/>
        </w:rPr>
        <w:t>不可预见的外界障碍或自然条件签证造价问题</w:t>
      </w:r>
    </w:p>
    <w:p>
      <w:pPr>
        <w:numPr>
          <w:ilvl w:val="0"/>
          <w:numId w:val="3"/>
        </w:numPr>
        <w:spacing w:line="400" w:lineRule="exact"/>
        <w:rPr>
          <w:rFonts w:asciiTheme="minorEastAsia" w:hAnsiTheme="minorEastAsia" w:cstheme="minorEastAsia"/>
        </w:rPr>
      </w:pPr>
      <w:r>
        <w:rPr>
          <w:rFonts w:hint="eastAsia" w:asciiTheme="minorEastAsia" w:hAnsiTheme="minorEastAsia" w:cstheme="minorEastAsia"/>
        </w:rPr>
        <w:t>不利地质条件造价问题</w:t>
      </w:r>
    </w:p>
    <w:p>
      <w:pPr>
        <w:numPr>
          <w:ilvl w:val="0"/>
          <w:numId w:val="3"/>
        </w:numPr>
        <w:spacing w:line="400" w:lineRule="exact"/>
        <w:rPr>
          <w:rFonts w:asciiTheme="minorEastAsia" w:hAnsiTheme="minorEastAsia" w:cstheme="minorEastAsia"/>
        </w:rPr>
      </w:pPr>
      <w:r>
        <w:rPr>
          <w:rFonts w:hint="eastAsia" w:asciiTheme="minorEastAsia" w:hAnsiTheme="minorEastAsia" w:cstheme="minorEastAsia"/>
        </w:rPr>
        <w:t>初步设计发包与结算完不成概算量扣款问题</w:t>
      </w:r>
    </w:p>
    <w:p>
      <w:pPr>
        <w:numPr>
          <w:ilvl w:val="0"/>
          <w:numId w:val="3"/>
        </w:numPr>
        <w:spacing w:line="400" w:lineRule="exact"/>
        <w:rPr>
          <w:rFonts w:asciiTheme="minorEastAsia" w:hAnsiTheme="minorEastAsia" w:cstheme="minorEastAsia"/>
        </w:rPr>
      </w:pPr>
      <w:r>
        <w:rPr>
          <w:rFonts w:hint="eastAsia" w:asciiTheme="minorEastAsia" w:hAnsiTheme="minorEastAsia" w:cstheme="minorEastAsia"/>
        </w:rPr>
        <w:t>措施费包干，红线外措施费调整？</w:t>
      </w:r>
    </w:p>
    <w:p>
      <w:pPr>
        <w:numPr>
          <w:ilvl w:val="0"/>
          <w:numId w:val="3"/>
        </w:numPr>
        <w:spacing w:line="400" w:lineRule="exact"/>
        <w:rPr>
          <w:rFonts w:asciiTheme="minorEastAsia" w:hAnsiTheme="minorEastAsia" w:cstheme="minorEastAsia"/>
        </w:rPr>
      </w:pPr>
      <w:r>
        <w:rPr>
          <w:rFonts w:hint="eastAsia" w:asciiTheme="minorEastAsia" w:hAnsiTheme="minorEastAsia" w:cstheme="minorEastAsia"/>
        </w:rPr>
        <w:t>当事人对工程价款约定了固定价的情形下，是否绝对不能申请鉴定</w:t>
      </w:r>
    </w:p>
    <w:p>
      <w:pPr>
        <w:numPr>
          <w:ilvl w:val="0"/>
          <w:numId w:val="3"/>
        </w:numPr>
        <w:spacing w:line="400" w:lineRule="exact"/>
        <w:rPr>
          <w:rFonts w:asciiTheme="minorEastAsia" w:hAnsiTheme="minorEastAsia" w:cstheme="minorEastAsia"/>
        </w:rPr>
      </w:pPr>
      <w:r>
        <w:rPr>
          <w:rFonts w:hint="eastAsia" w:asciiTheme="minorEastAsia" w:hAnsiTheme="minorEastAsia" w:cstheme="minorEastAsia"/>
        </w:rPr>
        <w:t>对于施工措施项目没有设计图纸，但是在工程造价占比比较大的，例如钢平台、施工围堰、施工便道、水塔拆除，如何考虑该费用</w:t>
      </w:r>
    </w:p>
    <w:p>
      <w:pPr>
        <w:numPr>
          <w:ilvl w:val="0"/>
          <w:numId w:val="3"/>
        </w:numPr>
        <w:spacing w:line="400" w:lineRule="exact"/>
        <w:rPr>
          <w:rFonts w:asciiTheme="minorEastAsia" w:hAnsiTheme="minorEastAsia" w:cstheme="minorEastAsia"/>
        </w:rPr>
      </w:pPr>
      <w:r>
        <w:rPr>
          <w:rFonts w:hint="eastAsia" w:asciiTheme="minorEastAsia" w:hAnsiTheme="minorEastAsia" w:cstheme="minorEastAsia"/>
        </w:rPr>
        <w:t>信息价计算主材价格造价问题</w:t>
      </w:r>
    </w:p>
    <w:p>
      <w:pPr>
        <w:numPr>
          <w:ilvl w:val="0"/>
          <w:numId w:val="3"/>
        </w:numPr>
        <w:spacing w:line="400" w:lineRule="exact"/>
        <w:rPr>
          <w:rFonts w:asciiTheme="minorEastAsia" w:hAnsiTheme="minorEastAsia" w:cstheme="minorEastAsia"/>
        </w:rPr>
      </w:pPr>
      <w:r>
        <w:rPr>
          <w:rFonts w:hint="eastAsia" w:asciiTheme="minorEastAsia" w:hAnsiTheme="minorEastAsia" w:cstheme="minorEastAsia"/>
        </w:rPr>
        <w:t>延期期间能否调整合同约定的调差权重</w:t>
      </w:r>
    </w:p>
    <w:p>
      <w:pPr>
        <w:numPr>
          <w:ilvl w:val="0"/>
          <w:numId w:val="3"/>
        </w:numPr>
        <w:spacing w:line="400" w:lineRule="exact"/>
        <w:rPr>
          <w:rFonts w:asciiTheme="minorEastAsia" w:hAnsiTheme="minorEastAsia" w:cstheme="minorEastAsia"/>
        </w:rPr>
      </w:pPr>
      <w:r>
        <w:rPr>
          <w:rFonts w:hint="eastAsia" w:asciiTheme="minorEastAsia" w:hAnsiTheme="minorEastAsia" w:cstheme="minorEastAsia"/>
        </w:rPr>
        <w:t>延期期间能否增加管理费？是否增加管理费与延期时间关系？如增加管理费，计算标准如何？</w:t>
      </w:r>
    </w:p>
    <w:p>
      <w:pPr>
        <w:numPr>
          <w:ilvl w:val="0"/>
          <w:numId w:val="3"/>
        </w:numPr>
        <w:spacing w:line="400" w:lineRule="exact"/>
        <w:rPr>
          <w:rFonts w:asciiTheme="minorEastAsia" w:hAnsiTheme="minorEastAsia" w:cstheme="minorEastAsia"/>
        </w:rPr>
      </w:pPr>
      <w:r>
        <w:rPr>
          <w:rFonts w:hint="eastAsia" w:asciiTheme="minorEastAsia" w:hAnsiTheme="minorEastAsia" w:cstheme="minorEastAsia"/>
        </w:rPr>
        <w:t>降效费、赶工措施费如何计算比较合理？</w:t>
      </w:r>
    </w:p>
    <w:p>
      <w:pPr>
        <w:numPr>
          <w:ilvl w:val="0"/>
          <w:numId w:val="3"/>
        </w:numPr>
        <w:spacing w:line="400" w:lineRule="exact"/>
        <w:rPr>
          <w:rFonts w:asciiTheme="minorEastAsia" w:hAnsiTheme="minorEastAsia" w:cstheme="minorEastAsia"/>
        </w:rPr>
      </w:pPr>
      <w:r>
        <w:rPr>
          <w:rFonts w:hint="eastAsia" w:asciiTheme="minorEastAsia" w:hAnsiTheme="minorEastAsia" w:cstheme="minorEastAsia"/>
        </w:rPr>
        <w:t>中标后拒绝签订合同问题</w:t>
      </w:r>
    </w:p>
    <w:p>
      <w:pPr>
        <w:numPr>
          <w:ilvl w:val="0"/>
          <w:numId w:val="3"/>
        </w:numPr>
        <w:spacing w:line="400" w:lineRule="exact"/>
        <w:rPr>
          <w:rFonts w:asciiTheme="minorEastAsia" w:hAnsiTheme="minorEastAsia" w:cstheme="minorEastAsia"/>
        </w:rPr>
      </w:pPr>
      <w:r>
        <w:rPr>
          <w:rFonts w:hint="eastAsia" w:asciiTheme="minorEastAsia" w:hAnsiTheme="minorEastAsia" w:cstheme="minorEastAsia"/>
        </w:rPr>
        <w:t>甲供材造价合同取费基数问题</w:t>
      </w:r>
    </w:p>
    <w:p>
      <w:pPr>
        <w:numPr>
          <w:ilvl w:val="0"/>
          <w:numId w:val="3"/>
        </w:numPr>
        <w:spacing w:line="400" w:lineRule="exact"/>
        <w:rPr>
          <w:rFonts w:asciiTheme="minorEastAsia" w:hAnsiTheme="minorEastAsia" w:cstheme="minorEastAsia"/>
        </w:rPr>
      </w:pPr>
      <w:r>
        <w:rPr>
          <w:rFonts w:hint="eastAsia" w:asciiTheme="minorEastAsia" w:hAnsiTheme="minorEastAsia" w:cstheme="minorEastAsia"/>
        </w:rPr>
        <w:t>合同约定材料、人工等价格包死条款的风险及争议处理</w:t>
      </w:r>
    </w:p>
    <w:p>
      <w:pPr>
        <w:numPr>
          <w:ilvl w:val="0"/>
          <w:numId w:val="3"/>
        </w:numPr>
        <w:spacing w:line="400" w:lineRule="exact"/>
        <w:rPr>
          <w:rFonts w:asciiTheme="minorEastAsia" w:hAnsiTheme="minorEastAsia" w:cstheme="minorEastAsia"/>
        </w:rPr>
      </w:pPr>
      <w:r>
        <w:rPr>
          <w:rFonts w:hint="eastAsia" w:asciiTheme="minorEastAsia" w:hAnsiTheme="minorEastAsia" w:cstheme="minorEastAsia"/>
        </w:rPr>
        <w:t>黑白合同对工程履约、竣工结算的影响</w:t>
      </w:r>
    </w:p>
    <w:p>
      <w:pPr>
        <w:numPr>
          <w:ilvl w:val="0"/>
          <w:numId w:val="3"/>
        </w:numPr>
        <w:spacing w:line="400" w:lineRule="exact"/>
        <w:rPr>
          <w:rFonts w:asciiTheme="minorEastAsia" w:hAnsiTheme="minorEastAsia" w:cstheme="minorEastAsia"/>
        </w:rPr>
      </w:pPr>
      <w:r>
        <w:rPr>
          <w:rFonts w:hint="eastAsia" w:asciiTheme="minorEastAsia" w:hAnsiTheme="minorEastAsia" w:cstheme="minorEastAsia"/>
        </w:rPr>
        <w:t>合同中约定价格调整按照省、市交通主管部门文件规定执行</w:t>
      </w:r>
    </w:p>
    <w:p>
      <w:pPr>
        <w:spacing w:line="400" w:lineRule="exact"/>
        <w:rPr>
          <w:rFonts w:asciiTheme="minorEastAsia" w:hAnsiTheme="minorEastAsia" w:cstheme="minorEastAsia"/>
          <w:b/>
          <w:bCs/>
        </w:rPr>
      </w:pPr>
      <w:r>
        <w:rPr>
          <w:rFonts w:hint="eastAsia" w:asciiTheme="minorEastAsia" w:hAnsiTheme="minorEastAsia" w:cstheme="minorEastAsia"/>
          <w:b/>
          <w:bCs/>
        </w:rPr>
        <w:t>（四）履约阶段造价问题</w:t>
      </w:r>
    </w:p>
    <w:p>
      <w:pPr>
        <w:numPr>
          <w:ilvl w:val="0"/>
          <w:numId w:val="4"/>
        </w:numPr>
        <w:spacing w:line="400" w:lineRule="exact"/>
        <w:rPr>
          <w:rFonts w:asciiTheme="minorEastAsia" w:hAnsiTheme="minorEastAsia" w:cstheme="minorEastAsia"/>
        </w:rPr>
      </w:pPr>
      <w:r>
        <w:rPr>
          <w:rFonts w:hint="eastAsia" w:asciiTheme="minorEastAsia" w:hAnsiTheme="minorEastAsia" w:cstheme="minorEastAsia"/>
        </w:rPr>
        <w:t>恶劣天气工期顺延造价问题</w:t>
      </w:r>
    </w:p>
    <w:p>
      <w:pPr>
        <w:numPr>
          <w:ilvl w:val="0"/>
          <w:numId w:val="4"/>
        </w:numPr>
        <w:spacing w:line="400" w:lineRule="exact"/>
        <w:rPr>
          <w:rFonts w:asciiTheme="minorEastAsia" w:hAnsiTheme="minorEastAsia" w:cstheme="minorEastAsia"/>
        </w:rPr>
      </w:pPr>
      <w:r>
        <w:rPr>
          <w:rFonts w:hint="eastAsia" w:asciiTheme="minorEastAsia" w:hAnsiTheme="minorEastAsia" w:cstheme="minorEastAsia"/>
        </w:rPr>
        <w:t>二次报价问题</w:t>
      </w:r>
    </w:p>
    <w:p>
      <w:pPr>
        <w:numPr>
          <w:ilvl w:val="0"/>
          <w:numId w:val="4"/>
        </w:numPr>
        <w:spacing w:line="400" w:lineRule="exact"/>
        <w:rPr>
          <w:rFonts w:asciiTheme="minorEastAsia" w:hAnsiTheme="minorEastAsia" w:cstheme="minorEastAsia"/>
        </w:rPr>
      </w:pPr>
      <w:r>
        <w:rPr>
          <w:rFonts w:hint="eastAsia" w:asciiTheme="minorEastAsia" w:hAnsiTheme="minorEastAsia" w:cstheme="minorEastAsia"/>
        </w:rPr>
        <w:t>二次植筋费、高支模费问题</w:t>
      </w:r>
    </w:p>
    <w:p>
      <w:pPr>
        <w:numPr>
          <w:ilvl w:val="0"/>
          <w:numId w:val="4"/>
        </w:numPr>
        <w:spacing w:line="400" w:lineRule="exact"/>
        <w:rPr>
          <w:rFonts w:asciiTheme="minorEastAsia" w:hAnsiTheme="minorEastAsia" w:cstheme="minorEastAsia"/>
        </w:rPr>
      </w:pPr>
      <w:r>
        <w:rPr>
          <w:rFonts w:hint="eastAsia" w:asciiTheme="minorEastAsia" w:hAnsiTheme="minorEastAsia" w:cstheme="minorEastAsia"/>
        </w:rPr>
        <w:t>发生设计变更的，能否调整固定价款</w:t>
      </w:r>
    </w:p>
    <w:p>
      <w:pPr>
        <w:numPr>
          <w:ilvl w:val="0"/>
          <w:numId w:val="4"/>
        </w:numPr>
        <w:spacing w:line="400" w:lineRule="exact"/>
        <w:rPr>
          <w:rFonts w:asciiTheme="minorEastAsia" w:hAnsiTheme="minorEastAsia" w:cstheme="minorEastAsia"/>
        </w:rPr>
      </w:pPr>
      <w:r>
        <w:rPr>
          <w:rFonts w:hint="eastAsia" w:asciiTheme="minorEastAsia" w:hAnsiTheme="minorEastAsia" w:cstheme="minorEastAsia"/>
        </w:rPr>
        <w:t>分包未签施工合同结算问题</w:t>
      </w:r>
    </w:p>
    <w:p>
      <w:pPr>
        <w:numPr>
          <w:ilvl w:val="0"/>
          <w:numId w:val="4"/>
        </w:numPr>
        <w:spacing w:line="400" w:lineRule="exact"/>
        <w:rPr>
          <w:rFonts w:asciiTheme="minorEastAsia" w:hAnsiTheme="minorEastAsia" w:cstheme="minorEastAsia"/>
        </w:rPr>
      </w:pPr>
      <w:r>
        <w:rPr>
          <w:rFonts w:hint="eastAsia" w:asciiTheme="minorEastAsia" w:hAnsiTheme="minorEastAsia" w:cstheme="minorEastAsia"/>
        </w:rPr>
        <w:t>工程变更、工期和价款调整造价问题</w:t>
      </w:r>
    </w:p>
    <w:p>
      <w:pPr>
        <w:numPr>
          <w:ilvl w:val="0"/>
          <w:numId w:val="4"/>
        </w:numPr>
        <w:spacing w:line="400" w:lineRule="exact"/>
        <w:rPr>
          <w:rFonts w:asciiTheme="minorEastAsia" w:hAnsiTheme="minorEastAsia" w:cstheme="minorEastAsia"/>
        </w:rPr>
      </w:pPr>
      <w:r>
        <w:rPr>
          <w:rFonts w:hint="eastAsia" w:asciiTheme="minorEastAsia" w:hAnsiTheme="minorEastAsia" w:cstheme="minorEastAsia"/>
        </w:rPr>
        <w:t>工程量变更引起包干措施项目费调整</w:t>
      </w:r>
    </w:p>
    <w:p>
      <w:pPr>
        <w:numPr>
          <w:ilvl w:val="0"/>
          <w:numId w:val="4"/>
        </w:numPr>
        <w:spacing w:line="400" w:lineRule="exact"/>
        <w:rPr>
          <w:rFonts w:asciiTheme="minorEastAsia" w:hAnsiTheme="minorEastAsia" w:cstheme="minorEastAsia"/>
        </w:rPr>
      </w:pPr>
      <w:r>
        <w:rPr>
          <w:rFonts w:hint="eastAsia" w:asciiTheme="minorEastAsia" w:hAnsiTheme="minorEastAsia" w:cstheme="minorEastAsia"/>
        </w:rPr>
        <w:t>工程量偏差引起的安全文明施工费调整争议</w:t>
      </w:r>
    </w:p>
    <w:p>
      <w:pPr>
        <w:numPr>
          <w:ilvl w:val="0"/>
          <w:numId w:val="4"/>
        </w:numPr>
        <w:spacing w:line="400" w:lineRule="exact"/>
        <w:rPr>
          <w:rFonts w:asciiTheme="minorEastAsia" w:hAnsiTheme="minorEastAsia" w:cstheme="minorEastAsia"/>
        </w:rPr>
      </w:pPr>
      <w:r>
        <w:rPr>
          <w:rFonts w:hint="eastAsia" w:asciiTheme="minorEastAsia" w:hAnsiTheme="minorEastAsia" w:cstheme="minorEastAsia"/>
        </w:rPr>
        <w:t>混合逾期，材料调价差</w:t>
      </w:r>
    </w:p>
    <w:p>
      <w:pPr>
        <w:numPr>
          <w:ilvl w:val="0"/>
          <w:numId w:val="4"/>
        </w:numPr>
        <w:spacing w:line="400" w:lineRule="exact"/>
        <w:rPr>
          <w:rFonts w:asciiTheme="minorEastAsia" w:hAnsiTheme="minorEastAsia" w:cstheme="minorEastAsia"/>
        </w:rPr>
      </w:pPr>
      <w:r>
        <w:rPr>
          <w:rFonts w:hint="eastAsia" w:asciiTheme="minorEastAsia" w:hAnsiTheme="minorEastAsia" w:cstheme="minorEastAsia"/>
        </w:rPr>
        <w:t>人工费调整、材料价差调整问题</w:t>
      </w:r>
    </w:p>
    <w:p>
      <w:pPr>
        <w:numPr>
          <w:ilvl w:val="0"/>
          <w:numId w:val="4"/>
        </w:numPr>
        <w:spacing w:line="400" w:lineRule="exact"/>
        <w:rPr>
          <w:rFonts w:asciiTheme="minorEastAsia" w:hAnsiTheme="minorEastAsia" w:cstheme="minorEastAsia"/>
        </w:rPr>
      </w:pPr>
      <w:r>
        <w:rPr>
          <w:rFonts w:hint="eastAsia" w:asciiTheme="minorEastAsia" w:hAnsiTheme="minorEastAsia" w:cstheme="minorEastAsia"/>
        </w:rPr>
        <w:t>工程量清单错漏项问题</w:t>
      </w:r>
    </w:p>
    <w:p>
      <w:pPr>
        <w:numPr>
          <w:ilvl w:val="0"/>
          <w:numId w:val="4"/>
        </w:numPr>
        <w:spacing w:line="400" w:lineRule="exact"/>
        <w:rPr>
          <w:rFonts w:asciiTheme="minorEastAsia" w:hAnsiTheme="minorEastAsia" w:cstheme="minorEastAsia"/>
        </w:rPr>
      </w:pPr>
      <w:r>
        <w:rPr>
          <w:rFonts w:hint="eastAsia" w:asciiTheme="minorEastAsia" w:hAnsiTheme="minorEastAsia" w:cstheme="minorEastAsia"/>
        </w:rPr>
        <w:t>措施项目费调整问题</w:t>
      </w:r>
    </w:p>
    <w:p>
      <w:pPr>
        <w:numPr>
          <w:ilvl w:val="0"/>
          <w:numId w:val="4"/>
        </w:numPr>
        <w:spacing w:line="400" w:lineRule="exact"/>
        <w:rPr>
          <w:rFonts w:asciiTheme="minorEastAsia" w:hAnsiTheme="minorEastAsia" w:cstheme="minorEastAsia"/>
        </w:rPr>
      </w:pPr>
      <w:r>
        <w:rPr>
          <w:rFonts w:hint="eastAsia" w:asciiTheme="minorEastAsia" w:hAnsiTheme="minorEastAsia" w:cstheme="minorEastAsia"/>
        </w:rPr>
        <w:t>消耗量定额缺失、信息价格缺失等问题</w:t>
      </w:r>
    </w:p>
    <w:p>
      <w:pPr>
        <w:numPr>
          <w:ilvl w:val="0"/>
          <w:numId w:val="4"/>
        </w:numPr>
        <w:spacing w:line="400" w:lineRule="exact"/>
        <w:rPr>
          <w:rFonts w:asciiTheme="minorEastAsia" w:hAnsiTheme="minorEastAsia" w:cstheme="minorEastAsia"/>
        </w:rPr>
      </w:pPr>
      <w:r>
        <w:rPr>
          <w:rFonts w:hint="eastAsia" w:asciiTheme="minorEastAsia" w:hAnsiTheme="minorEastAsia" w:cstheme="minorEastAsia"/>
        </w:rPr>
        <w:t>EPC，公路08定额，18定额，预算高</w:t>
      </w:r>
    </w:p>
    <w:p>
      <w:pPr>
        <w:numPr>
          <w:ilvl w:val="0"/>
          <w:numId w:val="4"/>
        </w:numPr>
        <w:spacing w:line="400" w:lineRule="exact"/>
        <w:rPr>
          <w:rFonts w:asciiTheme="minorEastAsia" w:hAnsiTheme="minorEastAsia" w:cstheme="minorEastAsia"/>
        </w:rPr>
      </w:pPr>
      <w:r>
        <w:rPr>
          <w:rFonts w:hint="eastAsia" w:asciiTheme="minorEastAsia" w:hAnsiTheme="minorEastAsia" w:cstheme="minorEastAsia"/>
        </w:rPr>
        <w:t>地铁，概算，下浮，总价包干，一部分变更，明挖变暗挖，变更部分，套预算定额</w:t>
      </w:r>
    </w:p>
    <w:p>
      <w:pPr>
        <w:numPr>
          <w:ilvl w:val="0"/>
          <w:numId w:val="4"/>
        </w:numPr>
        <w:spacing w:line="400" w:lineRule="exact"/>
        <w:rPr>
          <w:rFonts w:asciiTheme="minorEastAsia" w:hAnsiTheme="minorEastAsia" w:cstheme="minorEastAsia"/>
        </w:rPr>
      </w:pPr>
      <w:r>
        <w:rPr>
          <w:rFonts w:hint="eastAsia" w:asciiTheme="minorEastAsia" w:hAnsiTheme="minorEastAsia" w:cstheme="minorEastAsia"/>
        </w:rPr>
        <w:t>轻轨，ppp+epc，官方文件要求甲方初设，现乙方要求初设</w:t>
      </w:r>
    </w:p>
    <w:p>
      <w:pPr>
        <w:spacing w:line="400" w:lineRule="exact"/>
        <w:rPr>
          <w:rFonts w:asciiTheme="minorEastAsia" w:hAnsiTheme="minorEastAsia" w:cstheme="minorEastAsia"/>
          <w:b/>
          <w:bCs/>
        </w:rPr>
      </w:pPr>
      <w:r>
        <w:rPr>
          <w:rFonts w:hint="eastAsia" w:asciiTheme="minorEastAsia" w:hAnsiTheme="minorEastAsia" w:cstheme="minorEastAsia"/>
          <w:b/>
          <w:bCs/>
        </w:rPr>
        <w:t>（五）结算阶段造价问题</w:t>
      </w:r>
    </w:p>
    <w:p>
      <w:pPr>
        <w:numPr>
          <w:ilvl w:val="0"/>
          <w:numId w:val="5"/>
        </w:numPr>
        <w:spacing w:line="400" w:lineRule="exact"/>
        <w:rPr>
          <w:rFonts w:asciiTheme="minorEastAsia" w:hAnsiTheme="minorEastAsia" w:cstheme="minorEastAsia"/>
        </w:rPr>
      </w:pPr>
      <w:r>
        <w:rPr>
          <w:rFonts w:hint="eastAsia" w:asciiTheme="minorEastAsia" w:hAnsiTheme="minorEastAsia" w:cstheme="minorEastAsia"/>
        </w:rPr>
        <w:t>图纸与现场标高不一致，投标答疑与报价风险</w:t>
      </w:r>
    </w:p>
    <w:p>
      <w:pPr>
        <w:numPr>
          <w:ilvl w:val="0"/>
          <w:numId w:val="5"/>
        </w:numPr>
        <w:spacing w:line="400" w:lineRule="exact"/>
        <w:rPr>
          <w:rFonts w:asciiTheme="minorEastAsia" w:hAnsiTheme="minorEastAsia" w:cstheme="minorEastAsia"/>
        </w:rPr>
      </w:pPr>
      <w:r>
        <w:rPr>
          <w:rFonts w:hint="eastAsia" w:asciiTheme="minorEastAsia" w:hAnsiTheme="minorEastAsia" w:cstheme="minorEastAsia"/>
        </w:rPr>
        <w:t>只有监理人员签字而没有建设单位的签字及盖章的签证能否作为结算的依据</w:t>
      </w:r>
    </w:p>
    <w:p>
      <w:pPr>
        <w:numPr>
          <w:ilvl w:val="0"/>
          <w:numId w:val="5"/>
        </w:numPr>
        <w:spacing w:line="400" w:lineRule="exact"/>
        <w:rPr>
          <w:rFonts w:asciiTheme="minorEastAsia" w:hAnsiTheme="minorEastAsia" w:cstheme="minorEastAsia"/>
        </w:rPr>
      </w:pPr>
      <w:r>
        <w:rPr>
          <w:rFonts w:hint="eastAsia" w:asciiTheme="minorEastAsia" w:hAnsiTheme="minorEastAsia" w:cstheme="minorEastAsia"/>
        </w:rPr>
        <w:t>设计变更导致综合单价重新确定问题</w:t>
      </w:r>
    </w:p>
    <w:p>
      <w:pPr>
        <w:numPr>
          <w:ilvl w:val="0"/>
          <w:numId w:val="5"/>
        </w:numPr>
        <w:spacing w:line="400" w:lineRule="exact"/>
        <w:rPr>
          <w:rFonts w:asciiTheme="minorEastAsia" w:hAnsiTheme="minorEastAsia" w:cstheme="minorEastAsia"/>
        </w:rPr>
      </w:pPr>
      <w:r>
        <w:rPr>
          <w:rFonts w:hint="eastAsia" w:asciiTheme="minorEastAsia" w:hAnsiTheme="minorEastAsia" w:cstheme="minorEastAsia"/>
        </w:rPr>
        <w:t>设计变更或施工图有误造价问题</w:t>
      </w:r>
    </w:p>
    <w:p>
      <w:pPr>
        <w:numPr>
          <w:ilvl w:val="0"/>
          <w:numId w:val="5"/>
        </w:numPr>
        <w:spacing w:line="400" w:lineRule="exact"/>
        <w:rPr>
          <w:rFonts w:asciiTheme="minorEastAsia" w:hAnsiTheme="minorEastAsia" w:cstheme="minorEastAsia"/>
        </w:rPr>
      </w:pPr>
      <w:r>
        <w:rPr>
          <w:rFonts w:hint="eastAsia" w:asciiTheme="minorEastAsia" w:hAnsiTheme="minorEastAsia" w:cstheme="minorEastAsia"/>
        </w:rPr>
        <w:t>无效施工合同中“企业管理费”、“利润”、“规费”问题</w:t>
      </w:r>
    </w:p>
    <w:p>
      <w:pPr>
        <w:numPr>
          <w:ilvl w:val="0"/>
          <w:numId w:val="5"/>
        </w:numPr>
        <w:spacing w:line="400" w:lineRule="exact"/>
        <w:rPr>
          <w:rFonts w:asciiTheme="minorEastAsia" w:hAnsiTheme="minorEastAsia" w:cstheme="minorEastAsia"/>
        </w:rPr>
      </w:pPr>
      <w:r>
        <w:rPr>
          <w:rFonts w:hint="eastAsia" w:asciiTheme="minorEastAsia" w:hAnsiTheme="minorEastAsia" w:cstheme="minorEastAsia"/>
        </w:rPr>
        <w:t>先施工后签合同造价问题</w:t>
      </w:r>
    </w:p>
    <w:p>
      <w:pPr>
        <w:numPr>
          <w:ilvl w:val="0"/>
          <w:numId w:val="5"/>
        </w:numPr>
        <w:spacing w:line="400" w:lineRule="exact"/>
        <w:rPr>
          <w:rFonts w:asciiTheme="minorEastAsia" w:hAnsiTheme="minorEastAsia" w:cstheme="minorEastAsia"/>
        </w:rPr>
      </w:pPr>
      <w:r>
        <w:rPr>
          <w:rFonts w:hint="eastAsia" w:asciiTheme="minorEastAsia" w:hAnsiTheme="minorEastAsia" w:cstheme="minorEastAsia"/>
        </w:rPr>
        <w:t>结算超设计造价问题</w:t>
      </w:r>
    </w:p>
    <w:p>
      <w:pPr>
        <w:numPr>
          <w:ilvl w:val="0"/>
          <w:numId w:val="5"/>
        </w:numPr>
        <w:spacing w:line="400" w:lineRule="exact"/>
        <w:rPr>
          <w:rFonts w:asciiTheme="minorEastAsia" w:hAnsiTheme="minorEastAsia" w:cstheme="minorEastAsia"/>
        </w:rPr>
      </w:pPr>
      <w:r>
        <w:rPr>
          <w:rFonts w:hint="eastAsia" w:asciiTheme="minorEastAsia" w:hAnsiTheme="minorEastAsia" w:cstheme="minorEastAsia"/>
        </w:rPr>
        <w:t>可研估算立项与结算超限额问题</w:t>
      </w:r>
    </w:p>
    <w:p>
      <w:pPr>
        <w:numPr>
          <w:ilvl w:val="0"/>
          <w:numId w:val="5"/>
        </w:numPr>
        <w:spacing w:line="400" w:lineRule="exact"/>
        <w:rPr>
          <w:rFonts w:asciiTheme="minorEastAsia" w:hAnsiTheme="minorEastAsia" w:cstheme="minorEastAsia"/>
        </w:rPr>
      </w:pPr>
      <w:r>
        <w:rPr>
          <w:rFonts w:hint="eastAsia" w:asciiTheme="minorEastAsia" w:hAnsiTheme="minorEastAsia" w:cstheme="minorEastAsia"/>
        </w:rPr>
        <w:t>没有详图或具体使用部位造价问题</w:t>
      </w:r>
    </w:p>
    <w:p>
      <w:pPr>
        <w:numPr>
          <w:ilvl w:val="0"/>
          <w:numId w:val="5"/>
        </w:numPr>
        <w:spacing w:line="400" w:lineRule="exact"/>
        <w:rPr>
          <w:rFonts w:asciiTheme="minorEastAsia" w:hAnsiTheme="minorEastAsia" w:cstheme="minorEastAsia"/>
        </w:rPr>
      </w:pPr>
      <w:r>
        <w:rPr>
          <w:rFonts w:hint="eastAsia" w:asciiTheme="minorEastAsia" w:hAnsiTheme="minorEastAsia" w:cstheme="minorEastAsia"/>
        </w:rPr>
        <w:t>签名+“同意”、签名+“情况属实”、签名+“以上情况属实，同意结算”，有何区别</w:t>
      </w:r>
    </w:p>
    <w:p>
      <w:pPr>
        <w:numPr>
          <w:ilvl w:val="0"/>
          <w:numId w:val="5"/>
        </w:numPr>
        <w:spacing w:line="400" w:lineRule="exact"/>
        <w:rPr>
          <w:rFonts w:asciiTheme="minorEastAsia" w:hAnsiTheme="minorEastAsia" w:cstheme="minorEastAsia"/>
        </w:rPr>
      </w:pPr>
      <w:r>
        <w:rPr>
          <w:rFonts w:hint="eastAsia" w:asciiTheme="minorEastAsia" w:hAnsiTheme="minorEastAsia" w:cstheme="minorEastAsia"/>
        </w:rPr>
        <w:t>签证直接签金额就大大减少甲方事后审价审减的空间</w:t>
      </w:r>
    </w:p>
    <w:p>
      <w:pPr>
        <w:numPr>
          <w:ilvl w:val="0"/>
          <w:numId w:val="5"/>
        </w:numPr>
        <w:spacing w:line="400" w:lineRule="exact"/>
        <w:rPr>
          <w:rFonts w:asciiTheme="minorEastAsia" w:hAnsiTheme="minorEastAsia" w:cstheme="minorEastAsia"/>
        </w:rPr>
      </w:pPr>
      <w:r>
        <w:rPr>
          <w:rFonts w:hint="eastAsia" w:asciiTheme="minorEastAsia" w:hAnsiTheme="minorEastAsia" w:cstheme="minorEastAsia"/>
        </w:rPr>
        <w:t>情势变更、显失公平、重大误解、无限风险问题</w:t>
      </w:r>
    </w:p>
    <w:p>
      <w:pPr>
        <w:numPr>
          <w:ilvl w:val="0"/>
          <w:numId w:val="5"/>
        </w:numPr>
        <w:spacing w:line="400" w:lineRule="exact"/>
        <w:rPr>
          <w:rFonts w:asciiTheme="minorEastAsia" w:hAnsiTheme="minorEastAsia" w:cstheme="minorEastAsia"/>
        </w:rPr>
      </w:pPr>
      <w:r>
        <w:rPr>
          <w:rFonts w:hint="eastAsia" w:asciiTheme="minorEastAsia" w:hAnsiTheme="minorEastAsia" w:cstheme="minorEastAsia"/>
        </w:rPr>
        <w:t>人工浮动工资、议价项目、材料价格造价问题</w:t>
      </w:r>
    </w:p>
    <w:p>
      <w:pPr>
        <w:numPr>
          <w:ilvl w:val="0"/>
          <w:numId w:val="5"/>
        </w:numPr>
        <w:spacing w:line="400" w:lineRule="exact"/>
        <w:rPr>
          <w:rFonts w:asciiTheme="minorEastAsia" w:hAnsiTheme="minorEastAsia" w:cstheme="minorEastAsia"/>
        </w:rPr>
      </w:pPr>
      <w:r>
        <w:rPr>
          <w:rFonts w:hint="eastAsia" w:asciiTheme="minorEastAsia" w:hAnsiTheme="minorEastAsia" w:cstheme="minorEastAsia"/>
        </w:rPr>
        <w:t>已竣工项目，不验收、不结算问题</w:t>
      </w:r>
    </w:p>
    <w:p>
      <w:pPr>
        <w:numPr>
          <w:ilvl w:val="0"/>
          <w:numId w:val="5"/>
        </w:numPr>
        <w:spacing w:line="400" w:lineRule="exact"/>
        <w:rPr>
          <w:rFonts w:asciiTheme="minorEastAsia" w:hAnsiTheme="minorEastAsia" w:cstheme="minorEastAsia"/>
        </w:rPr>
      </w:pPr>
      <w:r>
        <w:rPr>
          <w:rFonts w:hint="eastAsia" w:asciiTheme="minorEastAsia" w:hAnsiTheme="minorEastAsia" w:cstheme="minorEastAsia"/>
        </w:rPr>
        <w:t>地铁盾构机开挖，前期甲方管线挪移，赶工措施费</w:t>
      </w:r>
    </w:p>
    <w:p>
      <w:pPr>
        <w:numPr>
          <w:ilvl w:val="0"/>
          <w:numId w:val="5"/>
        </w:numPr>
        <w:spacing w:line="400" w:lineRule="exact"/>
        <w:rPr>
          <w:rFonts w:asciiTheme="minorEastAsia" w:hAnsiTheme="minorEastAsia" w:cstheme="minorEastAsia"/>
        </w:rPr>
      </w:pPr>
      <w:r>
        <w:rPr>
          <w:rFonts w:hint="eastAsia" w:asciiTheme="minorEastAsia" w:hAnsiTheme="minorEastAsia" w:cstheme="minorEastAsia"/>
        </w:rPr>
        <w:t>交通局概算包干，护坡塌方</w:t>
      </w:r>
    </w:p>
    <w:p>
      <w:pPr>
        <w:spacing w:line="400" w:lineRule="exact"/>
        <w:rPr>
          <w:rFonts w:asciiTheme="minorEastAsia" w:hAnsiTheme="minorEastAsia" w:cstheme="minorEastAsia"/>
          <w:b/>
          <w:bCs/>
        </w:rPr>
      </w:pPr>
      <w:r>
        <w:rPr>
          <w:rFonts w:hint="eastAsia" w:asciiTheme="minorEastAsia" w:hAnsiTheme="minorEastAsia" w:cstheme="minorEastAsia"/>
          <w:b/>
          <w:bCs/>
        </w:rPr>
        <w:t>（六）结算审计与财评</w:t>
      </w:r>
    </w:p>
    <w:p>
      <w:pPr>
        <w:numPr>
          <w:ilvl w:val="0"/>
          <w:numId w:val="6"/>
        </w:numPr>
        <w:spacing w:line="400" w:lineRule="exact"/>
        <w:rPr>
          <w:rFonts w:asciiTheme="minorEastAsia" w:hAnsiTheme="minorEastAsia" w:cstheme="minorEastAsia"/>
        </w:rPr>
      </w:pPr>
      <w:r>
        <w:rPr>
          <w:rFonts w:hint="eastAsia" w:asciiTheme="minorEastAsia" w:hAnsiTheme="minorEastAsia" w:cstheme="minorEastAsia"/>
        </w:rPr>
        <w:t>路桥公司，EPC，财政评审，材料费，信息价</w:t>
      </w:r>
    </w:p>
    <w:p>
      <w:pPr>
        <w:numPr>
          <w:ilvl w:val="0"/>
          <w:numId w:val="6"/>
        </w:numPr>
        <w:spacing w:line="400" w:lineRule="exact"/>
        <w:rPr>
          <w:rFonts w:asciiTheme="minorEastAsia" w:hAnsiTheme="minorEastAsia" w:cstheme="minorEastAsia"/>
        </w:rPr>
      </w:pPr>
      <w:r>
        <w:rPr>
          <w:rFonts w:hint="eastAsia" w:asciiTheme="minorEastAsia" w:hAnsiTheme="minorEastAsia" w:cstheme="minorEastAsia"/>
        </w:rPr>
        <w:t>EPC,跨铁桥，超概，挂靠</w:t>
      </w:r>
    </w:p>
    <w:p>
      <w:pPr>
        <w:numPr>
          <w:ilvl w:val="0"/>
          <w:numId w:val="6"/>
        </w:numPr>
        <w:spacing w:line="400" w:lineRule="exact"/>
        <w:rPr>
          <w:rFonts w:asciiTheme="minorEastAsia" w:hAnsiTheme="minorEastAsia" w:cstheme="minorEastAsia"/>
        </w:rPr>
      </w:pPr>
      <w:r>
        <w:rPr>
          <w:rFonts w:hint="eastAsia" w:asciiTheme="minorEastAsia" w:hAnsiTheme="minorEastAsia" w:cstheme="minorEastAsia"/>
        </w:rPr>
        <w:t>实际施工与设计图纸不一致，结算如何调整</w:t>
      </w:r>
    </w:p>
    <w:p>
      <w:pPr>
        <w:numPr>
          <w:ilvl w:val="0"/>
          <w:numId w:val="6"/>
        </w:numPr>
        <w:spacing w:line="400" w:lineRule="exact"/>
        <w:rPr>
          <w:rFonts w:asciiTheme="minorEastAsia" w:hAnsiTheme="minorEastAsia" w:cstheme="minorEastAsia"/>
        </w:rPr>
      </w:pPr>
      <w:r>
        <w:rPr>
          <w:rFonts w:hint="eastAsia" w:asciiTheme="minorEastAsia" w:hAnsiTheme="minorEastAsia" w:cstheme="minorEastAsia"/>
        </w:rPr>
        <w:t>招标文件约定施工过程核价问题</w:t>
      </w:r>
    </w:p>
    <w:p>
      <w:pPr>
        <w:numPr>
          <w:ilvl w:val="0"/>
          <w:numId w:val="6"/>
        </w:numPr>
        <w:spacing w:line="400" w:lineRule="exact"/>
        <w:rPr>
          <w:rFonts w:asciiTheme="minorEastAsia" w:hAnsiTheme="minorEastAsia" w:cstheme="minorEastAsia"/>
        </w:rPr>
      </w:pPr>
      <w:r>
        <w:rPr>
          <w:rFonts w:hint="eastAsia" w:asciiTheme="minorEastAsia" w:hAnsiTheme="minorEastAsia" w:cstheme="minorEastAsia"/>
        </w:rPr>
        <w:t>招标控制价中没有赶工措施费，项目在实施过程中，因业主原因需要施工单位进行赶工，赶工措施费如何计算比较合理？</w:t>
      </w:r>
    </w:p>
    <w:p>
      <w:pPr>
        <w:numPr>
          <w:ilvl w:val="0"/>
          <w:numId w:val="6"/>
        </w:numPr>
        <w:spacing w:line="400" w:lineRule="exact"/>
        <w:rPr>
          <w:rFonts w:asciiTheme="minorEastAsia" w:hAnsiTheme="minorEastAsia" w:cstheme="minorEastAsia"/>
        </w:rPr>
      </w:pPr>
      <w:r>
        <w:rPr>
          <w:rFonts w:hint="eastAsia" w:asciiTheme="minorEastAsia" w:hAnsiTheme="minorEastAsia" w:cstheme="minorEastAsia"/>
        </w:rPr>
        <w:t>EPC项目合同及范围外的结算原则</w:t>
      </w:r>
    </w:p>
    <w:p>
      <w:pPr>
        <w:numPr>
          <w:ilvl w:val="0"/>
          <w:numId w:val="6"/>
        </w:numPr>
        <w:spacing w:line="400" w:lineRule="exact"/>
        <w:rPr>
          <w:rFonts w:asciiTheme="minorEastAsia" w:hAnsiTheme="minorEastAsia" w:cstheme="minorEastAsia"/>
        </w:rPr>
      </w:pPr>
      <w:r>
        <w:rPr>
          <w:rFonts w:hint="eastAsia" w:asciiTheme="minorEastAsia" w:hAnsiTheme="minorEastAsia" w:cstheme="minorEastAsia"/>
        </w:rPr>
        <w:t>当事人约定以行政审计、财政评审作为工程款结算依据的，按照约定处理。</w:t>
      </w:r>
    </w:p>
    <w:p>
      <w:pPr>
        <w:numPr>
          <w:ilvl w:val="0"/>
          <w:numId w:val="6"/>
        </w:numPr>
        <w:spacing w:line="400" w:lineRule="exact"/>
        <w:rPr>
          <w:rFonts w:asciiTheme="minorEastAsia" w:hAnsiTheme="minorEastAsia" w:cstheme="minorEastAsia"/>
        </w:rPr>
      </w:pPr>
      <w:r>
        <w:rPr>
          <w:rFonts w:hint="eastAsia" w:asciiTheme="minorEastAsia" w:hAnsiTheme="minorEastAsia" w:cstheme="minorEastAsia"/>
        </w:rPr>
        <w:t>行政审计、财政评审部门明确表示无法进行审计或者无正当理由长期未出具审计结论，当事人申请进行司法鉴定的，可以准许。</w:t>
      </w:r>
    </w:p>
    <w:p>
      <w:pPr>
        <w:numPr>
          <w:ilvl w:val="0"/>
          <w:numId w:val="6"/>
        </w:numPr>
        <w:spacing w:line="400" w:lineRule="exact"/>
        <w:rPr>
          <w:rFonts w:asciiTheme="minorEastAsia" w:hAnsiTheme="minorEastAsia" w:cstheme="minorEastAsia"/>
        </w:rPr>
      </w:pPr>
      <w:r>
        <w:rPr>
          <w:rFonts w:hint="eastAsia" w:asciiTheme="minorEastAsia" w:hAnsiTheme="minorEastAsia" w:cstheme="minorEastAsia"/>
        </w:rPr>
        <w:t>在双方当事人已经通过结算协议确认了工程结算价款并已基本履行完毕的情况下，国家审计机关作出的审计结论或财政评审意见，不影响双方结算协议的效力。</w:t>
      </w:r>
    </w:p>
    <w:p>
      <w:pPr>
        <w:numPr>
          <w:ilvl w:val="0"/>
          <w:numId w:val="6"/>
        </w:numPr>
        <w:spacing w:line="400" w:lineRule="exact"/>
        <w:rPr>
          <w:rFonts w:asciiTheme="minorEastAsia" w:hAnsiTheme="minorEastAsia" w:cstheme="minorEastAsia"/>
        </w:rPr>
      </w:pPr>
      <w:r>
        <w:rPr>
          <w:rFonts w:hint="eastAsia" w:asciiTheme="minorEastAsia" w:hAnsiTheme="minorEastAsia" w:cstheme="minorEastAsia"/>
        </w:rPr>
        <w:t>中标合同与另行约定以审计结果作为结算依据不一致，如何处理？</w:t>
      </w:r>
    </w:p>
    <w:p>
      <w:pPr>
        <w:numPr>
          <w:ilvl w:val="0"/>
          <w:numId w:val="6"/>
        </w:numPr>
        <w:spacing w:line="400" w:lineRule="exact"/>
        <w:rPr>
          <w:rFonts w:asciiTheme="minorEastAsia" w:hAnsiTheme="minorEastAsia" w:cstheme="minorEastAsia"/>
        </w:rPr>
      </w:pPr>
      <w:r>
        <w:rPr>
          <w:rFonts w:hint="eastAsia" w:asciiTheme="minorEastAsia" w:hAnsiTheme="minorEastAsia" w:cstheme="minorEastAsia"/>
        </w:rPr>
        <w:t>约定以审计结论作为结算依据，能否变更结算约定？</w:t>
      </w:r>
    </w:p>
    <w:p>
      <w:pPr>
        <w:numPr>
          <w:ilvl w:val="0"/>
          <w:numId w:val="6"/>
        </w:numPr>
        <w:spacing w:line="400" w:lineRule="exact"/>
        <w:rPr>
          <w:rFonts w:asciiTheme="minorEastAsia" w:hAnsiTheme="minorEastAsia" w:cstheme="minorEastAsia"/>
        </w:rPr>
      </w:pPr>
      <w:r>
        <w:rPr>
          <w:rFonts w:hint="eastAsia" w:asciiTheme="minorEastAsia" w:hAnsiTheme="minorEastAsia" w:cstheme="minorEastAsia"/>
        </w:rPr>
        <w:t>审计机构超越资质范围出具审计报告，审计结果能否作为结算依据？</w:t>
      </w:r>
    </w:p>
    <w:p>
      <w:pPr>
        <w:numPr>
          <w:ilvl w:val="0"/>
          <w:numId w:val="6"/>
        </w:numPr>
        <w:spacing w:line="400" w:lineRule="exact"/>
        <w:rPr>
          <w:rFonts w:asciiTheme="minorEastAsia" w:hAnsiTheme="minorEastAsia" w:cstheme="minorEastAsia"/>
        </w:rPr>
      </w:pPr>
      <w:r>
        <w:rPr>
          <w:rFonts w:hint="eastAsia" w:asciiTheme="minorEastAsia" w:hAnsiTheme="minorEastAsia" w:cstheme="minorEastAsia"/>
        </w:rPr>
        <w:t>政府审计结果是否影响双方当事人结算协议的履行？</w:t>
      </w:r>
    </w:p>
    <w:p>
      <w:pPr>
        <w:numPr>
          <w:ilvl w:val="0"/>
          <w:numId w:val="6"/>
        </w:numPr>
        <w:spacing w:line="400" w:lineRule="exact"/>
        <w:rPr>
          <w:rFonts w:asciiTheme="minorEastAsia" w:hAnsiTheme="minorEastAsia" w:cstheme="minorEastAsia"/>
        </w:rPr>
      </w:pPr>
      <w:r>
        <w:rPr>
          <w:rFonts w:hint="eastAsia" w:asciiTheme="minorEastAsia" w:hAnsiTheme="minorEastAsia" w:cstheme="minorEastAsia"/>
        </w:rPr>
        <w:t>审计机关对发包人的竣工决算审计结果对承包人与实际施工人约定的结算方式的影响？</w:t>
      </w:r>
    </w:p>
    <w:p>
      <w:pPr>
        <w:numPr>
          <w:ilvl w:val="0"/>
          <w:numId w:val="6"/>
        </w:numPr>
        <w:spacing w:line="400" w:lineRule="exact"/>
        <w:rPr>
          <w:rFonts w:asciiTheme="minorEastAsia" w:hAnsiTheme="minorEastAsia" w:cstheme="minorEastAsia"/>
        </w:rPr>
      </w:pPr>
      <w:r>
        <w:rPr>
          <w:rFonts w:hint="eastAsia" w:asciiTheme="minorEastAsia" w:hAnsiTheme="minorEastAsia" w:cstheme="minorEastAsia"/>
        </w:rPr>
        <w:t>合同约定以决算审核部门审核结果作为结算依据的，审核结果能否作为结算的依据？</w:t>
      </w:r>
    </w:p>
    <w:p>
      <w:pPr>
        <w:spacing w:line="400" w:lineRule="exact"/>
        <w:rPr>
          <w:rFonts w:asciiTheme="minorEastAsia" w:hAnsiTheme="minorEastAsia" w:cstheme="minorEastAsia"/>
        </w:rPr>
      </w:pPr>
      <w:r>
        <w:rPr>
          <w:rFonts w:hint="eastAsia" w:asciiTheme="minorEastAsia" w:hAnsiTheme="minorEastAsia" w:cstheme="minorEastAsia"/>
        </w:rPr>
        <w:t>如果已经按照造价咨询机构的结论，全部支付完了工程款项，审计机关时候又提出审减的意见，这种要怎么处理？是要把钱追回来么？如果追不回来了，经办人员要被追责么？</w:t>
      </w:r>
    </w:p>
    <w:p>
      <w:pPr>
        <w:spacing w:line="400" w:lineRule="exact"/>
        <w:rPr>
          <w:rFonts w:asciiTheme="minorEastAsia" w:hAnsiTheme="minorEastAsia" w:cstheme="minorEastAsia"/>
          <w:b/>
          <w:bCs/>
        </w:rPr>
      </w:pPr>
    </w:p>
    <w:p>
      <w:pPr>
        <w:spacing w:line="400" w:lineRule="exact"/>
        <w:rPr>
          <w:rFonts w:asciiTheme="minorEastAsia" w:hAnsiTheme="minorEastAsia" w:cstheme="minorEastAsia"/>
          <w:b/>
          <w:bCs/>
        </w:rPr>
      </w:pPr>
      <w:r>
        <w:rPr>
          <w:rFonts w:hint="eastAsia" w:asciiTheme="minorEastAsia" w:hAnsiTheme="minorEastAsia" w:cstheme="minorEastAsia"/>
          <w:b/>
          <w:bCs/>
        </w:rPr>
        <w:t>第二部分</w:t>
      </w:r>
    </w:p>
    <w:p>
      <w:pPr>
        <w:spacing w:line="400" w:lineRule="exact"/>
        <w:rPr>
          <w:rFonts w:asciiTheme="minorEastAsia" w:hAnsiTheme="minorEastAsia" w:cstheme="minorEastAsia"/>
          <w:b/>
          <w:bCs/>
        </w:rPr>
      </w:pPr>
      <w:r>
        <w:rPr>
          <w:rFonts w:hint="eastAsia" w:asciiTheme="minorEastAsia" w:hAnsiTheme="minorEastAsia" w:cstheme="minorEastAsia"/>
          <w:b/>
          <w:bCs/>
        </w:rPr>
        <w:t>（一）2020版工程总承包合同诞生缘起</w:t>
      </w:r>
    </w:p>
    <w:p>
      <w:pPr>
        <w:numPr>
          <w:ilvl w:val="0"/>
          <w:numId w:val="7"/>
        </w:numPr>
        <w:spacing w:line="400" w:lineRule="exact"/>
        <w:rPr>
          <w:rFonts w:asciiTheme="minorEastAsia" w:hAnsiTheme="minorEastAsia" w:cstheme="minorEastAsia"/>
        </w:rPr>
      </w:pPr>
      <w:r>
        <w:rPr>
          <w:rFonts w:hint="eastAsia" w:asciiTheme="minorEastAsia" w:hAnsiTheme="minorEastAsia" w:cstheme="minorEastAsia"/>
        </w:rPr>
        <w:t>大势所趋：中央和地方大力推进工程总承包发展</w:t>
      </w:r>
    </w:p>
    <w:p>
      <w:pPr>
        <w:numPr>
          <w:ilvl w:val="0"/>
          <w:numId w:val="7"/>
        </w:numPr>
        <w:spacing w:line="400" w:lineRule="exact"/>
        <w:rPr>
          <w:rFonts w:asciiTheme="minorEastAsia" w:hAnsiTheme="minorEastAsia" w:cstheme="minorEastAsia"/>
        </w:rPr>
      </w:pPr>
      <w:r>
        <w:rPr>
          <w:rFonts w:hint="eastAsia" w:asciiTheme="minorEastAsia" w:hAnsiTheme="minorEastAsia" w:cstheme="minorEastAsia"/>
        </w:rPr>
        <w:t>继往开来：充分认识推行工程总承包合同示范文本的重要性</w:t>
      </w:r>
    </w:p>
    <w:p>
      <w:pPr>
        <w:numPr>
          <w:ilvl w:val="0"/>
          <w:numId w:val="7"/>
        </w:numPr>
        <w:spacing w:line="400" w:lineRule="exact"/>
        <w:rPr>
          <w:rFonts w:asciiTheme="minorEastAsia" w:hAnsiTheme="minorEastAsia" w:cstheme="minorEastAsia"/>
        </w:rPr>
      </w:pPr>
      <w:r>
        <w:rPr>
          <w:rFonts w:hint="eastAsia" w:asciiTheme="minorEastAsia" w:hAnsiTheme="minorEastAsia" w:cstheme="minorEastAsia"/>
        </w:rPr>
        <w:t>鉥心刿目：2020版工程总承包合同制定过程及内容对比介绍</w:t>
      </w:r>
    </w:p>
    <w:p>
      <w:pPr>
        <w:spacing w:line="400" w:lineRule="exact"/>
        <w:rPr>
          <w:rFonts w:asciiTheme="minorEastAsia" w:hAnsiTheme="minorEastAsia" w:cstheme="minorEastAsia"/>
        </w:rPr>
      </w:pPr>
      <w:r>
        <w:rPr>
          <w:rFonts w:hint="eastAsia" w:asciiTheme="minorEastAsia" w:hAnsiTheme="minorEastAsia" w:cstheme="minorEastAsia"/>
          <w:b/>
          <w:bCs/>
        </w:rPr>
        <w:t>（二）2020版工程总承包合同精要解读</w:t>
      </w:r>
    </w:p>
    <w:p>
      <w:pPr>
        <w:numPr>
          <w:ilvl w:val="0"/>
          <w:numId w:val="8"/>
        </w:numPr>
        <w:rPr>
          <w:rFonts w:asciiTheme="minorEastAsia" w:hAnsiTheme="minorEastAsia" w:cstheme="minorEastAsia"/>
        </w:rPr>
      </w:pPr>
      <w:r>
        <w:rPr>
          <w:rFonts w:hint="eastAsia" w:asciiTheme="minorEastAsia" w:hAnsiTheme="minorEastAsia" w:cstheme="minorEastAsia"/>
        </w:rPr>
        <w:t>工程总承包各参与方管理职责条款：新增[发包人的管理]，引入并完善[工程师]制度</w:t>
      </w:r>
    </w:p>
    <w:p>
      <w:pPr>
        <w:numPr>
          <w:ilvl w:val="0"/>
          <w:numId w:val="8"/>
        </w:numPr>
        <w:rPr>
          <w:rFonts w:asciiTheme="minorEastAsia" w:hAnsiTheme="minorEastAsia" w:cstheme="minorEastAsia"/>
        </w:rPr>
      </w:pPr>
      <w:r>
        <w:rPr>
          <w:rFonts w:hint="eastAsia" w:asciiTheme="minorEastAsia" w:hAnsiTheme="minorEastAsia" w:cstheme="minorEastAsia"/>
        </w:rPr>
        <w:t>合同价格条款：区分税率，细化合同价格组成</w:t>
      </w:r>
    </w:p>
    <w:p>
      <w:pPr>
        <w:numPr>
          <w:ilvl w:val="0"/>
          <w:numId w:val="8"/>
        </w:numPr>
        <w:rPr>
          <w:rFonts w:asciiTheme="minorEastAsia" w:hAnsiTheme="minorEastAsia" w:cstheme="minorEastAsia"/>
        </w:rPr>
      </w:pPr>
      <w:r>
        <w:rPr>
          <w:rFonts w:hint="eastAsia" w:asciiTheme="minorEastAsia" w:hAnsiTheme="minorEastAsia" w:cstheme="minorEastAsia"/>
        </w:rPr>
        <w:t>合同价格条款：引入《价格指数权重表》，改变“变更”界定方法</w:t>
      </w:r>
    </w:p>
    <w:p>
      <w:pPr>
        <w:numPr>
          <w:ilvl w:val="0"/>
          <w:numId w:val="8"/>
        </w:numPr>
        <w:rPr>
          <w:rFonts w:asciiTheme="minorEastAsia" w:hAnsiTheme="minorEastAsia" w:cstheme="minorEastAsia"/>
        </w:rPr>
      </w:pPr>
      <w:r>
        <w:rPr>
          <w:rFonts w:hint="eastAsia" w:asciiTheme="minorEastAsia" w:hAnsiTheme="minorEastAsia" w:cstheme="minorEastAsia"/>
        </w:rPr>
        <w:t>自然环境、地质条件、技术标准和其他不可预见困难等风险的分担条款：不可预见困难制度或可促进发承包人双赢</w:t>
      </w:r>
    </w:p>
    <w:p>
      <w:pPr>
        <w:numPr>
          <w:ilvl w:val="0"/>
          <w:numId w:val="8"/>
        </w:numPr>
        <w:rPr>
          <w:rFonts w:asciiTheme="minorEastAsia" w:hAnsiTheme="minorEastAsia" w:cstheme="minorEastAsia"/>
        </w:rPr>
      </w:pPr>
      <w:r>
        <w:rPr>
          <w:rFonts w:hint="eastAsia" w:asciiTheme="minorEastAsia" w:hAnsiTheme="minorEastAsia" w:cstheme="minorEastAsia"/>
        </w:rPr>
        <w:t>发包人资料错误的风险承担条款：发包人承担资料错误风险，承包人可依约索赔</w:t>
      </w:r>
    </w:p>
    <w:p>
      <w:pPr>
        <w:numPr>
          <w:ilvl w:val="0"/>
          <w:numId w:val="8"/>
        </w:numPr>
        <w:rPr>
          <w:rFonts w:asciiTheme="minorEastAsia" w:hAnsiTheme="minorEastAsia" w:cstheme="minorEastAsia"/>
        </w:rPr>
      </w:pPr>
      <w:r>
        <w:rPr>
          <w:rFonts w:hint="eastAsia" w:asciiTheme="minorEastAsia" w:hAnsiTheme="minorEastAsia" w:cstheme="minorEastAsia"/>
        </w:rPr>
        <w:t>索赔条款：案例讲解</w:t>
      </w:r>
    </w:p>
    <w:p>
      <w:pPr>
        <w:numPr>
          <w:ilvl w:val="0"/>
          <w:numId w:val="8"/>
        </w:numPr>
        <w:rPr>
          <w:rFonts w:asciiTheme="minorEastAsia" w:hAnsiTheme="minorEastAsia" w:cstheme="minorEastAsia"/>
        </w:rPr>
      </w:pPr>
      <w:r>
        <w:rPr>
          <w:rFonts w:hint="eastAsia" w:asciiTheme="minorEastAsia" w:hAnsiTheme="minorEastAsia" w:cstheme="minorEastAsia"/>
        </w:rPr>
        <w:t>建筑工人权利保护条款：工资、安全、健康、保险等全方位保护建筑工人</w:t>
      </w:r>
    </w:p>
    <w:p>
      <w:pPr>
        <w:numPr>
          <w:ilvl w:val="0"/>
          <w:numId w:val="8"/>
        </w:numPr>
        <w:rPr>
          <w:rFonts w:asciiTheme="minorEastAsia" w:hAnsiTheme="minorEastAsia" w:cstheme="minorEastAsia"/>
        </w:rPr>
      </w:pPr>
      <w:r>
        <w:rPr>
          <w:rFonts w:hint="eastAsia" w:asciiTheme="minorEastAsia" w:hAnsiTheme="minorEastAsia" w:cstheme="minorEastAsia"/>
        </w:rPr>
        <w:t>发包人的违约责任条款：发包人履约是保障项目顺利进行的前提</w:t>
      </w:r>
    </w:p>
    <w:p>
      <w:pPr>
        <w:numPr>
          <w:ilvl w:val="0"/>
          <w:numId w:val="8"/>
        </w:numPr>
        <w:rPr>
          <w:rFonts w:asciiTheme="minorEastAsia" w:hAnsiTheme="minorEastAsia" w:cstheme="minorEastAsia"/>
        </w:rPr>
      </w:pPr>
      <w:r>
        <w:rPr>
          <w:rFonts w:hint="eastAsia" w:asciiTheme="minorEastAsia" w:hAnsiTheme="minorEastAsia" w:cstheme="minorEastAsia"/>
        </w:rPr>
        <w:t>承包人的违约责任条款：承包人履约是保障项目顺利进行的关键</w:t>
      </w:r>
    </w:p>
    <w:p>
      <w:pPr>
        <w:numPr>
          <w:ilvl w:val="0"/>
          <w:numId w:val="8"/>
        </w:numPr>
        <w:rPr>
          <w:rFonts w:asciiTheme="minorEastAsia" w:hAnsiTheme="minorEastAsia" w:cstheme="minorEastAsia"/>
        </w:rPr>
      </w:pPr>
      <w:r>
        <w:rPr>
          <w:rFonts w:hint="eastAsia" w:asciiTheme="minorEastAsia" w:hAnsiTheme="minorEastAsia" w:cstheme="minorEastAsia"/>
        </w:rPr>
        <w:t>竣工验收和缺陷责任：理顺竣工验收相关条款，引导使用履约保函</w:t>
      </w:r>
    </w:p>
    <w:p>
      <w:pPr>
        <w:numPr>
          <w:ilvl w:val="0"/>
          <w:numId w:val="8"/>
        </w:numPr>
        <w:rPr>
          <w:rFonts w:asciiTheme="minorEastAsia" w:hAnsiTheme="minorEastAsia" w:cstheme="minorEastAsia"/>
        </w:rPr>
      </w:pPr>
      <w:r>
        <w:rPr>
          <w:rFonts w:hint="eastAsia" w:asciiTheme="minorEastAsia" w:hAnsiTheme="minorEastAsia" w:cstheme="minorEastAsia"/>
        </w:rPr>
        <w:t>不可抗力条款：不可抗力的停工损失为双方合理分担</w:t>
      </w:r>
    </w:p>
    <w:p>
      <w:pPr>
        <w:rPr>
          <w:rFonts w:asciiTheme="minorEastAsia" w:hAnsiTheme="minorEastAsia" w:cstheme="minorEastAsia"/>
          <w:b/>
          <w:bCs/>
        </w:rPr>
      </w:pPr>
      <w:r>
        <w:rPr>
          <w:rFonts w:hint="eastAsia" w:asciiTheme="minorEastAsia" w:hAnsiTheme="minorEastAsia" w:cstheme="minorEastAsia"/>
          <w:b/>
          <w:bCs/>
        </w:rPr>
        <w:t>二、培训对象</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rPr>
        <w:t>建设行政主管部门、（房地产开发、工程项目管理、工程监理、工程咨询、招标办、公共资源交易中心、工程交易中心、投资项目评审中心、招标代理、城投公司、平台公司等）总经理、总造</w:t>
      </w:r>
      <w:r>
        <w:rPr>
          <w:rFonts w:hint="eastAsia" w:asciiTheme="minorEastAsia" w:hAnsiTheme="minorEastAsia" w:cstheme="minorEastAsia"/>
          <w:szCs w:val="21"/>
        </w:rPr>
        <w:t>价顾问、法务总监、项目管理、商务谈判、招标投标、合同管理、成本管理等中高级管理人员以及业务相关的直线管理人等。</w:t>
      </w:r>
    </w:p>
    <w:p>
      <w:pPr>
        <w:numPr>
          <w:ilvl w:val="0"/>
          <w:numId w:val="9"/>
        </w:numPr>
        <w:spacing w:line="400" w:lineRule="exact"/>
        <w:rPr>
          <w:rFonts w:asciiTheme="minorEastAsia" w:hAnsiTheme="minorEastAsia" w:cstheme="minorEastAsia"/>
          <w:b/>
          <w:bCs/>
          <w:szCs w:val="21"/>
        </w:rPr>
      </w:pPr>
      <w:r>
        <w:rPr>
          <w:rFonts w:hint="eastAsia" w:asciiTheme="minorEastAsia" w:hAnsiTheme="minorEastAsia" w:cstheme="minorEastAsia"/>
          <w:b/>
          <w:bCs/>
          <w:szCs w:val="21"/>
        </w:rPr>
        <w:t>时间、地点</w:t>
      </w:r>
    </w:p>
    <w:p>
      <w:pPr>
        <w:spacing w:line="400" w:lineRule="exact"/>
        <w:ind w:left="840" w:leftChars="400"/>
        <w:jc w:val="left"/>
        <w:rPr>
          <w:rFonts w:asciiTheme="minorEastAsia" w:hAnsiTheme="minorEastAsia" w:cstheme="minorEastAsia"/>
          <w:szCs w:val="21"/>
        </w:rPr>
      </w:pPr>
      <w:r>
        <w:rPr>
          <w:rFonts w:hint="eastAsia" w:asciiTheme="minorEastAsia" w:hAnsiTheme="minorEastAsia" w:cstheme="minorEastAsia"/>
          <w:szCs w:val="21"/>
        </w:rPr>
        <w:t>2021年6月17</w:t>
      </w:r>
      <w:r>
        <w:rPr>
          <w:rFonts w:hint="eastAsia" w:asciiTheme="minorEastAsia" w:hAnsiTheme="minorEastAsia" w:cstheme="minorEastAsia"/>
          <w:szCs w:val="21"/>
          <w:lang w:eastAsia="zh-CN"/>
        </w:rPr>
        <w:t>日</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6月</w:t>
      </w:r>
      <w:r>
        <w:rPr>
          <w:rFonts w:hint="eastAsia" w:asciiTheme="minorEastAsia" w:hAnsiTheme="minorEastAsia" w:cstheme="minorEastAsia"/>
          <w:szCs w:val="21"/>
        </w:rPr>
        <w:t>20</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lang w:eastAsia="zh-CN"/>
        </w:rPr>
        <w:t>日</w:t>
      </w:r>
      <w:r>
        <w:rPr>
          <w:rFonts w:hint="eastAsia" w:asciiTheme="minorEastAsia" w:hAnsiTheme="minorEastAsia" w:cstheme="minorEastAsia"/>
          <w:szCs w:val="21"/>
        </w:rPr>
        <w:t xml:space="preserve">    </w:t>
      </w:r>
      <w:bookmarkStart w:id="0" w:name="_GoBack"/>
      <w:bookmarkEnd w:id="0"/>
      <w:r>
        <w:rPr>
          <w:rFonts w:hint="eastAsia" w:asciiTheme="minorEastAsia" w:hAnsiTheme="minorEastAsia" w:cstheme="minorEastAsia"/>
          <w:szCs w:val="21"/>
        </w:rPr>
        <w:t>广    州</w:t>
      </w:r>
      <w:r>
        <w:rPr>
          <w:rFonts w:hint="eastAsia" w:asciiTheme="minorEastAsia" w:hAnsiTheme="minorEastAsia" w:cstheme="minorEastAsia"/>
          <w:szCs w:val="21"/>
        </w:rPr>
        <w:br w:type="textWrapping"/>
      </w:r>
      <w:r>
        <w:rPr>
          <w:rFonts w:hint="eastAsia" w:asciiTheme="minorEastAsia" w:hAnsiTheme="minorEastAsia" w:cstheme="minorEastAsia"/>
          <w:szCs w:val="21"/>
        </w:rPr>
        <w:t>2021年7月21</w:t>
      </w:r>
      <w:r>
        <w:rPr>
          <w:rFonts w:hint="eastAsia" w:asciiTheme="minorEastAsia" w:hAnsiTheme="minorEastAsia" w:cstheme="minorEastAsia"/>
          <w:szCs w:val="21"/>
          <w:lang w:eastAsia="zh-CN"/>
        </w:rPr>
        <w:t>日</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7月</w:t>
      </w:r>
      <w:r>
        <w:rPr>
          <w:rFonts w:hint="eastAsia" w:asciiTheme="minorEastAsia" w:hAnsiTheme="minorEastAsia" w:cstheme="minorEastAsia"/>
          <w:szCs w:val="21"/>
        </w:rPr>
        <w:t xml:space="preserve">25 </w:t>
      </w:r>
      <w:r>
        <w:rPr>
          <w:rFonts w:hint="eastAsia" w:asciiTheme="minorEastAsia" w:hAnsiTheme="minorEastAsia" w:cstheme="minorEastAsia"/>
          <w:szCs w:val="21"/>
          <w:lang w:eastAsia="zh-CN"/>
        </w:rPr>
        <w:t>日</w:t>
      </w:r>
      <w:r>
        <w:rPr>
          <w:rFonts w:hint="eastAsia" w:asciiTheme="minorEastAsia" w:hAnsiTheme="minorEastAsia" w:cstheme="minorEastAsia"/>
          <w:szCs w:val="21"/>
        </w:rPr>
        <w:t xml:space="preserve">    乌鲁木齐</w:t>
      </w:r>
      <w:r>
        <w:rPr>
          <w:rFonts w:hint="eastAsia" w:asciiTheme="minorEastAsia" w:hAnsiTheme="minorEastAsia" w:cstheme="minorEastAsia"/>
          <w:szCs w:val="21"/>
        </w:rPr>
        <w:br w:type="textWrapping"/>
      </w:r>
      <w:r>
        <w:rPr>
          <w:rFonts w:hint="eastAsia" w:asciiTheme="minorEastAsia" w:hAnsiTheme="minorEastAsia" w:cstheme="minorEastAsia"/>
          <w:szCs w:val="21"/>
        </w:rPr>
        <w:t>2021年8月26</w:t>
      </w:r>
      <w:r>
        <w:rPr>
          <w:rFonts w:hint="eastAsia" w:asciiTheme="minorEastAsia" w:hAnsiTheme="minorEastAsia" w:cstheme="minorEastAsia"/>
          <w:szCs w:val="21"/>
          <w:lang w:eastAsia="zh-CN"/>
        </w:rPr>
        <w:t>日</w:t>
      </w: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8月</w:t>
      </w:r>
      <w:r>
        <w:rPr>
          <w:rFonts w:hint="eastAsia" w:asciiTheme="minorEastAsia" w:hAnsiTheme="minorEastAsia" w:cstheme="minorEastAsia"/>
          <w:szCs w:val="21"/>
        </w:rPr>
        <w:t xml:space="preserve">29 </w:t>
      </w:r>
      <w:r>
        <w:rPr>
          <w:rFonts w:hint="eastAsia" w:asciiTheme="minorEastAsia" w:hAnsiTheme="minorEastAsia" w:cstheme="minorEastAsia"/>
          <w:szCs w:val="21"/>
          <w:lang w:eastAsia="zh-CN"/>
        </w:rPr>
        <w:t>日</w:t>
      </w:r>
      <w:r>
        <w:rPr>
          <w:rFonts w:hint="eastAsia" w:asciiTheme="minorEastAsia" w:hAnsiTheme="minorEastAsia" w:cstheme="minorEastAsia"/>
          <w:szCs w:val="21"/>
        </w:rPr>
        <w:t xml:space="preserve">    长    春</w:t>
      </w:r>
      <w:r>
        <w:rPr>
          <w:rFonts w:hint="eastAsia" w:asciiTheme="minorEastAsia" w:hAnsiTheme="minorEastAsia" w:cstheme="minorEastAsia"/>
          <w:szCs w:val="21"/>
        </w:rPr>
        <w:br w:type="textWrapping"/>
      </w:r>
      <w:r>
        <w:rPr>
          <w:rFonts w:hint="eastAsia" w:asciiTheme="minorEastAsia" w:hAnsiTheme="minorEastAsia" w:cstheme="minorEastAsia"/>
          <w:szCs w:val="21"/>
        </w:rPr>
        <w:t>2021年9月23</w:t>
      </w:r>
      <w:r>
        <w:rPr>
          <w:rFonts w:hint="eastAsia" w:asciiTheme="minorEastAsia" w:hAnsiTheme="minorEastAsia" w:cstheme="minorEastAsia"/>
          <w:szCs w:val="21"/>
          <w:lang w:eastAsia="zh-CN"/>
        </w:rPr>
        <w:t>日</w:t>
      </w:r>
      <w:r>
        <w:rPr>
          <w:rFonts w:hint="eastAsia" w:asciiTheme="minorEastAsia" w:hAnsiTheme="minorEastAsia" w:cstheme="minorEastAsia"/>
          <w:szCs w:val="21"/>
          <w:lang w:val="en-US" w:eastAsia="zh-CN"/>
        </w:rPr>
        <w:t>-9月</w:t>
      </w:r>
      <w:r>
        <w:rPr>
          <w:rFonts w:hint="eastAsia" w:asciiTheme="minorEastAsia" w:hAnsiTheme="minorEastAsia" w:cstheme="minorEastAsia"/>
          <w:szCs w:val="21"/>
        </w:rPr>
        <w:t xml:space="preserve">26 </w:t>
      </w:r>
      <w:r>
        <w:rPr>
          <w:rFonts w:hint="eastAsia" w:asciiTheme="minorEastAsia" w:hAnsiTheme="minorEastAsia" w:cstheme="minorEastAsia"/>
          <w:szCs w:val="21"/>
          <w:lang w:eastAsia="zh-CN"/>
        </w:rPr>
        <w:t>日</w:t>
      </w:r>
      <w:r>
        <w:rPr>
          <w:rFonts w:hint="eastAsia" w:asciiTheme="minorEastAsia" w:hAnsi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 xml:space="preserve"> 济    南</w:t>
      </w:r>
    </w:p>
    <w:p>
      <w:pPr>
        <w:spacing w:line="400" w:lineRule="exact"/>
        <w:ind w:firstLine="420"/>
        <w:rPr>
          <w:rFonts w:asciiTheme="minorEastAsia" w:hAnsiTheme="minorEastAsia" w:cstheme="minorEastAsia"/>
          <w:szCs w:val="21"/>
        </w:rPr>
      </w:pPr>
      <w:r>
        <w:rPr>
          <w:rFonts w:hint="eastAsia" w:asciiTheme="minorEastAsia" w:hAnsiTheme="minorEastAsia" w:cstheme="minorEastAsia"/>
          <w:szCs w:val="21"/>
        </w:rPr>
        <w:t>具体地点于开班前一周通知</w:t>
      </w:r>
    </w:p>
    <w:p>
      <w:pPr>
        <w:numPr>
          <w:ilvl w:val="0"/>
          <w:numId w:val="9"/>
        </w:numPr>
        <w:spacing w:line="400" w:lineRule="exact"/>
        <w:rPr>
          <w:rFonts w:asciiTheme="minorEastAsia" w:hAnsiTheme="minorEastAsia" w:cstheme="minorEastAsia"/>
          <w:b/>
          <w:bCs/>
          <w:szCs w:val="21"/>
        </w:rPr>
      </w:pPr>
      <w:r>
        <w:rPr>
          <w:rFonts w:hint="eastAsia" w:asciiTheme="minorEastAsia" w:hAnsiTheme="minorEastAsia" w:cstheme="minorEastAsia"/>
          <w:b/>
          <w:bCs/>
          <w:szCs w:val="21"/>
        </w:rPr>
        <w:t>相关费用</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培训费：</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A.3280元/人（含培训费、资料费、电子课件、场地、会议期间午餐），住宿统一安排，费用自理。</w:t>
      </w:r>
      <w:r>
        <w:rPr>
          <w:rFonts w:hint="eastAsia" w:asciiTheme="minorEastAsia" w:hAnsiTheme="minorEastAsia" w:cstheme="minorEastAsia"/>
          <w:szCs w:val="21"/>
        </w:rPr>
        <w:br w:type="textWrapping"/>
      </w:r>
      <w:r>
        <w:rPr>
          <w:rFonts w:hint="eastAsia" w:asciiTheme="minorEastAsia" w:hAnsiTheme="minorEastAsia" w:cstheme="minorEastAsia"/>
          <w:szCs w:val="21"/>
        </w:rPr>
        <w:t xml:space="preserve">      B.4980元/人（含全过程工程咨询师(高级、中级)证书及网上学习3天专业课程、资料费、电子课件、会议期间午餐），住宿统一安排，费用自理。</w:t>
      </w:r>
    </w:p>
    <w:p>
      <w:pPr>
        <w:spacing w:line="400" w:lineRule="exact"/>
        <w:ind w:firstLine="525" w:firstLineChars="250"/>
        <w:rPr>
          <w:rFonts w:asciiTheme="minorEastAsia" w:hAnsiTheme="minorEastAsia" w:cstheme="minorEastAsia"/>
          <w:szCs w:val="21"/>
        </w:rPr>
      </w:pPr>
      <w:r>
        <w:rPr>
          <w:rFonts w:hint="eastAsia" w:asciiTheme="minorEastAsia" w:hAnsiTheme="minorEastAsia" w:cstheme="minorEastAsia"/>
          <w:szCs w:val="21"/>
        </w:rPr>
        <w:t>C. 4800元/人网上学习（全过程工程咨询师(高级、中级)）3天课程。</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备注：申报证书需提供报名表一份、2寸照电子照片（蓝底免冠彩照）、身份证复印件一份、学历证书复印件一份，在职单位证明（原件）一份，审核通过后出准考证，每个月最后一个周末为网上考试时间。</w:t>
      </w:r>
    </w:p>
    <w:p>
      <w:pPr>
        <w:spacing w:line="400" w:lineRule="exact"/>
        <w:ind w:firstLine="316" w:firstLineChars="150"/>
        <w:rPr>
          <w:rFonts w:asciiTheme="minorEastAsia" w:hAnsiTheme="minorEastAsia" w:cstheme="minorEastAsia"/>
          <w:szCs w:val="21"/>
        </w:rPr>
      </w:pPr>
      <w:r>
        <w:rPr>
          <w:rFonts w:hint="eastAsia" w:asciiTheme="minorEastAsia" w:hAnsiTheme="minorEastAsia" w:cstheme="minorEastAsia"/>
          <w:b/>
          <w:szCs w:val="21"/>
        </w:rPr>
        <w:t>颁证机构</w:t>
      </w:r>
      <w:r>
        <w:rPr>
          <w:rFonts w:hint="eastAsia" w:asciiTheme="minorEastAsia" w:hAnsiTheme="minorEastAsia" w:cstheme="minorEastAsia"/>
          <w:szCs w:val="21"/>
        </w:rPr>
        <w:t>：</w:t>
      </w:r>
      <w:r>
        <w:t>国家职业资格培训鉴定实验基地（http://www.nptb.org/）是人力资源和社会保障部在天津建立的综合性职业标准开发机构，主要承担国家新职业标准研发和推广任务，开展培训鉴定实验项目和课题研究</w:t>
      </w:r>
      <w:r>
        <w:rPr>
          <w:rFonts w:hint="eastAsia"/>
        </w:rPr>
        <w:t>，</w:t>
      </w:r>
      <w:r>
        <w:t>进行新职业教材和课程设计</w:t>
      </w:r>
      <w:r>
        <w:rPr>
          <w:rFonts w:hint="eastAsia"/>
        </w:rPr>
        <w:t>，建立新职业考核标准、考试题库。</w:t>
      </w:r>
    </w:p>
    <w:p>
      <w:pPr>
        <w:numPr>
          <w:ilvl w:val="0"/>
          <w:numId w:val="9"/>
        </w:numPr>
        <w:spacing w:line="400" w:lineRule="exact"/>
        <w:rPr>
          <w:rFonts w:asciiTheme="minorEastAsia" w:hAnsiTheme="minorEastAsia" w:cstheme="minorEastAsia"/>
          <w:b/>
          <w:bCs/>
          <w:szCs w:val="21"/>
        </w:rPr>
      </w:pPr>
      <w:r>
        <w:rPr>
          <w:rFonts w:hint="eastAsia" w:asciiTheme="minorEastAsia" w:hAnsiTheme="minorEastAsia" w:cstheme="minorEastAsia"/>
          <w:b/>
          <w:bCs/>
          <w:szCs w:val="21"/>
        </w:rPr>
        <w:t>联系方式</w:t>
      </w:r>
    </w:p>
    <w:p>
      <w:pPr>
        <w:spacing w:line="400" w:lineRule="exact"/>
        <w:rPr>
          <w:rFonts w:hint="eastAsia" w:asciiTheme="minorEastAsia" w:hAnsiTheme="minorEastAsia" w:cstheme="minorEastAsia"/>
          <w:lang w:val="en-US" w:eastAsia="zh-CN"/>
        </w:rPr>
      </w:pPr>
      <w:r>
        <w:rPr>
          <w:rFonts w:hint="eastAsia" w:asciiTheme="minorEastAsia" w:hAnsiTheme="minorEastAsia" w:cstheme="minorEastAsia"/>
        </w:rPr>
        <w:drawing>
          <wp:anchor distT="0" distB="0" distL="114300" distR="114300" simplePos="0" relativeHeight="251661312" behindDoc="1" locked="0" layoutInCell="1" allowOverlap="1">
            <wp:simplePos x="0" y="0"/>
            <wp:positionH relativeFrom="column">
              <wp:posOffset>4004310</wp:posOffset>
            </wp:positionH>
            <wp:positionV relativeFrom="paragraph">
              <wp:posOffset>92075</wp:posOffset>
            </wp:positionV>
            <wp:extent cx="1491615" cy="1491615"/>
            <wp:effectExtent l="19050" t="0" r="0" b="0"/>
            <wp:wrapNone/>
            <wp:docPr id="2" name="图片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2"/>
                    <pic:cNvPicPr>
                      <a:picLocks noChangeAspect="1"/>
                    </pic:cNvPicPr>
                  </pic:nvPicPr>
                  <pic:blipFill>
                    <a:blip r:embed="rId4" cstate="print"/>
                    <a:stretch>
                      <a:fillRect/>
                    </a:stretch>
                  </pic:blipFill>
                  <pic:spPr>
                    <a:xfrm>
                      <a:off x="0" y="0"/>
                      <a:ext cx="1491615" cy="1491615"/>
                    </a:xfrm>
                    <a:prstGeom prst="rect">
                      <a:avLst/>
                    </a:prstGeom>
                    <a:noFill/>
                    <a:ln>
                      <a:noFill/>
                    </a:ln>
                  </pic:spPr>
                </pic:pic>
              </a:graphicData>
            </a:graphic>
          </wp:anchor>
        </w:drawing>
      </w:r>
      <w:r>
        <w:rPr>
          <w:rFonts w:hint="eastAsia" w:asciiTheme="minorEastAsia" w:hAnsiTheme="minorEastAsia" w:cstheme="minorEastAsia"/>
          <w:lang w:val="en-US" w:eastAsia="zh-CN"/>
        </w:rPr>
        <w:t xml:space="preserve">  报名负责人：聂红军 主任18211071700（微信）   </w:t>
      </w:r>
    </w:p>
    <w:p>
      <w:pPr>
        <w:spacing w:line="400" w:lineRule="exact"/>
        <w:ind w:firstLine="210" w:firstLineChars="100"/>
        <w:rPr>
          <w:rFonts w:hint="eastAsia" w:asciiTheme="minorEastAsia" w:hAnsiTheme="minorEastAsia" w:cstheme="minorEastAsia"/>
          <w:lang w:val="en-US" w:eastAsia="zh-CN"/>
        </w:rPr>
      </w:pPr>
      <w:r>
        <w:rPr>
          <w:rFonts w:hint="eastAsia" w:asciiTheme="minorEastAsia" w:hAnsiTheme="minorEastAsia" w:cstheme="minorEastAsia"/>
          <w:lang w:val="en-US" w:eastAsia="zh-CN"/>
        </w:rPr>
        <w:t xml:space="preserve">电  话：010-87697580      邮    箱：zqgphwz@126.com  </w:t>
      </w:r>
    </w:p>
    <w:p>
      <w:pPr>
        <w:spacing w:line="400" w:lineRule="exact"/>
        <w:ind w:firstLine="210" w:firstLineChars="100"/>
        <w:rPr>
          <w:rFonts w:asciiTheme="minorEastAsia" w:hAnsiTheme="minorEastAsia" w:cstheme="minorEastAsia"/>
        </w:rPr>
      </w:pPr>
      <w:r>
        <w:rPr>
          <w:rFonts w:hint="eastAsia" w:asciiTheme="minorEastAsia" w:hAnsiTheme="minorEastAsia" w:cstheme="minorEastAsia"/>
          <w:lang w:val="en-US" w:eastAsia="zh-CN"/>
        </w:rPr>
        <w:t xml:space="preserve">qq咨询：3177524020        网址查询：http://www.zqgpchina.cn/ </w:t>
      </w:r>
    </w:p>
    <w:p>
      <w:pPr>
        <w:spacing w:line="400" w:lineRule="exact"/>
        <w:ind w:firstLine="5587" w:firstLineChars="2650"/>
        <w:rPr>
          <w:rFonts w:asciiTheme="minorEastAsia" w:hAnsiTheme="minorEastAsia" w:cstheme="minorEastAsia"/>
        </w:rPr>
      </w:pPr>
      <w:r>
        <w:rPr>
          <w:rFonts w:hint="eastAsia" w:asciiTheme="minorEastAsia" w:hAnsiTheme="minorEastAsia" w:cstheme="minorEastAsia"/>
          <w:b/>
          <w:bCs/>
        </w:rPr>
        <w:t xml:space="preserve">  北京隆基盛世国际教育咨询中心</w:t>
      </w:r>
    </w:p>
    <w:p>
      <w:pPr>
        <w:spacing w:line="400" w:lineRule="exact"/>
        <w:jc w:val="center"/>
        <w:rPr>
          <w:rFonts w:asciiTheme="minorEastAsia" w:hAnsiTheme="minorEastAsia" w:cstheme="minorEastAsia"/>
          <w:b/>
          <w:bCs/>
        </w:rPr>
      </w:pPr>
      <w:r>
        <w:rPr>
          <w:rFonts w:hint="eastAsia" w:asciiTheme="minorEastAsia" w:hAnsiTheme="minorEastAsia" w:cstheme="minorEastAsia"/>
          <w:b/>
          <w:bCs/>
        </w:rPr>
        <w:t xml:space="preserve">                                            2021年5月6日</w:t>
      </w:r>
    </w:p>
    <w:p>
      <w:pPr>
        <w:spacing w:line="400" w:lineRule="exact"/>
        <w:jc w:val="center"/>
        <w:rPr>
          <w:rFonts w:asciiTheme="minorEastAsia" w:hAnsiTheme="minorEastAsia" w:cstheme="minorEastAsia"/>
          <w:b/>
          <w:bCs/>
        </w:rPr>
      </w:pPr>
    </w:p>
    <w:p>
      <w:pPr>
        <w:spacing w:line="400" w:lineRule="exact"/>
        <w:jc w:val="center"/>
        <w:rPr>
          <w:rFonts w:asciiTheme="minorEastAsia" w:hAnsiTheme="minorEastAsia" w:cstheme="minorEastAsia"/>
          <w:b/>
          <w:bCs/>
        </w:rPr>
      </w:pPr>
      <w:r>
        <w:rPr>
          <w:rFonts w:hint="eastAsia" w:asciiTheme="minorEastAsia" w:hAnsiTheme="minorEastAsia" w:cstheme="minorEastAsia"/>
          <w:b/>
          <w:bCs/>
          <w:sz w:val="28"/>
          <w:szCs w:val="28"/>
        </w:rPr>
        <w:t>“建设工程全过程造价管控与结算审计暨《建设项目工程总承包合同（示范文本）》精要解读与实际操作案例解析专题培训班”报名回执表</w:t>
      </w:r>
    </w:p>
    <w:tbl>
      <w:tblPr>
        <w:tblStyle w:val="9"/>
        <w:tblpPr w:leftFromText="180" w:rightFromText="180" w:vertAnchor="text" w:horzAnchor="page" w:tblpXSpec="center" w:tblpY="187"/>
        <w:tblOverlap w:val="never"/>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771"/>
        <w:gridCol w:w="1374"/>
        <w:gridCol w:w="1418"/>
        <w:gridCol w:w="802"/>
        <w:gridCol w:w="6"/>
        <w:gridCol w:w="1299"/>
        <w:gridCol w:w="19"/>
        <w:gridCol w:w="35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32" w:type="dxa"/>
            <w:noWrap/>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单位名称</w:t>
            </w:r>
          </w:p>
        </w:tc>
        <w:tc>
          <w:tcPr>
            <w:tcW w:w="4371" w:type="dxa"/>
            <w:gridSpan w:val="5"/>
            <w:noWrap/>
            <w:vAlign w:val="center"/>
          </w:tcPr>
          <w:p>
            <w:pPr>
              <w:spacing w:line="360" w:lineRule="exact"/>
              <w:jc w:val="center"/>
              <w:rPr>
                <w:rFonts w:asciiTheme="minorEastAsia" w:hAnsiTheme="minorEastAsia" w:cstheme="minorEastAsia"/>
                <w:bCs/>
                <w:sz w:val="24"/>
              </w:rPr>
            </w:pPr>
          </w:p>
        </w:tc>
        <w:tc>
          <w:tcPr>
            <w:tcW w:w="1299" w:type="dxa"/>
            <w:noWrap/>
            <w:vAlign w:val="center"/>
          </w:tcPr>
          <w:p>
            <w:pPr>
              <w:spacing w:line="360" w:lineRule="exact"/>
              <w:ind w:right="-107" w:rightChars="-51"/>
              <w:jc w:val="center"/>
              <w:rPr>
                <w:rFonts w:asciiTheme="minorEastAsia" w:hAnsiTheme="minorEastAsia" w:cstheme="minorEastAsia"/>
                <w:bCs/>
                <w:sz w:val="24"/>
              </w:rPr>
            </w:pPr>
            <w:r>
              <w:rPr>
                <w:rFonts w:hint="eastAsia" w:asciiTheme="minorEastAsia" w:hAnsiTheme="minorEastAsia" w:cstheme="minorEastAsia"/>
                <w:bCs/>
                <w:sz w:val="24"/>
              </w:rPr>
              <w:t>邮编</w:t>
            </w:r>
          </w:p>
        </w:tc>
        <w:tc>
          <w:tcPr>
            <w:tcW w:w="1861" w:type="dxa"/>
            <w:gridSpan w:val="3"/>
            <w:noWrap/>
            <w:vAlign w:val="center"/>
          </w:tcPr>
          <w:p>
            <w:pPr>
              <w:spacing w:line="360" w:lineRule="exact"/>
              <w:ind w:left="149" w:hanging="148" w:hangingChars="62"/>
              <w:jc w:val="cente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32" w:type="dxa"/>
            <w:noWrap/>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详细地址</w:t>
            </w:r>
          </w:p>
        </w:tc>
        <w:tc>
          <w:tcPr>
            <w:tcW w:w="7531" w:type="dxa"/>
            <w:gridSpan w:val="9"/>
            <w:noWrap/>
            <w:vAlign w:val="center"/>
          </w:tcPr>
          <w:p>
            <w:pPr>
              <w:spacing w:line="360" w:lineRule="exact"/>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32" w:type="dxa"/>
            <w:noWrap/>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联系人</w:t>
            </w:r>
          </w:p>
        </w:tc>
        <w:tc>
          <w:tcPr>
            <w:tcW w:w="3563" w:type="dxa"/>
            <w:gridSpan w:val="3"/>
            <w:noWrap/>
            <w:vAlign w:val="center"/>
          </w:tcPr>
          <w:p>
            <w:pPr>
              <w:spacing w:line="360" w:lineRule="exact"/>
              <w:jc w:val="center"/>
              <w:rPr>
                <w:rFonts w:asciiTheme="minorEastAsia" w:hAnsiTheme="minorEastAsia" w:cstheme="minorEastAsia"/>
                <w:bCs/>
                <w:sz w:val="24"/>
              </w:rPr>
            </w:pPr>
          </w:p>
        </w:tc>
        <w:tc>
          <w:tcPr>
            <w:tcW w:w="2126" w:type="dxa"/>
            <w:gridSpan w:val="4"/>
            <w:noWrap/>
            <w:vAlign w:val="center"/>
          </w:tcPr>
          <w:p>
            <w:pPr>
              <w:keepNext/>
              <w:spacing w:line="360" w:lineRule="exact"/>
              <w:jc w:val="center"/>
              <w:outlineLvl w:val="0"/>
              <w:rPr>
                <w:rFonts w:asciiTheme="minorEastAsia" w:hAnsiTheme="minorEastAsia" w:cstheme="minorEastAsia"/>
                <w:bCs/>
                <w:sz w:val="24"/>
              </w:rPr>
            </w:pPr>
            <w:r>
              <w:rPr>
                <w:rFonts w:hint="eastAsia" w:asciiTheme="minorEastAsia" w:hAnsiTheme="minorEastAsia" w:cstheme="minorEastAsia"/>
                <w:bCs/>
                <w:sz w:val="24"/>
              </w:rPr>
              <w:t>E-mail</w:t>
            </w:r>
          </w:p>
        </w:tc>
        <w:tc>
          <w:tcPr>
            <w:tcW w:w="1842" w:type="dxa"/>
            <w:gridSpan w:val="2"/>
            <w:noWrap/>
            <w:vAlign w:val="center"/>
          </w:tcPr>
          <w:p>
            <w:pPr>
              <w:spacing w:line="360" w:lineRule="exact"/>
              <w:jc w:val="cente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32" w:type="dxa"/>
            <w:noWrap/>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电话（区号）</w:t>
            </w:r>
          </w:p>
        </w:tc>
        <w:tc>
          <w:tcPr>
            <w:tcW w:w="3563" w:type="dxa"/>
            <w:gridSpan w:val="3"/>
            <w:noWrap/>
            <w:vAlign w:val="center"/>
          </w:tcPr>
          <w:p>
            <w:pPr>
              <w:spacing w:line="360" w:lineRule="exact"/>
              <w:jc w:val="center"/>
              <w:rPr>
                <w:rFonts w:asciiTheme="minorEastAsia" w:hAnsiTheme="minorEastAsia" w:cstheme="minorEastAsia"/>
                <w:bCs/>
                <w:sz w:val="24"/>
              </w:rPr>
            </w:pPr>
          </w:p>
        </w:tc>
        <w:tc>
          <w:tcPr>
            <w:tcW w:w="2126" w:type="dxa"/>
            <w:gridSpan w:val="4"/>
            <w:noWrap/>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传真</w:t>
            </w:r>
          </w:p>
        </w:tc>
        <w:tc>
          <w:tcPr>
            <w:tcW w:w="1842" w:type="dxa"/>
            <w:gridSpan w:val="2"/>
            <w:noWrap/>
            <w:vAlign w:val="center"/>
          </w:tcPr>
          <w:p>
            <w:pPr>
              <w:spacing w:line="360" w:lineRule="exact"/>
              <w:jc w:val="cente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参班代表姓名</w:t>
            </w:r>
          </w:p>
        </w:tc>
        <w:tc>
          <w:tcPr>
            <w:tcW w:w="771" w:type="dxa"/>
            <w:noWrap/>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性别</w:t>
            </w:r>
          </w:p>
        </w:tc>
        <w:tc>
          <w:tcPr>
            <w:tcW w:w="1374" w:type="dxa"/>
            <w:noWrap/>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部门</w:t>
            </w:r>
          </w:p>
        </w:tc>
        <w:tc>
          <w:tcPr>
            <w:tcW w:w="1418" w:type="dxa"/>
            <w:noWrap/>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职务</w:t>
            </w:r>
          </w:p>
        </w:tc>
        <w:tc>
          <w:tcPr>
            <w:tcW w:w="2126" w:type="dxa"/>
            <w:gridSpan w:val="4"/>
            <w:noWrap/>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手机</w:t>
            </w:r>
          </w:p>
        </w:tc>
        <w:tc>
          <w:tcPr>
            <w:tcW w:w="1842" w:type="dxa"/>
            <w:gridSpan w:val="2"/>
            <w:noWrap/>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jc w:val="center"/>
              <w:rPr>
                <w:rFonts w:asciiTheme="minorEastAsia" w:hAnsiTheme="minorEastAsia" w:cstheme="minorEastAsia"/>
                <w:bCs/>
                <w:sz w:val="24"/>
              </w:rPr>
            </w:pPr>
          </w:p>
        </w:tc>
        <w:tc>
          <w:tcPr>
            <w:tcW w:w="771" w:type="dxa"/>
            <w:noWrap/>
            <w:vAlign w:val="center"/>
          </w:tcPr>
          <w:p>
            <w:pPr>
              <w:spacing w:line="360" w:lineRule="exact"/>
              <w:jc w:val="center"/>
              <w:rPr>
                <w:rFonts w:asciiTheme="minorEastAsia" w:hAnsiTheme="minorEastAsia" w:cstheme="minorEastAsia"/>
                <w:bCs/>
                <w:sz w:val="24"/>
              </w:rPr>
            </w:pPr>
          </w:p>
        </w:tc>
        <w:tc>
          <w:tcPr>
            <w:tcW w:w="1374" w:type="dxa"/>
            <w:noWrap/>
            <w:vAlign w:val="center"/>
          </w:tcPr>
          <w:p>
            <w:pPr>
              <w:spacing w:line="360" w:lineRule="exact"/>
              <w:jc w:val="center"/>
              <w:rPr>
                <w:rFonts w:asciiTheme="minorEastAsia" w:hAnsiTheme="minorEastAsia" w:cstheme="minorEastAsia"/>
                <w:bCs/>
                <w:sz w:val="24"/>
              </w:rPr>
            </w:pPr>
          </w:p>
        </w:tc>
        <w:tc>
          <w:tcPr>
            <w:tcW w:w="1418" w:type="dxa"/>
            <w:noWrap/>
            <w:vAlign w:val="center"/>
          </w:tcPr>
          <w:p>
            <w:pPr>
              <w:spacing w:line="360" w:lineRule="exact"/>
              <w:jc w:val="center"/>
              <w:rPr>
                <w:rFonts w:asciiTheme="minorEastAsia" w:hAnsiTheme="minorEastAsia" w:cstheme="minorEastAsia"/>
                <w:bCs/>
                <w:sz w:val="24"/>
              </w:rPr>
            </w:pPr>
          </w:p>
        </w:tc>
        <w:tc>
          <w:tcPr>
            <w:tcW w:w="2126" w:type="dxa"/>
            <w:gridSpan w:val="4"/>
            <w:noWrap/>
            <w:vAlign w:val="center"/>
          </w:tcPr>
          <w:p>
            <w:pPr>
              <w:spacing w:line="360" w:lineRule="exact"/>
              <w:jc w:val="center"/>
              <w:rPr>
                <w:rFonts w:asciiTheme="minorEastAsia" w:hAnsiTheme="minorEastAsia" w:cstheme="minorEastAsia"/>
                <w:bCs/>
                <w:sz w:val="24"/>
              </w:rPr>
            </w:pPr>
          </w:p>
        </w:tc>
        <w:tc>
          <w:tcPr>
            <w:tcW w:w="1842" w:type="dxa"/>
            <w:gridSpan w:val="2"/>
            <w:noWrap/>
            <w:vAlign w:val="center"/>
          </w:tcPr>
          <w:p>
            <w:pPr>
              <w:spacing w:line="360" w:lineRule="exact"/>
              <w:jc w:val="cente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jc w:val="center"/>
              <w:rPr>
                <w:rFonts w:asciiTheme="minorEastAsia" w:hAnsiTheme="minorEastAsia" w:cstheme="minorEastAsia"/>
                <w:bCs/>
                <w:sz w:val="24"/>
              </w:rPr>
            </w:pPr>
          </w:p>
        </w:tc>
        <w:tc>
          <w:tcPr>
            <w:tcW w:w="771" w:type="dxa"/>
            <w:noWrap/>
            <w:vAlign w:val="center"/>
          </w:tcPr>
          <w:p>
            <w:pPr>
              <w:spacing w:line="360" w:lineRule="exact"/>
              <w:jc w:val="center"/>
              <w:rPr>
                <w:rFonts w:asciiTheme="minorEastAsia" w:hAnsiTheme="minorEastAsia" w:cstheme="minorEastAsia"/>
                <w:bCs/>
                <w:sz w:val="24"/>
              </w:rPr>
            </w:pPr>
          </w:p>
        </w:tc>
        <w:tc>
          <w:tcPr>
            <w:tcW w:w="1374" w:type="dxa"/>
            <w:noWrap/>
            <w:vAlign w:val="center"/>
          </w:tcPr>
          <w:p>
            <w:pPr>
              <w:spacing w:line="360" w:lineRule="exact"/>
              <w:jc w:val="center"/>
              <w:rPr>
                <w:rFonts w:asciiTheme="minorEastAsia" w:hAnsiTheme="minorEastAsia" w:cstheme="minorEastAsia"/>
                <w:bCs/>
                <w:sz w:val="24"/>
              </w:rPr>
            </w:pPr>
          </w:p>
        </w:tc>
        <w:tc>
          <w:tcPr>
            <w:tcW w:w="1418" w:type="dxa"/>
            <w:noWrap/>
            <w:vAlign w:val="center"/>
          </w:tcPr>
          <w:p>
            <w:pPr>
              <w:spacing w:line="360" w:lineRule="exact"/>
              <w:jc w:val="center"/>
              <w:rPr>
                <w:rFonts w:asciiTheme="minorEastAsia" w:hAnsiTheme="minorEastAsia" w:cstheme="minorEastAsia"/>
                <w:bCs/>
                <w:sz w:val="24"/>
              </w:rPr>
            </w:pPr>
          </w:p>
        </w:tc>
        <w:tc>
          <w:tcPr>
            <w:tcW w:w="2126" w:type="dxa"/>
            <w:gridSpan w:val="4"/>
            <w:noWrap/>
            <w:vAlign w:val="center"/>
          </w:tcPr>
          <w:p>
            <w:pPr>
              <w:spacing w:line="360" w:lineRule="exact"/>
              <w:jc w:val="center"/>
              <w:rPr>
                <w:rFonts w:asciiTheme="minorEastAsia" w:hAnsiTheme="minorEastAsia" w:cstheme="minorEastAsia"/>
                <w:bCs/>
                <w:sz w:val="24"/>
              </w:rPr>
            </w:pPr>
          </w:p>
        </w:tc>
        <w:tc>
          <w:tcPr>
            <w:tcW w:w="1842" w:type="dxa"/>
            <w:gridSpan w:val="2"/>
            <w:noWrap/>
            <w:vAlign w:val="center"/>
          </w:tcPr>
          <w:p>
            <w:pPr>
              <w:spacing w:line="360" w:lineRule="exact"/>
              <w:jc w:val="cente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jc w:val="center"/>
              <w:rPr>
                <w:rFonts w:asciiTheme="minorEastAsia" w:hAnsiTheme="minorEastAsia" w:cstheme="minorEastAsia"/>
                <w:bCs/>
                <w:sz w:val="24"/>
              </w:rPr>
            </w:pPr>
          </w:p>
        </w:tc>
        <w:tc>
          <w:tcPr>
            <w:tcW w:w="771" w:type="dxa"/>
            <w:noWrap/>
            <w:vAlign w:val="center"/>
          </w:tcPr>
          <w:p>
            <w:pPr>
              <w:spacing w:line="360" w:lineRule="exact"/>
              <w:jc w:val="center"/>
              <w:rPr>
                <w:rFonts w:asciiTheme="minorEastAsia" w:hAnsiTheme="minorEastAsia" w:cstheme="minorEastAsia"/>
                <w:bCs/>
                <w:sz w:val="24"/>
              </w:rPr>
            </w:pPr>
          </w:p>
        </w:tc>
        <w:tc>
          <w:tcPr>
            <w:tcW w:w="1374" w:type="dxa"/>
            <w:noWrap/>
            <w:vAlign w:val="center"/>
          </w:tcPr>
          <w:p>
            <w:pPr>
              <w:spacing w:line="360" w:lineRule="exact"/>
              <w:jc w:val="center"/>
              <w:rPr>
                <w:rFonts w:asciiTheme="minorEastAsia" w:hAnsiTheme="minorEastAsia" w:cstheme="minorEastAsia"/>
                <w:bCs/>
                <w:sz w:val="24"/>
              </w:rPr>
            </w:pPr>
          </w:p>
        </w:tc>
        <w:tc>
          <w:tcPr>
            <w:tcW w:w="1418" w:type="dxa"/>
            <w:noWrap/>
            <w:vAlign w:val="center"/>
          </w:tcPr>
          <w:p>
            <w:pPr>
              <w:spacing w:line="360" w:lineRule="exact"/>
              <w:jc w:val="center"/>
              <w:rPr>
                <w:rFonts w:asciiTheme="minorEastAsia" w:hAnsiTheme="minorEastAsia" w:cstheme="minorEastAsia"/>
                <w:bCs/>
                <w:sz w:val="24"/>
              </w:rPr>
            </w:pPr>
          </w:p>
        </w:tc>
        <w:tc>
          <w:tcPr>
            <w:tcW w:w="2126" w:type="dxa"/>
            <w:gridSpan w:val="4"/>
            <w:noWrap/>
            <w:vAlign w:val="center"/>
          </w:tcPr>
          <w:p>
            <w:pPr>
              <w:spacing w:line="360" w:lineRule="exact"/>
              <w:jc w:val="center"/>
              <w:rPr>
                <w:rFonts w:asciiTheme="minorEastAsia" w:hAnsiTheme="minorEastAsia" w:cstheme="minorEastAsia"/>
                <w:bCs/>
                <w:sz w:val="24"/>
              </w:rPr>
            </w:pPr>
          </w:p>
        </w:tc>
        <w:tc>
          <w:tcPr>
            <w:tcW w:w="1842" w:type="dxa"/>
            <w:gridSpan w:val="2"/>
            <w:noWrap/>
            <w:vAlign w:val="center"/>
          </w:tcPr>
          <w:p>
            <w:pPr>
              <w:spacing w:line="360" w:lineRule="exact"/>
              <w:jc w:val="cente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jc w:val="center"/>
              <w:rPr>
                <w:rFonts w:asciiTheme="minorEastAsia" w:hAnsiTheme="minorEastAsia" w:cstheme="minorEastAsia"/>
                <w:bCs/>
                <w:sz w:val="24"/>
              </w:rPr>
            </w:pPr>
          </w:p>
        </w:tc>
        <w:tc>
          <w:tcPr>
            <w:tcW w:w="771" w:type="dxa"/>
            <w:noWrap/>
            <w:vAlign w:val="center"/>
          </w:tcPr>
          <w:p>
            <w:pPr>
              <w:spacing w:line="360" w:lineRule="exact"/>
              <w:jc w:val="center"/>
              <w:rPr>
                <w:rFonts w:asciiTheme="minorEastAsia" w:hAnsiTheme="minorEastAsia" w:cstheme="minorEastAsia"/>
                <w:bCs/>
                <w:sz w:val="24"/>
              </w:rPr>
            </w:pPr>
          </w:p>
        </w:tc>
        <w:tc>
          <w:tcPr>
            <w:tcW w:w="1374" w:type="dxa"/>
            <w:noWrap/>
            <w:vAlign w:val="center"/>
          </w:tcPr>
          <w:p>
            <w:pPr>
              <w:spacing w:line="360" w:lineRule="exact"/>
              <w:jc w:val="center"/>
              <w:rPr>
                <w:rFonts w:asciiTheme="minorEastAsia" w:hAnsiTheme="minorEastAsia" w:cstheme="minorEastAsia"/>
                <w:bCs/>
                <w:sz w:val="24"/>
              </w:rPr>
            </w:pPr>
          </w:p>
        </w:tc>
        <w:tc>
          <w:tcPr>
            <w:tcW w:w="1418" w:type="dxa"/>
            <w:noWrap/>
            <w:vAlign w:val="center"/>
          </w:tcPr>
          <w:p>
            <w:pPr>
              <w:spacing w:line="360" w:lineRule="exact"/>
              <w:jc w:val="center"/>
              <w:rPr>
                <w:rFonts w:asciiTheme="minorEastAsia" w:hAnsiTheme="minorEastAsia" w:cstheme="minorEastAsia"/>
                <w:bCs/>
                <w:sz w:val="24"/>
              </w:rPr>
            </w:pPr>
          </w:p>
        </w:tc>
        <w:tc>
          <w:tcPr>
            <w:tcW w:w="2126" w:type="dxa"/>
            <w:gridSpan w:val="4"/>
            <w:noWrap/>
            <w:vAlign w:val="center"/>
          </w:tcPr>
          <w:p>
            <w:pPr>
              <w:spacing w:line="360" w:lineRule="exact"/>
              <w:jc w:val="center"/>
              <w:rPr>
                <w:rFonts w:asciiTheme="minorEastAsia" w:hAnsiTheme="minorEastAsia" w:cstheme="minorEastAsia"/>
                <w:bCs/>
                <w:sz w:val="24"/>
              </w:rPr>
            </w:pPr>
          </w:p>
        </w:tc>
        <w:tc>
          <w:tcPr>
            <w:tcW w:w="1842" w:type="dxa"/>
            <w:gridSpan w:val="2"/>
            <w:noWrap/>
            <w:vAlign w:val="center"/>
          </w:tcPr>
          <w:p>
            <w:pPr>
              <w:spacing w:line="360" w:lineRule="exact"/>
              <w:jc w:val="cente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jc w:val="center"/>
              <w:rPr>
                <w:rFonts w:asciiTheme="minorEastAsia" w:hAnsiTheme="minorEastAsia" w:cstheme="minorEastAsia"/>
                <w:bCs/>
                <w:sz w:val="24"/>
              </w:rPr>
            </w:pPr>
          </w:p>
        </w:tc>
        <w:tc>
          <w:tcPr>
            <w:tcW w:w="771" w:type="dxa"/>
            <w:noWrap/>
            <w:vAlign w:val="center"/>
          </w:tcPr>
          <w:p>
            <w:pPr>
              <w:spacing w:line="360" w:lineRule="exact"/>
              <w:jc w:val="center"/>
              <w:rPr>
                <w:rFonts w:asciiTheme="minorEastAsia" w:hAnsiTheme="minorEastAsia" w:cstheme="minorEastAsia"/>
                <w:bCs/>
                <w:sz w:val="24"/>
              </w:rPr>
            </w:pPr>
          </w:p>
        </w:tc>
        <w:tc>
          <w:tcPr>
            <w:tcW w:w="1374" w:type="dxa"/>
            <w:noWrap/>
            <w:vAlign w:val="center"/>
          </w:tcPr>
          <w:p>
            <w:pPr>
              <w:spacing w:line="360" w:lineRule="exact"/>
              <w:jc w:val="center"/>
              <w:rPr>
                <w:rFonts w:asciiTheme="minorEastAsia" w:hAnsiTheme="minorEastAsia" w:cstheme="minorEastAsia"/>
                <w:bCs/>
                <w:sz w:val="24"/>
              </w:rPr>
            </w:pPr>
          </w:p>
        </w:tc>
        <w:tc>
          <w:tcPr>
            <w:tcW w:w="1418" w:type="dxa"/>
            <w:noWrap/>
            <w:vAlign w:val="center"/>
          </w:tcPr>
          <w:p>
            <w:pPr>
              <w:spacing w:line="360" w:lineRule="exact"/>
              <w:jc w:val="center"/>
              <w:rPr>
                <w:rFonts w:asciiTheme="minorEastAsia" w:hAnsiTheme="minorEastAsia" w:cstheme="minorEastAsia"/>
                <w:bCs/>
                <w:sz w:val="24"/>
              </w:rPr>
            </w:pPr>
          </w:p>
        </w:tc>
        <w:tc>
          <w:tcPr>
            <w:tcW w:w="2126" w:type="dxa"/>
            <w:gridSpan w:val="4"/>
            <w:noWrap/>
            <w:vAlign w:val="center"/>
          </w:tcPr>
          <w:p>
            <w:pPr>
              <w:spacing w:line="360" w:lineRule="exact"/>
              <w:jc w:val="center"/>
              <w:rPr>
                <w:rFonts w:asciiTheme="minorEastAsia" w:hAnsiTheme="minorEastAsia" w:cstheme="minorEastAsia"/>
                <w:bCs/>
                <w:sz w:val="24"/>
              </w:rPr>
            </w:pPr>
          </w:p>
        </w:tc>
        <w:tc>
          <w:tcPr>
            <w:tcW w:w="1842" w:type="dxa"/>
            <w:gridSpan w:val="2"/>
            <w:noWrap/>
            <w:vAlign w:val="center"/>
          </w:tcPr>
          <w:p>
            <w:pPr>
              <w:spacing w:line="360" w:lineRule="exact"/>
              <w:jc w:val="cente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jc w:val="center"/>
              <w:rPr>
                <w:rFonts w:asciiTheme="minorEastAsia" w:hAnsiTheme="minorEastAsia" w:cstheme="minorEastAsia"/>
                <w:bCs/>
                <w:sz w:val="24"/>
              </w:rPr>
            </w:pPr>
          </w:p>
        </w:tc>
        <w:tc>
          <w:tcPr>
            <w:tcW w:w="771" w:type="dxa"/>
            <w:noWrap/>
            <w:vAlign w:val="center"/>
          </w:tcPr>
          <w:p>
            <w:pPr>
              <w:spacing w:line="360" w:lineRule="exact"/>
              <w:jc w:val="center"/>
              <w:rPr>
                <w:rFonts w:asciiTheme="minorEastAsia" w:hAnsiTheme="minorEastAsia" w:cstheme="minorEastAsia"/>
                <w:bCs/>
                <w:sz w:val="24"/>
              </w:rPr>
            </w:pPr>
          </w:p>
        </w:tc>
        <w:tc>
          <w:tcPr>
            <w:tcW w:w="1374" w:type="dxa"/>
            <w:noWrap/>
            <w:vAlign w:val="center"/>
          </w:tcPr>
          <w:p>
            <w:pPr>
              <w:spacing w:line="360" w:lineRule="exact"/>
              <w:jc w:val="center"/>
              <w:rPr>
                <w:rFonts w:asciiTheme="minorEastAsia" w:hAnsiTheme="minorEastAsia" w:cstheme="minorEastAsia"/>
                <w:bCs/>
                <w:sz w:val="24"/>
              </w:rPr>
            </w:pPr>
          </w:p>
        </w:tc>
        <w:tc>
          <w:tcPr>
            <w:tcW w:w="1418" w:type="dxa"/>
            <w:noWrap/>
            <w:vAlign w:val="center"/>
          </w:tcPr>
          <w:p>
            <w:pPr>
              <w:spacing w:line="360" w:lineRule="exact"/>
              <w:jc w:val="center"/>
              <w:rPr>
                <w:rFonts w:asciiTheme="minorEastAsia" w:hAnsiTheme="minorEastAsia" w:cstheme="minorEastAsia"/>
                <w:bCs/>
                <w:sz w:val="24"/>
              </w:rPr>
            </w:pPr>
          </w:p>
        </w:tc>
        <w:tc>
          <w:tcPr>
            <w:tcW w:w="2126" w:type="dxa"/>
            <w:gridSpan w:val="4"/>
            <w:noWrap/>
            <w:vAlign w:val="center"/>
          </w:tcPr>
          <w:p>
            <w:pPr>
              <w:spacing w:line="360" w:lineRule="exact"/>
              <w:jc w:val="center"/>
              <w:rPr>
                <w:rFonts w:asciiTheme="minorEastAsia" w:hAnsiTheme="minorEastAsia" w:cstheme="minorEastAsia"/>
                <w:bCs/>
                <w:sz w:val="24"/>
              </w:rPr>
            </w:pPr>
          </w:p>
        </w:tc>
        <w:tc>
          <w:tcPr>
            <w:tcW w:w="1842" w:type="dxa"/>
            <w:gridSpan w:val="2"/>
            <w:noWrap/>
            <w:vAlign w:val="center"/>
          </w:tcPr>
          <w:p>
            <w:pPr>
              <w:spacing w:line="360" w:lineRule="exact"/>
              <w:jc w:val="cente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pPr>
              <w:spacing w:line="360" w:lineRule="exact"/>
              <w:jc w:val="center"/>
              <w:rPr>
                <w:rFonts w:asciiTheme="minorEastAsia" w:hAnsiTheme="minorEastAsia" w:cstheme="minorEastAsia"/>
                <w:bCs/>
                <w:sz w:val="24"/>
              </w:rPr>
            </w:pPr>
          </w:p>
        </w:tc>
        <w:tc>
          <w:tcPr>
            <w:tcW w:w="771" w:type="dxa"/>
            <w:noWrap/>
            <w:vAlign w:val="center"/>
          </w:tcPr>
          <w:p>
            <w:pPr>
              <w:spacing w:line="360" w:lineRule="exact"/>
              <w:jc w:val="center"/>
              <w:rPr>
                <w:rFonts w:asciiTheme="minorEastAsia" w:hAnsiTheme="minorEastAsia" w:cstheme="minorEastAsia"/>
                <w:bCs/>
                <w:sz w:val="24"/>
              </w:rPr>
            </w:pPr>
          </w:p>
        </w:tc>
        <w:tc>
          <w:tcPr>
            <w:tcW w:w="1374" w:type="dxa"/>
            <w:noWrap/>
            <w:vAlign w:val="center"/>
          </w:tcPr>
          <w:p>
            <w:pPr>
              <w:spacing w:line="360" w:lineRule="exact"/>
              <w:jc w:val="center"/>
              <w:rPr>
                <w:rFonts w:asciiTheme="minorEastAsia" w:hAnsiTheme="minorEastAsia" w:cstheme="minorEastAsia"/>
                <w:bCs/>
                <w:sz w:val="24"/>
              </w:rPr>
            </w:pPr>
          </w:p>
        </w:tc>
        <w:tc>
          <w:tcPr>
            <w:tcW w:w="1418" w:type="dxa"/>
            <w:noWrap/>
            <w:vAlign w:val="center"/>
          </w:tcPr>
          <w:p>
            <w:pPr>
              <w:spacing w:line="360" w:lineRule="exact"/>
              <w:jc w:val="center"/>
              <w:rPr>
                <w:rFonts w:asciiTheme="minorEastAsia" w:hAnsiTheme="minorEastAsia" w:cstheme="minorEastAsia"/>
                <w:bCs/>
                <w:sz w:val="24"/>
              </w:rPr>
            </w:pPr>
          </w:p>
        </w:tc>
        <w:tc>
          <w:tcPr>
            <w:tcW w:w="2126" w:type="dxa"/>
            <w:gridSpan w:val="4"/>
            <w:noWrap/>
            <w:vAlign w:val="center"/>
          </w:tcPr>
          <w:p>
            <w:pPr>
              <w:spacing w:line="360" w:lineRule="exact"/>
              <w:jc w:val="center"/>
              <w:rPr>
                <w:rFonts w:asciiTheme="minorEastAsia" w:hAnsiTheme="minorEastAsia" w:cstheme="minorEastAsia"/>
                <w:bCs/>
                <w:sz w:val="24"/>
              </w:rPr>
            </w:pPr>
          </w:p>
        </w:tc>
        <w:tc>
          <w:tcPr>
            <w:tcW w:w="1842" w:type="dxa"/>
            <w:gridSpan w:val="2"/>
            <w:noWrap/>
            <w:vAlign w:val="center"/>
          </w:tcPr>
          <w:p>
            <w:pPr>
              <w:spacing w:line="360" w:lineRule="exact"/>
              <w:jc w:val="cente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pPr>
              <w:spacing w:line="360" w:lineRule="exact"/>
              <w:jc w:val="center"/>
              <w:rPr>
                <w:rFonts w:asciiTheme="minorEastAsia" w:hAnsiTheme="minorEastAsia" w:cstheme="minorEastAsia"/>
                <w:bCs/>
                <w:sz w:val="24"/>
              </w:rPr>
            </w:pPr>
          </w:p>
        </w:tc>
        <w:tc>
          <w:tcPr>
            <w:tcW w:w="771" w:type="dxa"/>
            <w:noWrap/>
            <w:vAlign w:val="center"/>
          </w:tcPr>
          <w:p>
            <w:pPr>
              <w:spacing w:line="360" w:lineRule="exact"/>
              <w:jc w:val="center"/>
              <w:rPr>
                <w:rFonts w:asciiTheme="minorEastAsia" w:hAnsiTheme="minorEastAsia" w:cstheme="minorEastAsia"/>
                <w:bCs/>
                <w:sz w:val="24"/>
              </w:rPr>
            </w:pPr>
          </w:p>
        </w:tc>
        <w:tc>
          <w:tcPr>
            <w:tcW w:w="1374" w:type="dxa"/>
            <w:noWrap/>
            <w:vAlign w:val="center"/>
          </w:tcPr>
          <w:p>
            <w:pPr>
              <w:spacing w:line="360" w:lineRule="exact"/>
              <w:jc w:val="center"/>
              <w:rPr>
                <w:rFonts w:asciiTheme="minorEastAsia" w:hAnsiTheme="minorEastAsia" w:cstheme="minorEastAsia"/>
                <w:bCs/>
                <w:sz w:val="24"/>
              </w:rPr>
            </w:pPr>
          </w:p>
        </w:tc>
        <w:tc>
          <w:tcPr>
            <w:tcW w:w="1418" w:type="dxa"/>
            <w:noWrap/>
            <w:vAlign w:val="center"/>
          </w:tcPr>
          <w:p>
            <w:pPr>
              <w:spacing w:line="360" w:lineRule="exact"/>
              <w:jc w:val="center"/>
              <w:rPr>
                <w:rFonts w:asciiTheme="minorEastAsia" w:hAnsiTheme="minorEastAsia" w:cstheme="minorEastAsia"/>
                <w:bCs/>
                <w:sz w:val="24"/>
              </w:rPr>
            </w:pPr>
          </w:p>
        </w:tc>
        <w:tc>
          <w:tcPr>
            <w:tcW w:w="2126" w:type="dxa"/>
            <w:gridSpan w:val="4"/>
            <w:noWrap/>
            <w:vAlign w:val="center"/>
          </w:tcPr>
          <w:p>
            <w:pPr>
              <w:spacing w:line="360" w:lineRule="exact"/>
              <w:jc w:val="center"/>
              <w:rPr>
                <w:rFonts w:asciiTheme="minorEastAsia" w:hAnsiTheme="minorEastAsia" w:cstheme="minorEastAsia"/>
                <w:bCs/>
                <w:sz w:val="24"/>
              </w:rPr>
            </w:pPr>
          </w:p>
        </w:tc>
        <w:tc>
          <w:tcPr>
            <w:tcW w:w="1842" w:type="dxa"/>
            <w:gridSpan w:val="2"/>
            <w:noWrap/>
            <w:vAlign w:val="center"/>
          </w:tcPr>
          <w:p>
            <w:pPr>
              <w:spacing w:line="360" w:lineRule="exact"/>
              <w:jc w:val="cente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pPr>
              <w:spacing w:line="360" w:lineRule="exact"/>
              <w:jc w:val="center"/>
              <w:rPr>
                <w:rFonts w:asciiTheme="minorEastAsia" w:hAnsiTheme="minorEastAsia" w:cstheme="minorEastAsia"/>
                <w:bCs/>
                <w:sz w:val="24"/>
              </w:rPr>
            </w:pPr>
          </w:p>
        </w:tc>
        <w:tc>
          <w:tcPr>
            <w:tcW w:w="771" w:type="dxa"/>
            <w:noWrap/>
            <w:vAlign w:val="center"/>
          </w:tcPr>
          <w:p>
            <w:pPr>
              <w:spacing w:line="360" w:lineRule="exact"/>
              <w:jc w:val="center"/>
              <w:rPr>
                <w:rFonts w:asciiTheme="minorEastAsia" w:hAnsiTheme="minorEastAsia" w:cstheme="minorEastAsia"/>
                <w:bCs/>
                <w:sz w:val="24"/>
              </w:rPr>
            </w:pPr>
          </w:p>
        </w:tc>
        <w:tc>
          <w:tcPr>
            <w:tcW w:w="1374" w:type="dxa"/>
            <w:noWrap/>
            <w:vAlign w:val="center"/>
          </w:tcPr>
          <w:p>
            <w:pPr>
              <w:spacing w:line="360" w:lineRule="exact"/>
              <w:jc w:val="center"/>
              <w:rPr>
                <w:rFonts w:asciiTheme="minorEastAsia" w:hAnsiTheme="minorEastAsia" w:cstheme="minorEastAsia"/>
                <w:bCs/>
                <w:sz w:val="24"/>
              </w:rPr>
            </w:pPr>
          </w:p>
        </w:tc>
        <w:tc>
          <w:tcPr>
            <w:tcW w:w="1418" w:type="dxa"/>
            <w:noWrap/>
            <w:vAlign w:val="center"/>
          </w:tcPr>
          <w:p>
            <w:pPr>
              <w:spacing w:line="360" w:lineRule="exact"/>
              <w:jc w:val="center"/>
              <w:rPr>
                <w:rFonts w:asciiTheme="minorEastAsia" w:hAnsiTheme="minorEastAsia" w:cstheme="minorEastAsia"/>
                <w:bCs/>
                <w:sz w:val="24"/>
              </w:rPr>
            </w:pPr>
          </w:p>
        </w:tc>
        <w:tc>
          <w:tcPr>
            <w:tcW w:w="2126" w:type="dxa"/>
            <w:gridSpan w:val="4"/>
            <w:noWrap/>
            <w:vAlign w:val="center"/>
          </w:tcPr>
          <w:p>
            <w:pPr>
              <w:spacing w:line="360" w:lineRule="exact"/>
              <w:jc w:val="center"/>
              <w:rPr>
                <w:rFonts w:asciiTheme="minorEastAsia" w:hAnsiTheme="minorEastAsia" w:cstheme="minorEastAsia"/>
                <w:bCs/>
                <w:sz w:val="24"/>
              </w:rPr>
            </w:pPr>
          </w:p>
        </w:tc>
        <w:tc>
          <w:tcPr>
            <w:tcW w:w="1842" w:type="dxa"/>
            <w:gridSpan w:val="2"/>
            <w:noWrap/>
            <w:vAlign w:val="center"/>
          </w:tcPr>
          <w:p>
            <w:pPr>
              <w:spacing w:line="360" w:lineRule="exact"/>
              <w:jc w:val="cente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住宿安排</w:t>
            </w:r>
          </w:p>
        </w:tc>
        <w:tc>
          <w:tcPr>
            <w:tcW w:w="7531" w:type="dxa"/>
            <w:gridSpan w:val="9"/>
            <w:noWrap/>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□单间     □标间   订房数量</w:t>
            </w:r>
            <w:r>
              <w:rPr>
                <w:rFonts w:hint="eastAsia" w:asciiTheme="minorEastAsia" w:hAnsiTheme="minorEastAsia" w:cstheme="minorEastAsia"/>
                <w:bCs/>
                <w:sz w:val="24"/>
                <w:u w:val="single"/>
              </w:rPr>
              <w:t xml:space="preserve">    </w:t>
            </w:r>
            <w:r>
              <w:rPr>
                <w:rFonts w:hint="eastAsia" w:asciiTheme="minorEastAsia" w:hAnsiTheme="minorEastAsia" w:cstheme="minorEastAsia"/>
                <w:bCs/>
                <w:sz w:val="24"/>
              </w:rPr>
              <w:t>间    □否     □自行安排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参会地点</w:t>
            </w:r>
          </w:p>
        </w:tc>
        <w:tc>
          <w:tcPr>
            <w:tcW w:w="4365" w:type="dxa"/>
            <w:gridSpan w:val="4"/>
            <w:noWrap/>
            <w:vAlign w:val="center"/>
          </w:tcPr>
          <w:p>
            <w:pPr>
              <w:spacing w:line="360" w:lineRule="exact"/>
              <w:rPr>
                <w:rFonts w:asciiTheme="minorEastAsia" w:hAnsiTheme="minorEastAsia" w:cstheme="minorEastAsia"/>
                <w:bCs/>
                <w:sz w:val="24"/>
              </w:rPr>
            </w:pPr>
            <w:r>
              <w:rPr>
                <w:rFonts w:hint="eastAsia" w:asciiTheme="minorEastAsia" w:hAnsiTheme="minorEastAsia" w:cstheme="minorEastAsia"/>
                <w:bCs/>
                <w:sz w:val="24"/>
              </w:rPr>
              <w:t>□广州  □乌鲁木齐  □长春  □济南</w:t>
            </w:r>
          </w:p>
        </w:tc>
        <w:tc>
          <w:tcPr>
            <w:tcW w:w="1680" w:type="dxa"/>
            <w:gridSpan w:val="4"/>
            <w:noWrap/>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培训费用</w:t>
            </w:r>
          </w:p>
        </w:tc>
        <w:tc>
          <w:tcPr>
            <w:tcW w:w="1486" w:type="dxa"/>
            <w:noWrap/>
            <w:vAlign w:val="center"/>
          </w:tcPr>
          <w:p>
            <w:pPr>
              <w:spacing w:line="360" w:lineRule="exact"/>
              <w:jc w:val="center"/>
              <w:rPr>
                <w:rFonts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付款方式</w:t>
            </w:r>
          </w:p>
        </w:tc>
        <w:tc>
          <w:tcPr>
            <w:tcW w:w="7531" w:type="dxa"/>
            <w:gridSpan w:val="9"/>
            <w:noWrap/>
            <w:vAlign w:val="center"/>
          </w:tcPr>
          <w:p>
            <w:pPr>
              <w:spacing w:line="360" w:lineRule="exact"/>
              <w:ind w:firstLine="240" w:firstLineChars="100"/>
              <w:jc w:val="center"/>
              <w:rPr>
                <w:rFonts w:asciiTheme="minorEastAsia" w:hAnsiTheme="minorEastAsia" w:cstheme="minorEastAsia"/>
                <w:bCs/>
                <w:sz w:val="24"/>
              </w:rPr>
            </w:pPr>
            <w:r>
              <w:rPr>
                <w:rFonts w:hint="eastAsia" w:asciiTheme="minorEastAsia" w:hAnsiTheme="minorEastAsia" w:cstheme="minorEastAsia"/>
                <w:bCs/>
                <w:sz w:val="24"/>
              </w:rPr>
              <w:t>□通过银行        □刷卡      □现金   □微信/支付宝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noWrap/>
            <w:vAlign w:val="center"/>
          </w:tcPr>
          <w:p>
            <w:pPr>
              <w:jc w:val="center"/>
              <w:rPr>
                <w:rFonts w:asciiTheme="minorEastAsia" w:hAnsiTheme="minorEastAsia" w:cstheme="minorEastAsia"/>
                <w:b/>
                <w:bCs/>
                <w:sz w:val="24"/>
                <w:lang w:val="zh-CN" w:bidi="zh-CN"/>
              </w:rPr>
            </w:pPr>
            <w:r>
              <w:rPr>
                <w:rFonts w:hint="eastAsia" w:asciiTheme="minorEastAsia" w:hAnsiTheme="minorEastAsia" w:cstheme="minorEastAsia"/>
                <w:b/>
                <w:bCs/>
                <w:sz w:val="24"/>
              </w:rPr>
              <w:t>发票类别</w:t>
            </w:r>
          </w:p>
        </w:tc>
        <w:tc>
          <w:tcPr>
            <w:tcW w:w="7531" w:type="dxa"/>
            <w:gridSpan w:val="9"/>
            <w:noWrap/>
          </w:tcPr>
          <w:p>
            <w:pPr>
              <w:rPr>
                <w:rFonts w:asciiTheme="minorEastAsia" w:hAnsiTheme="minorEastAsia" w:cstheme="minorEastAsia"/>
                <w:b/>
                <w:bCs/>
                <w:sz w:val="24"/>
              </w:rPr>
            </w:pPr>
            <w:r>
              <w:rPr>
                <w:rFonts w:hint="eastAsia" w:asciiTheme="minorEastAsia" w:hAnsiTheme="minorEastAsia" w:cstheme="minorEastAsia"/>
                <w:b/>
                <w:bCs/>
                <w:sz w:val="24"/>
              </w:rPr>
              <w:t>增值税（□普通□专用）发票,开票信息如下：</w:t>
            </w:r>
          </w:p>
          <w:p>
            <w:pPr>
              <w:rPr>
                <w:rFonts w:asciiTheme="minorEastAsia" w:hAnsiTheme="minorEastAsia" w:cstheme="minorEastAsia"/>
                <w:b/>
                <w:bCs/>
                <w:sz w:val="24"/>
              </w:rPr>
            </w:pPr>
            <w:r>
              <w:rPr>
                <w:rFonts w:hint="eastAsia" w:asciiTheme="minorEastAsia" w:hAnsiTheme="minorEastAsia" w:cstheme="minorEastAsia"/>
                <w:b/>
                <w:bCs/>
                <w:sz w:val="24"/>
              </w:rPr>
              <w:t>单 位 名 称：</w:t>
            </w:r>
          </w:p>
          <w:p>
            <w:pPr>
              <w:rPr>
                <w:rFonts w:asciiTheme="minorEastAsia" w:hAnsiTheme="minorEastAsia" w:cstheme="minorEastAsia"/>
                <w:b/>
                <w:bCs/>
                <w:sz w:val="24"/>
              </w:rPr>
            </w:pPr>
            <w:r>
              <w:rPr>
                <w:rFonts w:hint="eastAsia" w:asciiTheme="minorEastAsia" w:hAnsiTheme="minorEastAsia" w:cstheme="minorEastAsia"/>
                <w:b/>
                <w:bCs/>
                <w:sz w:val="24"/>
              </w:rPr>
              <w:t>税       号：</w:t>
            </w:r>
          </w:p>
          <w:p>
            <w:pPr>
              <w:rPr>
                <w:rFonts w:asciiTheme="minorEastAsia" w:hAnsiTheme="minorEastAsia" w:cstheme="minorEastAsia"/>
                <w:b/>
                <w:bCs/>
                <w:sz w:val="24"/>
              </w:rPr>
            </w:pPr>
            <w:r>
              <w:rPr>
                <w:rFonts w:hint="eastAsia" w:asciiTheme="minorEastAsia" w:hAnsiTheme="minorEastAsia" w:cstheme="minorEastAsia"/>
                <w:b/>
                <w:bCs/>
                <w:sz w:val="24"/>
              </w:rPr>
              <w:t>地址、 电话：</w:t>
            </w:r>
          </w:p>
          <w:p>
            <w:pPr>
              <w:rPr>
                <w:rFonts w:asciiTheme="minorEastAsia" w:hAnsiTheme="minorEastAsia" w:cstheme="minorEastAsia"/>
                <w:bCs/>
                <w:sz w:val="24"/>
              </w:rPr>
            </w:pPr>
            <w:r>
              <w:rPr>
                <w:rFonts w:hint="eastAsia" w:asciiTheme="minorEastAsia" w:hAnsiTheme="minorEastAsia" w:cstheme="minorEastAsia"/>
                <w:b/>
                <w:bCs/>
                <w:sz w:val="24"/>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noWrap/>
            <w:vAlign w:val="center"/>
          </w:tcPr>
          <w:p>
            <w:pPr>
              <w:spacing w:line="360" w:lineRule="exact"/>
              <w:jc w:val="center"/>
              <w:rPr>
                <w:rFonts w:asciiTheme="minorEastAsia" w:hAnsiTheme="minorEastAsia" w:cstheme="minorEastAsia"/>
                <w:bCs/>
                <w:sz w:val="24"/>
                <w:lang w:val="zh-CN" w:bidi="zh-CN"/>
              </w:rPr>
            </w:pPr>
            <w:r>
              <w:rPr>
                <w:rFonts w:hint="eastAsia" w:asciiTheme="minorEastAsia" w:hAnsiTheme="minorEastAsia" w:cstheme="minorEastAsia"/>
                <w:bCs/>
                <w:sz w:val="24"/>
              </w:rPr>
              <w:t>指定收款账户</w:t>
            </w:r>
          </w:p>
        </w:tc>
        <w:tc>
          <w:tcPr>
            <w:tcW w:w="7531" w:type="dxa"/>
            <w:gridSpan w:val="9"/>
            <w:noWrap/>
            <w:vAlign w:val="center"/>
          </w:tcPr>
          <w:p>
            <w:pPr>
              <w:spacing w:line="340" w:lineRule="exact"/>
              <w:rPr>
                <w:rFonts w:asciiTheme="minorEastAsia" w:hAnsiTheme="minorEastAsia" w:cstheme="minorEastAsia"/>
                <w:bCs/>
                <w:sz w:val="28"/>
                <w:szCs w:val="28"/>
                <w:lang w:val="ru-RU"/>
              </w:rPr>
            </w:pPr>
            <w:r>
              <w:rPr>
                <w:rFonts w:hint="eastAsia" w:asciiTheme="minorEastAsia" w:hAnsiTheme="minorEastAsia" w:cstheme="minorEastAsia"/>
                <w:bCs/>
                <w:sz w:val="28"/>
                <w:szCs w:val="28"/>
                <w:lang w:val="ru-RU"/>
              </w:rPr>
              <w:t>户  名：北京隆基盛世国际教育咨询中心</w:t>
            </w:r>
          </w:p>
          <w:p>
            <w:pPr>
              <w:spacing w:line="340" w:lineRule="exact"/>
              <w:rPr>
                <w:rFonts w:asciiTheme="minorEastAsia" w:hAnsiTheme="minorEastAsia" w:cstheme="minorEastAsia"/>
                <w:bCs/>
                <w:sz w:val="28"/>
                <w:szCs w:val="28"/>
                <w:lang w:val="ru-RU"/>
              </w:rPr>
            </w:pPr>
            <w:r>
              <w:rPr>
                <w:rFonts w:hint="eastAsia" w:asciiTheme="minorEastAsia" w:hAnsiTheme="minorEastAsia" w:cstheme="minorEastAsia"/>
                <w:bCs/>
                <w:sz w:val="28"/>
                <w:szCs w:val="28"/>
                <w:lang w:val="ru-RU"/>
              </w:rPr>
              <w:t>开户行：中国建设银行北京西三旗支行</w:t>
            </w:r>
          </w:p>
          <w:p>
            <w:pPr>
              <w:spacing w:line="340" w:lineRule="exact"/>
              <w:rPr>
                <w:rFonts w:asciiTheme="minorEastAsia" w:hAnsiTheme="minorEastAsia" w:cstheme="minorEastAsia"/>
                <w:bCs/>
                <w:sz w:val="28"/>
                <w:szCs w:val="28"/>
              </w:rPr>
            </w:pPr>
            <w:r>
              <w:rPr>
                <w:rFonts w:hint="eastAsia" w:asciiTheme="minorEastAsia" w:hAnsiTheme="minorEastAsia" w:cstheme="minorEastAsia"/>
                <w:bCs/>
                <w:sz w:val="28"/>
                <w:szCs w:val="28"/>
                <w:lang w:val="ru-RU"/>
              </w:rPr>
              <w:t>账  号：1100 1018 4000 5926 1084</w:t>
            </w:r>
          </w:p>
          <w:p>
            <w:pPr>
              <w:spacing w:line="360" w:lineRule="exact"/>
              <w:rPr>
                <w:rFonts w:hint="default" w:asciiTheme="minorEastAsia" w:hAnsiTheme="minorEastAsia" w:eastAsiaTheme="minorEastAsia" w:cstheme="minorEastAsia"/>
                <w:bCs/>
                <w:sz w:val="24"/>
                <w:lang w:val="en-US" w:eastAsia="zh-CN" w:bidi="zh-CN"/>
              </w:rPr>
            </w:pPr>
            <w:r>
              <w:rPr>
                <w:rFonts w:hint="eastAsia" w:asciiTheme="minorEastAsia" w:hAnsiTheme="minorEastAsia" w:cstheme="minorEastAsia"/>
                <w:sz w:val="28"/>
                <w:szCs w:val="28"/>
              </w:rPr>
              <w:t>汇款后，请将银行电汇凭证传真至：010-</w:t>
            </w:r>
            <w:r>
              <w:rPr>
                <w:rFonts w:hint="eastAsia" w:asciiTheme="minorEastAsia" w:hAnsiTheme="minorEastAsia" w:cstheme="minorEastAsia"/>
                <w:sz w:val="28"/>
                <w:szCs w:val="28"/>
                <w:lang w:val="en-US" w:eastAsia="zh-CN"/>
              </w:rPr>
              <w:t>87697580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32" w:type="dxa"/>
            <w:noWrap/>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参会方式</w:t>
            </w:r>
          </w:p>
        </w:tc>
        <w:tc>
          <w:tcPr>
            <w:tcW w:w="7531" w:type="dxa"/>
            <w:gridSpan w:val="9"/>
            <w:noWrap/>
            <w:vAlign w:val="center"/>
          </w:tcPr>
          <w:p>
            <w:pPr>
              <w:spacing w:line="360" w:lineRule="exact"/>
              <w:jc w:val="center"/>
              <w:rPr>
                <w:rFonts w:asciiTheme="minorEastAsia" w:hAnsiTheme="minorEastAsia" w:cstheme="minorEastAsia"/>
                <w:bCs/>
                <w:sz w:val="24"/>
              </w:rPr>
            </w:pPr>
            <w:r>
              <w:rPr>
                <w:rFonts w:hint="eastAsia" w:asciiTheme="minorEastAsia" w:hAnsiTheme="minorEastAsia" w:cstheme="minorEastAsia"/>
                <w:bCs/>
                <w:sz w:val="24"/>
              </w:rPr>
              <w:t>请参会单位把参会回执回传至会务组，会务组确认后即发《参会凭证》，其中将详细注明报到时间、报到地点、食宿等具体安排事项。</w:t>
            </w:r>
          </w:p>
        </w:tc>
      </w:tr>
    </w:tbl>
    <w:p>
      <w:pPr>
        <w:spacing w:line="400" w:lineRule="exact"/>
        <w:rPr>
          <w:rStyle w:val="11"/>
          <w:rFonts w:asciiTheme="minorEastAsia" w:hAnsiTheme="minorEastAsia" w:cstheme="minorEastAsia"/>
          <w:b w:val="0"/>
          <w:color w:val="000000"/>
          <w:sz w:val="28"/>
          <w:szCs w:val="28"/>
        </w:rPr>
      </w:pPr>
      <w:r>
        <w:rPr>
          <w:rStyle w:val="11"/>
          <w:rFonts w:hint="eastAsia" w:asciiTheme="minorEastAsia" w:hAnsiTheme="minorEastAsia" w:cstheme="minorEastAsia"/>
          <w:color w:val="000000"/>
          <w:sz w:val="28"/>
          <w:szCs w:val="28"/>
        </w:rPr>
        <w:t>注：</w:t>
      </w:r>
      <w:r>
        <w:rPr>
          <w:rStyle w:val="11"/>
          <w:rFonts w:hint="eastAsia" w:asciiTheme="minorEastAsia" w:hAnsiTheme="minorEastAsia" w:cstheme="minorEastAsia"/>
          <w:color w:val="000000"/>
        </w:rPr>
        <w:t>为保证培训质量，培训班名额有限，额满为止，请确定人员后及早报名。</w:t>
      </w:r>
    </w:p>
    <w:p>
      <w:pPr>
        <w:pStyle w:val="2"/>
        <w:spacing w:line="400" w:lineRule="exact"/>
        <w:rPr>
          <w:rFonts w:hint="eastAsia" w:asciiTheme="minorEastAsia" w:hAnsiTheme="minorEastAsia" w:eastAsiaTheme="minorEastAsia" w:cstheme="minorEastAsia"/>
          <w:spacing w:val="-8"/>
          <w:w w:val="95"/>
        </w:rPr>
      </w:pPr>
      <w:r>
        <w:rPr>
          <w:rFonts w:hint="eastAsia" w:asciiTheme="minorEastAsia" w:hAnsiTheme="minorEastAsia" w:eastAsiaTheme="minorEastAsia" w:cstheme="minorEastAsia"/>
          <w:spacing w:val="-8"/>
          <w:w w:val="95"/>
        </w:rPr>
        <w:t xml:space="preserve">报名负责人：聂红军 主任18211071700（微信）   </w:t>
      </w:r>
    </w:p>
    <w:p>
      <w:pPr>
        <w:pStyle w:val="2"/>
        <w:spacing w:line="400" w:lineRule="exact"/>
        <w:rPr>
          <w:rFonts w:hint="eastAsia" w:asciiTheme="minorEastAsia" w:hAnsiTheme="minorEastAsia" w:eastAsiaTheme="minorEastAsia" w:cstheme="minorEastAsia"/>
          <w:spacing w:val="-8"/>
          <w:w w:val="95"/>
        </w:rPr>
      </w:pPr>
      <w:r>
        <w:rPr>
          <w:rFonts w:hint="eastAsia" w:asciiTheme="minorEastAsia" w:hAnsiTheme="minorEastAsia" w:eastAsiaTheme="minorEastAsia" w:cstheme="minorEastAsia"/>
          <w:spacing w:val="-8"/>
          <w:w w:val="95"/>
        </w:rPr>
        <w:t xml:space="preserve">电  话：010-87697580      邮    箱：zqgphwz@126.com  </w:t>
      </w:r>
    </w:p>
    <w:p>
      <w:pPr>
        <w:pStyle w:val="2"/>
        <w:spacing w:line="400" w:lineRule="exact"/>
        <w:rPr>
          <w:rFonts w:hint="eastAsia" w:asciiTheme="minorEastAsia" w:hAnsiTheme="minorEastAsia" w:eastAsiaTheme="minorEastAsia" w:cstheme="minorEastAsia"/>
          <w:spacing w:val="-8"/>
          <w:w w:val="95"/>
        </w:rPr>
      </w:pPr>
      <w:r>
        <w:rPr>
          <w:rFonts w:hint="eastAsia" w:asciiTheme="minorEastAsia" w:hAnsiTheme="minorEastAsia" w:eastAsiaTheme="minorEastAsia" w:cstheme="minorEastAsia"/>
          <w:spacing w:val="-8"/>
          <w:w w:val="95"/>
        </w:rPr>
        <w:t xml:space="preserve">qq咨询：3177524020        网址查询：http://www.zqgpchina.cn/ </w:t>
      </w:r>
    </w:p>
    <w:sectPr>
      <w:pgSz w:w="11906" w:h="16838"/>
      <w:pgMar w:top="873"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48F669"/>
    <w:multiLevelType w:val="singleLevel"/>
    <w:tmpl w:val="8748F669"/>
    <w:lvl w:ilvl="0" w:tentative="0">
      <w:start w:val="1"/>
      <w:numFmt w:val="decimal"/>
      <w:suff w:val="nothing"/>
      <w:lvlText w:val="%1．"/>
      <w:lvlJc w:val="left"/>
      <w:pPr>
        <w:ind w:left="0" w:firstLine="400"/>
      </w:pPr>
      <w:rPr>
        <w:rFonts w:hint="default"/>
      </w:rPr>
    </w:lvl>
  </w:abstractNum>
  <w:abstractNum w:abstractNumId="1">
    <w:nsid w:val="8AAAF344"/>
    <w:multiLevelType w:val="singleLevel"/>
    <w:tmpl w:val="8AAAF344"/>
    <w:lvl w:ilvl="0" w:tentative="0">
      <w:start w:val="1"/>
      <w:numFmt w:val="decimal"/>
      <w:suff w:val="nothing"/>
      <w:lvlText w:val="%1．"/>
      <w:lvlJc w:val="left"/>
      <w:pPr>
        <w:ind w:left="0" w:firstLine="400"/>
      </w:pPr>
      <w:rPr>
        <w:rFonts w:hint="default"/>
      </w:rPr>
    </w:lvl>
  </w:abstractNum>
  <w:abstractNum w:abstractNumId="2">
    <w:nsid w:val="8FED5F65"/>
    <w:multiLevelType w:val="singleLevel"/>
    <w:tmpl w:val="8FED5F65"/>
    <w:lvl w:ilvl="0" w:tentative="0">
      <w:start w:val="1"/>
      <w:numFmt w:val="decimal"/>
      <w:suff w:val="nothing"/>
      <w:lvlText w:val="%1．"/>
      <w:lvlJc w:val="left"/>
      <w:pPr>
        <w:ind w:left="0" w:firstLine="400"/>
      </w:pPr>
      <w:rPr>
        <w:rFonts w:hint="default"/>
      </w:rPr>
    </w:lvl>
  </w:abstractNum>
  <w:abstractNum w:abstractNumId="3">
    <w:nsid w:val="9D114A16"/>
    <w:multiLevelType w:val="singleLevel"/>
    <w:tmpl w:val="9D114A16"/>
    <w:lvl w:ilvl="0" w:tentative="0">
      <w:start w:val="1"/>
      <w:numFmt w:val="decimal"/>
      <w:suff w:val="nothing"/>
      <w:lvlText w:val="%1．"/>
      <w:lvlJc w:val="left"/>
      <w:pPr>
        <w:ind w:left="0" w:firstLine="400"/>
      </w:pPr>
      <w:rPr>
        <w:rFonts w:hint="default"/>
      </w:rPr>
    </w:lvl>
  </w:abstractNum>
  <w:abstractNum w:abstractNumId="4">
    <w:nsid w:val="F0943160"/>
    <w:multiLevelType w:val="singleLevel"/>
    <w:tmpl w:val="F0943160"/>
    <w:lvl w:ilvl="0" w:tentative="0">
      <w:start w:val="1"/>
      <w:numFmt w:val="decimal"/>
      <w:suff w:val="nothing"/>
      <w:lvlText w:val="%1．"/>
      <w:lvlJc w:val="left"/>
      <w:pPr>
        <w:ind w:left="0" w:firstLine="400"/>
      </w:pPr>
      <w:rPr>
        <w:rFonts w:hint="default"/>
      </w:rPr>
    </w:lvl>
  </w:abstractNum>
  <w:abstractNum w:abstractNumId="5">
    <w:nsid w:val="24DFC1AA"/>
    <w:multiLevelType w:val="singleLevel"/>
    <w:tmpl w:val="24DFC1AA"/>
    <w:lvl w:ilvl="0" w:tentative="0">
      <w:start w:val="1"/>
      <w:numFmt w:val="decimal"/>
      <w:suff w:val="nothing"/>
      <w:lvlText w:val="%1．"/>
      <w:lvlJc w:val="left"/>
      <w:pPr>
        <w:ind w:left="0" w:firstLine="400"/>
      </w:pPr>
      <w:rPr>
        <w:rFonts w:hint="default"/>
      </w:rPr>
    </w:lvl>
  </w:abstractNum>
  <w:abstractNum w:abstractNumId="6">
    <w:nsid w:val="4EF710F0"/>
    <w:multiLevelType w:val="singleLevel"/>
    <w:tmpl w:val="4EF710F0"/>
    <w:lvl w:ilvl="0" w:tentative="0">
      <w:start w:val="3"/>
      <w:numFmt w:val="chineseCounting"/>
      <w:suff w:val="nothing"/>
      <w:lvlText w:val="%1、"/>
      <w:lvlJc w:val="left"/>
      <w:rPr>
        <w:rFonts w:hint="eastAsia"/>
      </w:rPr>
    </w:lvl>
  </w:abstractNum>
  <w:abstractNum w:abstractNumId="7">
    <w:nsid w:val="5800F674"/>
    <w:multiLevelType w:val="singleLevel"/>
    <w:tmpl w:val="5800F674"/>
    <w:lvl w:ilvl="0" w:tentative="0">
      <w:start w:val="1"/>
      <w:numFmt w:val="decimal"/>
      <w:suff w:val="nothing"/>
      <w:lvlText w:val="%1．"/>
      <w:lvlJc w:val="left"/>
      <w:pPr>
        <w:ind w:left="0" w:firstLine="400"/>
      </w:pPr>
      <w:rPr>
        <w:rFonts w:hint="default"/>
      </w:rPr>
    </w:lvl>
  </w:abstractNum>
  <w:abstractNum w:abstractNumId="8">
    <w:nsid w:val="60F8332B"/>
    <w:multiLevelType w:val="singleLevel"/>
    <w:tmpl w:val="60F8332B"/>
    <w:lvl w:ilvl="0" w:tentative="0">
      <w:start w:val="1"/>
      <w:numFmt w:val="decimal"/>
      <w:suff w:val="nothing"/>
      <w:lvlText w:val="%1．"/>
      <w:lvlJc w:val="left"/>
      <w:pPr>
        <w:ind w:left="0" w:firstLine="400"/>
      </w:pPr>
      <w:rPr>
        <w:rFonts w:hint="default"/>
      </w:rPr>
    </w:lvl>
  </w:abstractNum>
  <w:num w:numId="1">
    <w:abstractNumId w:val="4"/>
  </w:num>
  <w:num w:numId="2">
    <w:abstractNumId w:val="8"/>
  </w:num>
  <w:num w:numId="3">
    <w:abstractNumId w:val="3"/>
  </w:num>
  <w:num w:numId="4">
    <w:abstractNumId w:val="7"/>
  </w:num>
  <w:num w:numId="5">
    <w:abstractNumId w:val="2"/>
  </w:num>
  <w:num w:numId="6">
    <w:abstractNumId w:val="0"/>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4C7"/>
    <w:rsid w:val="00004B83"/>
    <w:rsid w:val="00031869"/>
    <w:rsid w:val="00031C92"/>
    <w:rsid w:val="00034EC6"/>
    <w:rsid w:val="00057DA9"/>
    <w:rsid w:val="00077080"/>
    <w:rsid w:val="00080D68"/>
    <w:rsid w:val="00087610"/>
    <w:rsid w:val="000B57B8"/>
    <w:rsid w:val="00104B13"/>
    <w:rsid w:val="001216D8"/>
    <w:rsid w:val="001316EA"/>
    <w:rsid w:val="001319DB"/>
    <w:rsid w:val="00135B81"/>
    <w:rsid w:val="00152105"/>
    <w:rsid w:val="00164659"/>
    <w:rsid w:val="00183DAD"/>
    <w:rsid w:val="00193BAA"/>
    <w:rsid w:val="0019580E"/>
    <w:rsid w:val="00200712"/>
    <w:rsid w:val="00207E09"/>
    <w:rsid w:val="00243054"/>
    <w:rsid w:val="00250623"/>
    <w:rsid w:val="002528C1"/>
    <w:rsid w:val="00255148"/>
    <w:rsid w:val="0029547E"/>
    <w:rsid w:val="00296EB1"/>
    <w:rsid w:val="002A1DC4"/>
    <w:rsid w:val="002A2DEE"/>
    <w:rsid w:val="002A6852"/>
    <w:rsid w:val="002C645D"/>
    <w:rsid w:val="002C64CB"/>
    <w:rsid w:val="002D35BC"/>
    <w:rsid w:val="002F2207"/>
    <w:rsid w:val="003574DB"/>
    <w:rsid w:val="0037433C"/>
    <w:rsid w:val="0038233F"/>
    <w:rsid w:val="00396814"/>
    <w:rsid w:val="003A5ADD"/>
    <w:rsid w:val="003F0B61"/>
    <w:rsid w:val="003F40F3"/>
    <w:rsid w:val="00414105"/>
    <w:rsid w:val="0042133D"/>
    <w:rsid w:val="004213FF"/>
    <w:rsid w:val="00450922"/>
    <w:rsid w:val="00452BA1"/>
    <w:rsid w:val="0048437A"/>
    <w:rsid w:val="00486901"/>
    <w:rsid w:val="004C0B9B"/>
    <w:rsid w:val="004F4DF6"/>
    <w:rsid w:val="004F5290"/>
    <w:rsid w:val="00501507"/>
    <w:rsid w:val="0051259B"/>
    <w:rsid w:val="00512CB6"/>
    <w:rsid w:val="005137E7"/>
    <w:rsid w:val="0052486A"/>
    <w:rsid w:val="005440BE"/>
    <w:rsid w:val="00546835"/>
    <w:rsid w:val="00561F7C"/>
    <w:rsid w:val="00565D43"/>
    <w:rsid w:val="00596A5F"/>
    <w:rsid w:val="005B025F"/>
    <w:rsid w:val="005C14B0"/>
    <w:rsid w:val="005D0AAD"/>
    <w:rsid w:val="005F178E"/>
    <w:rsid w:val="005F4F1A"/>
    <w:rsid w:val="00600295"/>
    <w:rsid w:val="00601D42"/>
    <w:rsid w:val="00610C1F"/>
    <w:rsid w:val="006476FD"/>
    <w:rsid w:val="00657B88"/>
    <w:rsid w:val="00671B42"/>
    <w:rsid w:val="006831A1"/>
    <w:rsid w:val="00694832"/>
    <w:rsid w:val="006A3902"/>
    <w:rsid w:val="006B407B"/>
    <w:rsid w:val="006E5601"/>
    <w:rsid w:val="006E7E00"/>
    <w:rsid w:val="00703D3C"/>
    <w:rsid w:val="00720E70"/>
    <w:rsid w:val="0077051C"/>
    <w:rsid w:val="0077546D"/>
    <w:rsid w:val="007760D0"/>
    <w:rsid w:val="007828BD"/>
    <w:rsid w:val="0079477F"/>
    <w:rsid w:val="007A2D03"/>
    <w:rsid w:val="007B7F2B"/>
    <w:rsid w:val="007E7120"/>
    <w:rsid w:val="008206BF"/>
    <w:rsid w:val="00860B7B"/>
    <w:rsid w:val="00863966"/>
    <w:rsid w:val="008926C9"/>
    <w:rsid w:val="008A433C"/>
    <w:rsid w:val="008B6873"/>
    <w:rsid w:val="008C0ECF"/>
    <w:rsid w:val="009033D4"/>
    <w:rsid w:val="00926929"/>
    <w:rsid w:val="0093291A"/>
    <w:rsid w:val="0094302E"/>
    <w:rsid w:val="0096430C"/>
    <w:rsid w:val="0097533F"/>
    <w:rsid w:val="00985DCB"/>
    <w:rsid w:val="009912CA"/>
    <w:rsid w:val="009972B0"/>
    <w:rsid w:val="00997BB8"/>
    <w:rsid w:val="009A0006"/>
    <w:rsid w:val="009A7E29"/>
    <w:rsid w:val="009B572F"/>
    <w:rsid w:val="009B6C68"/>
    <w:rsid w:val="009E395A"/>
    <w:rsid w:val="009E7427"/>
    <w:rsid w:val="009E7C87"/>
    <w:rsid w:val="00A04AA6"/>
    <w:rsid w:val="00A071CE"/>
    <w:rsid w:val="00A12262"/>
    <w:rsid w:val="00A2633F"/>
    <w:rsid w:val="00A417CC"/>
    <w:rsid w:val="00A52BE1"/>
    <w:rsid w:val="00A631E6"/>
    <w:rsid w:val="00A8111D"/>
    <w:rsid w:val="00A900E0"/>
    <w:rsid w:val="00A93BCC"/>
    <w:rsid w:val="00AE2558"/>
    <w:rsid w:val="00AF174C"/>
    <w:rsid w:val="00B03C83"/>
    <w:rsid w:val="00B23B1E"/>
    <w:rsid w:val="00B30C55"/>
    <w:rsid w:val="00B3275A"/>
    <w:rsid w:val="00B466D6"/>
    <w:rsid w:val="00B53C9B"/>
    <w:rsid w:val="00BB4BC1"/>
    <w:rsid w:val="00BD3673"/>
    <w:rsid w:val="00BD6527"/>
    <w:rsid w:val="00BE3B90"/>
    <w:rsid w:val="00BE6433"/>
    <w:rsid w:val="00C02970"/>
    <w:rsid w:val="00C05E85"/>
    <w:rsid w:val="00C137EC"/>
    <w:rsid w:val="00C177B9"/>
    <w:rsid w:val="00C27FED"/>
    <w:rsid w:val="00C34714"/>
    <w:rsid w:val="00C36392"/>
    <w:rsid w:val="00C36E43"/>
    <w:rsid w:val="00C468CD"/>
    <w:rsid w:val="00C6698F"/>
    <w:rsid w:val="00C7773F"/>
    <w:rsid w:val="00C94526"/>
    <w:rsid w:val="00CB4F1A"/>
    <w:rsid w:val="00CC2236"/>
    <w:rsid w:val="00CD4209"/>
    <w:rsid w:val="00CF0422"/>
    <w:rsid w:val="00D2236A"/>
    <w:rsid w:val="00D328AA"/>
    <w:rsid w:val="00D42B2D"/>
    <w:rsid w:val="00D45222"/>
    <w:rsid w:val="00D5180E"/>
    <w:rsid w:val="00D74DF4"/>
    <w:rsid w:val="00D97E79"/>
    <w:rsid w:val="00DA6C7A"/>
    <w:rsid w:val="00DD27AB"/>
    <w:rsid w:val="00DF6CB3"/>
    <w:rsid w:val="00E10D5D"/>
    <w:rsid w:val="00E17696"/>
    <w:rsid w:val="00E56F34"/>
    <w:rsid w:val="00E607A1"/>
    <w:rsid w:val="00E76A04"/>
    <w:rsid w:val="00E8182C"/>
    <w:rsid w:val="00E946C6"/>
    <w:rsid w:val="00F0085B"/>
    <w:rsid w:val="00F224C7"/>
    <w:rsid w:val="00F4240B"/>
    <w:rsid w:val="00F4433E"/>
    <w:rsid w:val="00F57E45"/>
    <w:rsid w:val="00F65BE7"/>
    <w:rsid w:val="00FA5685"/>
    <w:rsid w:val="00FB679A"/>
    <w:rsid w:val="00FD1CED"/>
    <w:rsid w:val="00FF1E07"/>
    <w:rsid w:val="015A2CD3"/>
    <w:rsid w:val="0C9B0BA1"/>
    <w:rsid w:val="1C1A638D"/>
    <w:rsid w:val="249242C1"/>
    <w:rsid w:val="2A00631A"/>
    <w:rsid w:val="2E0834AF"/>
    <w:rsid w:val="345F752C"/>
    <w:rsid w:val="359B622B"/>
    <w:rsid w:val="3DDC1438"/>
    <w:rsid w:val="522F2DFF"/>
    <w:rsid w:val="52496BA9"/>
    <w:rsid w:val="64F73FBB"/>
    <w:rsid w:val="660F3ECD"/>
    <w:rsid w:val="6F3D1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8"/>
      <w:szCs w:val="28"/>
      <w:lang w:val="zh-CN" w:bidi="zh-CN"/>
    </w:rPr>
  </w:style>
  <w:style w:type="paragraph" w:styleId="3">
    <w:name w:val="Body Text Indent"/>
    <w:basedOn w:val="1"/>
    <w:link w:val="16"/>
    <w:qFormat/>
    <w:uiPriority w:val="0"/>
    <w:pPr>
      <w:spacing w:after="120"/>
      <w:ind w:left="420" w:leftChars="200"/>
    </w:pPr>
    <w:rPr>
      <w:rFonts w:ascii="Times New Roman" w:hAnsi="Times New Roman" w:eastAsia="宋体" w:cs="Times New Roman"/>
      <w:szCs w:val="24"/>
    </w:r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apple-converted-space"/>
    <w:basedOn w:val="10"/>
    <w:qFormat/>
    <w:uiPriority w:val="0"/>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缩进 Char"/>
    <w:basedOn w:val="10"/>
    <w:link w:val="3"/>
    <w:qFormat/>
    <w:uiPriority w:val="0"/>
    <w:rPr>
      <w:rFonts w:ascii="Times New Roman" w:hAnsi="Times New Roman" w:eastAsia="宋体" w:cs="Times New Roman"/>
      <w:szCs w:val="24"/>
    </w:rPr>
  </w:style>
  <w:style w:type="character" w:customStyle="1" w:styleId="17">
    <w:name w:val="批注框文本 Char"/>
    <w:basedOn w:val="10"/>
    <w:link w:val="5"/>
    <w:semiHidden/>
    <w:qFormat/>
    <w:uiPriority w:val="99"/>
    <w:rPr>
      <w:rFonts w:asciiTheme="minorHAnsi" w:hAnsiTheme="minorHAnsi" w:eastAsiaTheme="minorEastAsia" w:cstheme="minorBidi"/>
      <w:kern w:val="2"/>
      <w:sz w:val="18"/>
      <w:szCs w:val="18"/>
    </w:rPr>
  </w:style>
  <w:style w:type="character" w:customStyle="1" w:styleId="18">
    <w:name w:val="日期 Char"/>
    <w:basedOn w:val="10"/>
    <w:link w:val="4"/>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ll</Company>
  <Pages>1</Pages>
  <Words>724</Words>
  <Characters>4132</Characters>
  <Lines>34</Lines>
  <Paragraphs>9</Paragraphs>
  <TotalTime>475</TotalTime>
  <ScaleCrop>false</ScaleCrop>
  <LinksUpToDate>false</LinksUpToDate>
  <CharactersWithSpaces>4847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2021-03-27T11:58:00Z</dcterms:created>
  <dc:creator>ll</dc:creator>
  <cp:lastModifiedBy>Administrator</cp:lastModifiedBy>
  <dcterms:modified xsi:type="dcterms:W3CDTF">2021-05-14T06:39:38Z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