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仿宋" w:hAnsi="仿宋" w:eastAsia="仿宋" w:cs="仿宋_GB2312"/>
          <w:b/>
          <w:color w:val="FF0000"/>
          <w:sz w:val="72"/>
          <w:szCs w:val="72"/>
        </w:rPr>
      </w:pPr>
      <w:r>
        <w:rPr>
          <w:rFonts w:hint="eastAsia" w:ascii="仿宋" w:hAnsi="仿宋" w:eastAsia="仿宋" w:cs="仿宋_GB2312"/>
          <w:b/>
          <w:color w:val="FF0000"/>
          <w:sz w:val="72"/>
          <w:szCs w:val="72"/>
        </w:rPr>
        <w:t>中国国际工程咨询协会</w:t>
      </w:r>
    </w:p>
    <w:p>
      <w:pPr>
        <w:adjustRightInd w:val="0"/>
        <w:snapToGrid w:val="0"/>
        <w:spacing w:line="300" w:lineRule="exact"/>
        <w:jc w:val="center"/>
        <w:rPr>
          <w:rFonts w:ascii="仿宋" w:hAnsi="仿宋" w:eastAsia="仿宋" w:cs="仿宋_GB2312"/>
          <w:color w:val="000000"/>
          <w:spacing w:val="-12"/>
          <w:sz w:val="28"/>
          <w:szCs w:val="28"/>
        </w:rPr>
      </w:pPr>
      <w:r>
        <w:rPr>
          <w:rFonts w:hint="eastAsia" w:ascii="仿宋" w:hAnsi="仿宋" w:eastAsia="仿宋" w:cs="仿宋_GB2312"/>
          <w:color w:val="000000"/>
          <w:spacing w:val="-12"/>
          <w:sz w:val="28"/>
          <w:szCs w:val="28"/>
          <w:lang w:eastAsia="zh-CN"/>
        </w:rPr>
        <w:t>国</w:t>
      </w:r>
      <w:r>
        <w:rPr>
          <w:rFonts w:hint="eastAsia" w:ascii="仿宋" w:hAnsi="仿宋" w:eastAsia="仿宋" w:cs="仿宋_GB2312"/>
          <w:color w:val="000000"/>
          <w:spacing w:val="-12"/>
          <w:sz w:val="28"/>
          <w:szCs w:val="28"/>
        </w:rPr>
        <w:t>咨协[202</w:t>
      </w:r>
      <w:r>
        <w:rPr>
          <w:rFonts w:hint="eastAsia" w:ascii="仿宋" w:hAnsi="仿宋" w:eastAsia="仿宋" w:cs="仿宋_GB2312"/>
          <w:color w:val="000000"/>
          <w:spacing w:val="-12"/>
          <w:sz w:val="28"/>
          <w:szCs w:val="28"/>
          <w:lang w:val="en-US" w:eastAsia="zh-CN"/>
        </w:rPr>
        <w:t>1</w:t>
      </w:r>
      <w:r>
        <w:rPr>
          <w:rFonts w:hint="eastAsia" w:ascii="仿宋" w:hAnsi="仿宋" w:eastAsia="仿宋" w:cs="仿宋_GB2312"/>
          <w:color w:val="000000"/>
          <w:spacing w:val="-12"/>
          <w:sz w:val="28"/>
          <w:szCs w:val="28"/>
        </w:rPr>
        <w:t>]</w:t>
      </w:r>
      <w:r>
        <w:rPr>
          <w:rFonts w:hint="eastAsia" w:ascii="仿宋" w:hAnsi="仿宋" w:eastAsia="仿宋" w:cs="仿宋_GB2312"/>
          <w:color w:val="000000"/>
          <w:spacing w:val="-12"/>
          <w:sz w:val="28"/>
          <w:szCs w:val="28"/>
          <w:lang w:val="en-US" w:eastAsia="zh-CN"/>
        </w:rPr>
        <w:t xml:space="preserve"> </w:t>
      </w:r>
      <w:r>
        <w:rPr>
          <w:rFonts w:ascii="仿宋" w:hAnsi="仿宋" w:eastAsia="仿宋" w:cs="仿宋"/>
          <w:i w:val="0"/>
          <w:iCs w:val="0"/>
          <w:caps w:val="0"/>
          <w:color w:val="000000"/>
          <w:spacing w:val="-15"/>
          <w:sz w:val="27"/>
          <w:szCs w:val="27"/>
          <w:shd w:val="clear" w:fill="FFFFFF"/>
        </w:rPr>
        <w:t>044</w:t>
      </w:r>
      <w:r>
        <w:rPr>
          <w:rFonts w:hint="eastAsia" w:ascii="仿宋" w:hAnsi="仿宋" w:eastAsia="仿宋" w:cs="仿宋_GB2312"/>
          <w:color w:val="000000"/>
          <w:spacing w:val="-12"/>
          <w:sz w:val="28"/>
          <w:szCs w:val="28"/>
          <w:lang w:val="en-US" w:eastAsia="zh-CN"/>
        </w:rPr>
        <w:t xml:space="preserve"> </w:t>
      </w:r>
      <w:r>
        <w:rPr>
          <w:rFonts w:hint="eastAsia" w:ascii="仿宋" w:hAnsi="仿宋" w:eastAsia="仿宋" w:cs="仿宋_GB2312"/>
          <w:color w:val="000000"/>
          <w:spacing w:val="-12"/>
          <w:sz w:val="28"/>
          <w:szCs w:val="28"/>
        </w:rPr>
        <w:t>号</w:t>
      </w:r>
    </w:p>
    <w:p>
      <w:pPr>
        <w:jc w:val="center"/>
        <w:rPr>
          <w:rFonts w:ascii="仿宋" w:hAnsi="仿宋" w:eastAsia="仿宋"/>
          <w:b/>
          <w:sz w:val="36"/>
          <w:szCs w:val="36"/>
        </w:rPr>
      </w:pPr>
      <w:r>
        <w:rPr>
          <w:rFonts w:ascii="仿宋" w:hAnsi="仿宋" w:eastAsia="仿宋"/>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202565</wp:posOffset>
                </wp:positionV>
                <wp:extent cx="6057900" cy="0"/>
                <wp:effectExtent l="0" t="9525" r="0" b="9525"/>
                <wp:wrapNone/>
                <wp:docPr id="2" name="直接连接符 1"/>
                <wp:cNvGraphicFramePr/>
                <a:graphic xmlns:a="http://schemas.openxmlformats.org/drawingml/2006/main">
                  <a:graphicData uri="http://schemas.microsoft.com/office/word/2010/wordprocessingShape">
                    <wps:wsp>
                      <wps:cNvCnPr/>
                      <wps:spPr>
                        <a:xfrm>
                          <a:off x="409575" y="2267585"/>
                          <a:ext cx="6057900" cy="0"/>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margin-left:-21.75pt;margin-top:15.95pt;height:0pt;width:477pt;z-index:251659264;mso-width-relative:page;mso-height-relative:page;" filled="f" stroked="t" coordsize="21600,21600" o:gfxdata="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wMLi9gAAAAJAQAADwAAAAAAAAABACAAAAAiAAAAZHJzL2Rv&#10;d25yZXYueG1sUEsBAhQAFAAAAAgAh07iQLPMmwcBAgAA8gMAAA4AAAAAAAAAAQAgAAAAJwEAAGRy&#10;cy9lMm9Eb2MueG1sUEsFBgAAAAAGAAYAWQEAAJoFAAAAAA==&#10;">
                <v:fill on="f" focussize="0,0"/>
                <v:stroke weight="1.5pt" color="#FF0000" joinstyle="round"/>
                <v:imagedata o:title=""/>
                <o:lock v:ext="edit" aspectratio="f"/>
              </v:line>
            </w:pict>
          </mc:Fallback>
        </mc:AlternateContent>
      </w:r>
    </w:p>
    <w:p>
      <w:pPr>
        <w:widowControl/>
        <w:spacing w:line="560" w:lineRule="exact"/>
        <w:jc w:val="center"/>
        <w:rPr>
          <w:rFonts w:hint="eastAsia" w:ascii="仿宋" w:hAnsi="仿宋" w:eastAsia="仿宋"/>
          <w:b w:val="0"/>
          <w:bCs/>
          <w:sz w:val="28"/>
          <w:szCs w:val="28"/>
        </w:rPr>
      </w:pPr>
      <w:r>
        <w:rPr>
          <w:rFonts w:hint="eastAsia" w:ascii="仿宋" w:hAnsi="仿宋" w:eastAsia="仿宋"/>
          <w:b w:val="0"/>
          <w:bCs/>
          <w:sz w:val="28"/>
          <w:szCs w:val="28"/>
        </w:rPr>
        <w:t>深刻领会工程总承包示范文本实质与内涵</w:t>
      </w:r>
    </w:p>
    <w:p>
      <w:pPr>
        <w:widowControl/>
        <w:spacing w:line="560" w:lineRule="exact"/>
        <w:jc w:val="center"/>
        <w:rPr>
          <w:rFonts w:hint="eastAsia" w:ascii="仿宋" w:hAnsi="仿宋" w:eastAsia="仿宋"/>
          <w:b w:val="0"/>
          <w:bCs/>
          <w:sz w:val="28"/>
          <w:szCs w:val="28"/>
        </w:rPr>
      </w:pPr>
      <w:r>
        <w:rPr>
          <w:rFonts w:hint="eastAsia" w:ascii="仿宋" w:hAnsi="仿宋" w:eastAsia="仿宋"/>
          <w:b w:val="0"/>
          <w:bCs/>
          <w:sz w:val="28"/>
          <w:szCs w:val="28"/>
        </w:rPr>
        <w:t>精准识别合同风险做好签约履约风险应对</w:t>
      </w:r>
    </w:p>
    <w:p>
      <w:pPr>
        <w:widowControl/>
        <w:spacing w:line="560" w:lineRule="exact"/>
        <w:jc w:val="center"/>
        <w:rPr>
          <w:rFonts w:hint="eastAsia" w:ascii="仿宋" w:hAnsi="仿宋" w:eastAsia="仿宋"/>
          <w:b/>
          <w:sz w:val="32"/>
          <w:szCs w:val="32"/>
          <w:lang w:eastAsia="zh-CN"/>
        </w:rPr>
      </w:pPr>
      <w:r>
        <w:rPr>
          <w:rFonts w:hint="eastAsia" w:ascii="仿宋" w:hAnsi="仿宋" w:eastAsia="仿宋"/>
          <w:b/>
          <w:sz w:val="32"/>
          <w:szCs w:val="32"/>
          <w:lang w:eastAsia="zh-CN"/>
        </w:rPr>
        <w:t>关于举办《</w:t>
      </w:r>
      <w:r>
        <w:rPr>
          <w:rFonts w:hint="eastAsia" w:ascii="仿宋" w:hAnsi="仿宋" w:eastAsia="仿宋"/>
          <w:b/>
          <w:sz w:val="32"/>
          <w:szCs w:val="32"/>
        </w:rPr>
        <w:t>新基建建设的法律风险防控</w:t>
      </w:r>
      <w:r>
        <w:rPr>
          <w:rFonts w:hint="eastAsia" w:ascii="仿宋" w:hAnsi="仿宋" w:eastAsia="仿宋"/>
          <w:b/>
          <w:sz w:val="32"/>
          <w:szCs w:val="32"/>
          <w:lang w:eastAsia="zh-CN"/>
        </w:rPr>
        <w:t>实务及</w:t>
      </w:r>
      <w:r>
        <w:rPr>
          <w:rFonts w:hint="eastAsia" w:ascii="仿宋" w:hAnsi="仿宋" w:eastAsia="仿宋"/>
          <w:b/>
          <w:sz w:val="32"/>
          <w:szCs w:val="32"/>
        </w:rPr>
        <w:t>工程总承包</w:t>
      </w:r>
      <w:r>
        <w:rPr>
          <w:rFonts w:hint="eastAsia" w:ascii="仿宋" w:hAnsi="仿宋" w:eastAsia="仿宋"/>
          <w:b/>
          <w:sz w:val="32"/>
          <w:szCs w:val="32"/>
          <w:lang w:eastAsia="zh-CN"/>
        </w:rPr>
        <w:t>全过程管控签约履约风险应对》实操培训班的通知</w:t>
      </w:r>
    </w:p>
    <w:p>
      <w:pPr>
        <w:widowControl/>
        <w:spacing w:line="560" w:lineRule="exact"/>
        <w:jc w:val="center"/>
        <w:rPr>
          <w:rFonts w:hint="eastAsia" w:ascii="仿宋" w:hAnsi="仿宋" w:eastAsia="仿宋"/>
          <w:b/>
          <w:sz w:val="32"/>
          <w:szCs w:val="32"/>
        </w:rPr>
      </w:pPr>
    </w:p>
    <w:p>
      <w:pPr>
        <w:keepNext w:val="0"/>
        <w:keepLines w:val="0"/>
        <w:pageBreakBefore w:val="0"/>
        <w:widowControl/>
        <w:kinsoku/>
        <w:wordWrap/>
        <w:overflowPunct/>
        <w:topLinePunct w:val="0"/>
        <w:autoSpaceDE/>
        <w:autoSpaceDN/>
        <w:bidi w:val="0"/>
        <w:adjustRightInd/>
        <w:snapToGrid/>
        <w:spacing w:line="460" w:lineRule="exact"/>
        <w:textAlignment w:val="auto"/>
        <w:rPr>
          <w:rFonts w:ascii="仿宋" w:hAnsi="仿宋" w:eastAsia="仿宋"/>
          <w:bCs/>
          <w:color w:val="000000"/>
          <w:sz w:val="28"/>
          <w:szCs w:val="28"/>
        </w:rPr>
      </w:pPr>
      <w:r>
        <w:rPr>
          <w:rFonts w:hint="eastAsia" w:ascii="仿宋" w:hAnsi="仿宋" w:eastAsia="仿宋"/>
          <w:bCs/>
          <w:color w:val="000000"/>
          <w:sz w:val="28"/>
          <w:szCs w:val="28"/>
        </w:rPr>
        <w:t>各相关单位：</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Cs/>
          <w:color w:val="000000"/>
          <w:sz w:val="28"/>
          <w:szCs w:val="28"/>
        </w:rPr>
      </w:pPr>
      <w:r>
        <w:rPr>
          <w:rFonts w:hint="eastAsia" w:ascii="仿宋" w:hAnsi="仿宋" w:eastAsia="仿宋"/>
          <w:bCs/>
          <w:color w:val="000000"/>
          <w:sz w:val="28"/>
          <w:szCs w:val="28"/>
        </w:rPr>
        <w:t>新基建的诸多领域与市政行业息息相关，新基建技术密集、项目整合度要求高等特点使得其应用工程总承包模式开展项目建设的优势尤为明显，是工程总承包项目实践的蓝海。而工程设计企业以设计牵头，引领新基建项目设计-采购-施工一体化建设将具有独特优势，大有可为。新基建为本、工程总承包为器的全新产业路径将为市政工程设计企业开拓业务打开新窗口，机遇与挑战并存，市政工程设计企业加强法律风险管控，将为创造新基建业务新增长点插上腾飞翅膀。</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ascii="仿宋" w:hAnsi="仿宋" w:eastAsia="仿宋"/>
          <w:bCs/>
          <w:color w:val="000000"/>
          <w:sz w:val="28"/>
          <w:szCs w:val="28"/>
        </w:rPr>
      </w:pPr>
      <w:r>
        <w:rPr>
          <w:rFonts w:hint="eastAsia" w:ascii="仿宋" w:hAnsi="仿宋" w:eastAsia="仿宋"/>
          <w:bCs/>
          <w:color w:val="000000"/>
          <w:sz w:val="28"/>
          <w:szCs w:val="28"/>
        </w:rPr>
        <w:t>为指导建设项目工程总承包合同当事人的签约行为，维护合同当事人的合法权益，依据《中华人民共和国民法典》、《中华人民共和国建筑法》、《中华人民共和国招标投标法》以及相关法律、法规，住房和城乡建设部、市场监管总局对《建设项目工程总承包合同示范文本（试行）》进行了修订，制定了《建设项目工程总承包合同（示范文本）》（GF-2020-0216），自2021年1月1日起执行。</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Cs/>
          <w:color w:val="000000"/>
          <w:sz w:val="28"/>
          <w:szCs w:val="28"/>
          <w:lang w:eastAsia="zh-CN"/>
        </w:rPr>
      </w:pPr>
      <w:r>
        <w:rPr>
          <w:rFonts w:hint="eastAsia" w:ascii="仿宋" w:hAnsi="仿宋" w:eastAsia="仿宋"/>
          <w:bCs/>
          <w:color w:val="000000"/>
          <w:sz w:val="28"/>
          <w:szCs w:val="28"/>
        </w:rPr>
        <w:t>据此，中国国际工程咨询协会主办，北京市金培通信息技术有限责任公司承办，并邀请</w:t>
      </w:r>
      <w:r>
        <w:rPr>
          <w:rFonts w:hint="eastAsia" w:ascii="仿宋" w:hAnsi="仿宋" w:eastAsia="仿宋"/>
          <w:bCs/>
          <w:color w:val="000000"/>
          <w:sz w:val="28"/>
          <w:szCs w:val="28"/>
          <w:lang w:eastAsia="zh-CN"/>
        </w:rPr>
        <w:t>曹珊</w:t>
      </w:r>
      <w:r>
        <w:rPr>
          <w:rFonts w:hint="eastAsia" w:ascii="仿宋" w:hAnsi="仿宋" w:eastAsia="仿宋"/>
          <w:bCs/>
          <w:color w:val="000000"/>
          <w:sz w:val="28"/>
          <w:szCs w:val="28"/>
        </w:rPr>
        <w:t>老师</w:t>
      </w:r>
      <w:r>
        <w:rPr>
          <w:rFonts w:hint="eastAsia" w:ascii="仿宋" w:hAnsi="仿宋" w:eastAsia="仿宋"/>
          <w:bCs/>
          <w:color w:val="000000"/>
          <w:sz w:val="28"/>
          <w:szCs w:val="28"/>
          <w:lang w:eastAsia="zh-CN"/>
        </w:rPr>
        <w:t>就</w:t>
      </w:r>
      <w:r>
        <w:rPr>
          <w:rFonts w:hint="eastAsia" w:ascii="仿宋" w:hAnsi="仿宋" w:eastAsia="仿宋"/>
          <w:b/>
          <w:bCs w:val="0"/>
          <w:color w:val="000000"/>
          <w:sz w:val="28"/>
          <w:szCs w:val="28"/>
        </w:rPr>
        <w:t>新基建建设的法律风险防控实务及工程总承包全过程</w:t>
      </w:r>
      <w:r>
        <w:rPr>
          <w:rFonts w:hint="eastAsia" w:ascii="仿宋" w:hAnsi="仿宋" w:eastAsia="仿宋"/>
          <w:b/>
          <w:bCs w:val="0"/>
          <w:color w:val="000000"/>
          <w:sz w:val="28"/>
          <w:szCs w:val="28"/>
          <w:lang w:eastAsia="zh-CN"/>
        </w:rPr>
        <w:t>管控</w:t>
      </w:r>
      <w:r>
        <w:rPr>
          <w:rFonts w:hint="eastAsia" w:ascii="仿宋" w:hAnsi="仿宋" w:eastAsia="仿宋"/>
          <w:b/>
          <w:bCs w:val="0"/>
          <w:color w:val="000000"/>
          <w:sz w:val="28"/>
          <w:szCs w:val="28"/>
        </w:rPr>
        <w:t>签约履约风险应对</w:t>
      </w:r>
      <w:r>
        <w:rPr>
          <w:rFonts w:hint="eastAsia" w:ascii="仿宋" w:hAnsi="仿宋" w:eastAsia="仿宋"/>
          <w:bCs/>
          <w:color w:val="000000"/>
          <w:sz w:val="28"/>
          <w:szCs w:val="28"/>
          <w:lang w:eastAsia="zh-CN"/>
        </w:rPr>
        <w:t>作专题讲解和交流。</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ascii="仿宋" w:hAnsi="仿宋" w:eastAsia="仿宋"/>
          <w:bCs/>
          <w:color w:val="000000"/>
          <w:sz w:val="28"/>
          <w:szCs w:val="28"/>
        </w:rPr>
      </w:pPr>
      <w:r>
        <w:rPr>
          <w:rFonts w:hint="eastAsia" w:ascii="仿宋" w:hAnsi="仿宋" w:eastAsia="仿宋"/>
          <w:bCs/>
          <w:color w:val="000000"/>
          <w:sz w:val="28"/>
          <w:szCs w:val="28"/>
        </w:rPr>
        <w:t>现将有关事项通知如下:</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ascii="仿宋" w:hAnsi="仿宋" w:eastAsia="仿宋"/>
          <w:b/>
          <w:color w:val="000000"/>
          <w:sz w:val="28"/>
          <w:szCs w:val="28"/>
        </w:rPr>
      </w:pPr>
      <w:r>
        <w:rPr>
          <w:rFonts w:hint="eastAsia" w:ascii="仿宋" w:hAnsi="仿宋" w:eastAsia="仿宋"/>
          <w:b/>
          <w:color w:val="000000"/>
          <w:sz w:val="28"/>
          <w:szCs w:val="28"/>
        </w:rPr>
        <w:t>一、培训收益</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Cs/>
          <w:color w:val="000000"/>
          <w:sz w:val="28"/>
          <w:szCs w:val="28"/>
          <w:lang w:eastAsia="zh-CN"/>
        </w:rPr>
      </w:pPr>
      <w:r>
        <w:rPr>
          <w:rFonts w:hint="eastAsia" w:ascii="仿宋" w:hAnsi="仿宋" w:eastAsia="仿宋"/>
          <w:bCs/>
          <w:color w:val="000000"/>
          <w:sz w:val="28"/>
          <w:szCs w:val="28"/>
          <w:lang w:val="en-US" w:eastAsia="zh-CN"/>
        </w:rPr>
        <w:t>1.</w:t>
      </w:r>
      <w:r>
        <w:rPr>
          <w:rFonts w:hint="eastAsia" w:ascii="仿宋" w:hAnsi="仿宋" w:eastAsia="仿宋"/>
          <w:bCs/>
          <w:color w:val="000000"/>
          <w:sz w:val="28"/>
          <w:szCs w:val="28"/>
          <w:lang w:eastAsia="zh-CN"/>
        </w:rPr>
        <w:t>做好</w:t>
      </w:r>
      <w:r>
        <w:rPr>
          <w:rFonts w:hint="eastAsia" w:ascii="仿宋" w:hAnsi="仿宋" w:eastAsia="仿宋"/>
          <w:bCs/>
          <w:color w:val="000000"/>
          <w:sz w:val="28"/>
          <w:szCs w:val="28"/>
        </w:rPr>
        <w:t>工程总承包模式下的新基建建设全过程法律风险防控</w:t>
      </w:r>
      <w:r>
        <w:rPr>
          <w:rFonts w:hint="eastAsia" w:ascii="仿宋" w:hAnsi="仿宋" w:eastAsia="仿宋"/>
          <w:bCs/>
          <w:color w:val="000000"/>
          <w:sz w:val="28"/>
          <w:szCs w:val="28"/>
          <w:lang w:eastAsia="zh-CN"/>
        </w:rPr>
        <w:t>；</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ascii="仿宋" w:hAnsi="仿宋" w:eastAsia="仿宋"/>
          <w:bCs/>
          <w:color w:val="000000"/>
          <w:sz w:val="28"/>
          <w:szCs w:val="28"/>
        </w:rPr>
      </w:pPr>
      <w:r>
        <w:rPr>
          <w:rFonts w:hint="eastAsia" w:ascii="仿宋" w:hAnsi="仿宋" w:eastAsia="仿宋"/>
          <w:bCs/>
          <w:color w:val="000000"/>
          <w:sz w:val="28"/>
          <w:szCs w:val="28"/>
          <w:lang w:val="en-US" w:eastAsia="zh-CN"/>
        </w:rPr>
        <w:t>2.</w:t>
      </w:r>
      <w:r>
        <w:rPr>
          <w:rFonts w:hint="eastAsia" w:ascii="仿宋" w:hAnsi="仿宋" w:eastAsia="仿宋"/>
          <w:bCs/>
          <w:color w:val="000000"/>
          <w:sz w:val="28"/>
          <w:szCs w:val="28"/>
        </w:rPr>
        <w:t>进一步了解《示范文本》修订背景、合同架构及我国建筑项目工程总承包项目的发展现状及趋势；</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Cs/>
          <w:color w:val="000000"/>
          <w:sz w:val="28"/>
          <w:szCs w:val="28"/>
          <w:lang w:eastAsia="zh-CN"/>
        </w:rPr>
      </w:pPr>
      <w:r>
        <w:rPr>
          <w:rFonts w:hint="eastAsia" w:ascii="仿宋" w:hAnsi="仿宋" w:eastAsia="仿宋"/>
          <w:bCs/>
          <w:color w:val="000000"/>
          <w:sz w:val="28"/>
          <w:szCs w:val="28"/>
          <w:lang w:val="en-US" w:eastAsia="zh-CN"/>
        </w:rPr>
        <w:t>3.</w:t>
      </w:r>
      <w:r>
        <w:rPr>
          <w:rFonts w:hint="eastAsia" w:ascii="仿宋" w:hAnsi="仿宋" w:eastAsia="仿宋"/>
          <w:bCs/>
          <w:color w:val="000000"/>
          <w:sz w:val="28"/>
          <w:szCs w:val="28"/>
        </w:rPr>
        <w:t>理解和把握《示范文本》重点条款，并熟练运用《示范文本》</w:t>
      </w:r>
      <w:r>
        <w:rPr>
          <w:rFonts w:hint="eastAsia" w:ascii="仿宋" w:hAnsi="仿宋" w:eastAsia="仿宋"/>
          <w:bCs/>
          <w:color w:val="000000"/>
          <w:sz w:val="28"/>
          <w:szCs w:val="28"/>
          <w:lang w:eastAsia="zh-CN"/>
        </w:rPr>
        <w:t>；</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ascii="仿宋" w:hAnsi="仿宋" w:eastAsia="仿宋"/>
          <w:bCs/>
          <w:color w:val="000000"/>
          <w:sz w:val="28"/>
          <w:szCs w:val="28"/>
        </w:rPr>
      </w:pPr>
      <w:r>
        <w:rPr>
          <w:rFonts w:hint="eastAsia" w:ascii="仿宋" w:hAnsi="仿宋" w:eastAsia="仿宋"/>
          <w:bCs/>
          <w:color w:val="000000"/>
          <w:sz w:val="28"/>
          <w:szCs w:val="28"/>
          <w:lang w:val="en-US" w:eastAsia="zh-CN"/>
        </w:rPr>
        <w:t>4.</w:t>
      </w:r>
      <w:r>
        <w:rPr>
          <w:rFonts w:hint="eastAsia" w:ascii="仿宋" w:hAnsi="仿宋" w:eastAsia="仿宋"/>
          <w:bCs/>
          <w:color w:val="000000"/>
          <w:sz w:val="28"/>
          <w:szCs w:val="28"/>
        </w:rPr>
        <w:t>精准识别合同风险做好签约履约风险应对。</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ascii="仿宋" w:hAnsi="仿宋" w:eastAsia="仿宋"/>
          <w:b/>
          <w:color w:val="000000"/>
          <w:sz w:val="28"/>
          <w:szCs w:val="28"/>
        </w:rPr>
      </w:pPr>
      <w:r>
        <w:rPr>
          <w:rFonts w:hint="eastAsia" w:ascii="仿宋" w:hAnsi="仿宋" w:eastAsia="仿宋"/>
          <w:b/>
          <w:color w:val="000000"/>
          <w:sz w:val="28"/>
          <w:szCs w:val="28"/>
        </w:rPr>
        <w:t>二、培训内容</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bCs w:val="0"/>
          <w:color w:val="000000"/>
          <w:sz w:val="28"/>
          <w:szCs w:val="28"/>
        </w:rPr>
      </w:pPr>
      <w:r>
        <w:rPr>
          <w:rFonts w:hint="eastAsia" w:ascii="仿宋" w:hAnsi="仿宋" w:eastAsia="仿宋"/>
          <w:b/>
          <w:bCs w:val="0"/>
          <w:color w:val="000000"/>
          <w:sz w:val="28"/>
          <w:szCs w:val="28"/>
          <w:lang w:eastAsia="zh-CN"/>
        </w:rPr>
        <w:t>第一部分、</w:t>
      </w:r>
      <w:r>
        <w:rPr>
          <w:rFonts w:hint="eastAsia" w:ascii="仿宋" w:hAnsi="仿宋" w:eastAsia="仿宋"/>
          <w:b/>
          <w:bCs w:val="0"/>
          <w:color w:val="000000"/>
          <w:sz w:val="28"/>
          <w:szCs w:val="28"/>
        </w:rPr>
        <w:t>我国新基建发展沿革概述</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rPr>
        <w:t>1.新基建政策观察</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rPr>
        <w:t>2.新基建行业态势</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bCs w:val="0"/>
          <w:color w:val="000000"/>
          <w:sz w:val="28"/>
          <w:szCs w:val="28"/>
        </w:rPr>
      </w:pPr>
      <w:r>
        <w:rPr>
          <w:rFonts w:hint="eastAsia" w:ascii="仿宋" w:hAnsi="仿宋" w:eastAsia="仿宋"/>
          <w:b/>
          <w:bCs w:val="0"/>
          <w:color w:val="000000"/>
          <w:sz w:val="28"/>
          <w:szCs w:val="28"/>
          <w:lang w:eastAsia="zh-CN"/>
        </w:rPr>
        <w:t>第二部分、</w:t>
      </w:r>
      <w:r>
        <w:rPr>
          <w:rFonts w:hint="eastAsia" w:ascii="仿宋" w:hAnsi="仿宋" w:eastAsia="仿宋"/>
          <w:b/>
          <w:bCs w:val="0"/>
          <w:color w:val="000000"/>
          <w:sz w:val="28"/>
          <w:szCs w:val="28"/>
        </w:rPr>
        <w:t>新基建主要特征及发展趋势</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bCs w:val="0"/>
          <w:color w:val="000000"/>
          <w:sz w:val="28"/>
          <w:szCs w:val="28"/>
        </w:rPr>
      </w:pPr>
      <w:r>
        <w:rPr>
          <w:rFonts w:hint="eastAsia" w:ascii="仿宋" w:hAnsi="仿宋" w:eastAsia="仿宋"/>
          <w:b/>
          <w:bCs w:val="0"/>
          <w:color w:val="000000"/>
          <w:sz w:val="28"/>
          <w:szCs w:val="28"/>
        </w:rPr>
        <w:t>1.新基建行业的主要特征</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rPr>
        <w:t>（1）行业领域高精尖</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rPr>
        <w:t>（2）数字经济特征凸显</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rPr>
        <w:t>（3）投资主体多元化</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rPr>
        <w:t>（4）项目整合度要求高</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bCs w:val="0"/>
          <w:color w:val="000000"/>
          <w:sz w:val="28"/>
          <w:szCs w:val="28"/>
        </w:rPr>
      </w:pPr>
      <w:r>
        <w:rPr>
          <w:rFonts w:hint="eastAsia" w:ascii="仿宋" w:hAnsi="仿宋" w:eastAsia="仿宋"/>
          <w:b/>
          <w:bCs w:val="0"/>
          <w:color w:val="000000"/>
          <w:sz w:val="28"/>
          <w:szCs w:val="28"/>
        </w:rPr>
        <w:t>2.新基建发展趋势和潜在产业机会</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rPr>
        <w:t>（1）新基建代表着未来技术发展方向</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rPr>
        <w:t>（2）新基建领域是工程总承包发展的蓝海</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bCs w:val="0"/>
          <w:color w:val="000000"/>
          <w:sz w:val="28"/>
          <w:szCs w:val="28"/>
        </w:rPr>
      </w:pPr>
      <w:r>
        <w:rPr>
          <w:rFonts w:hint="eastAsia" w:ascii="仿宋" w:hAnsi="仿宋" w:eastAsia="仿宋"/>
          <w:b/>
          <w:bCs w:val="0"/>
          <w:color w:val="000000"/>
          <w:sz w:val="28"/>
          <w:szCs w:val="28"/>
          <w:lang w:eastAsia="zh-CN"/>
        </w:rPr>
        <w:t>第三部分</w:t>
      </w:r>
      <w:r>
        <w:rPr>
          <w:rFonts w:hint="eastAsia" w:ascii="仿宋" w:hAnsi="仿宋" w:eastAsia="仿宋"/>
          <w:b/>
          <w:bCs w:val="0"/>
          <w:color w:val="000000"/>
          <w:sz w:val="28"/>
          <w:szCs w:val="28"/>
        </w:rPr>
        <w:t>、新基建为本，工程总承包为器，工程设计企业参与新基建大有可为</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bCs w:val="0"/>
          <w:color w:val="000000"/>
          <w:sz w:val="28"/>
          <w:szCs w:val="28"/>
        </w:rPr>
      </w:pPr>
      <w:r>
        <w:rPr>
          <w:rFonts w:hint="eastAsia" w:ascii="仿宋" w:hAnsi="仿宋" w:eastAsia="仿宋"/>
          <w:b/>
          <w:bCs w:val="0"/>
          <w:color w:val="000000"/>
          <w:sz w:val="28"/>
          <w:szCs w:val="28"/>
          <w:lang w:val="en-US" w:eastAsia="zh-CN"/>
        </w:rPr>
        <w:t>1.</w:t>
      </w:r>
      <w:r>
        <w:rPr>
          <w:rFonts w:hint="eastAsia" w:ascii="仿宋" w:hAnsi="仿宋" w:eastAsia="仿宋"/>
          <w:b/>
          <w:bCs w:val="0"/>
          <w:color w:val="000000"/>
          <w:sz w:val="28"/>
          <w:szCs w:val="28"/>
        </w:rPr>
        <w:t>工程设计企业抢占新基建市场份额的技术路径</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bCs w:val="0"/>
          <w:color w:val="000000"/>
          <w:sz w:val="28"/>
          <w:szCs w:val="28"/>
        </w:rPr>
      </w:pPr>
      <w:r>
        <w:rPr>
          <w:rFonts w:hint="eastAsia" w:ascii="仿宋" w:hAnsi="仿宋" w:eastAsia="仿宋"/>
          <w:b/>
          <w:bCs w:val="0"/>
          <w:color w:val="000000"/>
          <w:sz w:val="28"/>
          <w:szCs w:val="28"/>
          <w:lang w:val="en-US" w:eastAsia="zh-CN"/>
        </w:rPr>
        <w:t>2.</w:t>
      </w:r>
      <w:r>
        <w:rPr>
          <w:rFonts w:hint="eastAsia" w:ascii="仿宋" w:hAnsi="仿宋" w:eastAsia="仿宋"/>
          <w:b/>
          <w:bCs w:val="0"/>
          <w:color w:val="000000"/>
          <w:sz w:val="28"/>
          <w:szCs w:val="28"/>
        </w:rPr>
        <w:t>业务拓荒，法律先行：工程总承包模式下的新基建建设全过程法律风险防控</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bCs w:val="0"/>
          <w:color w:val="000000"/>
          <w:sz w:val="28"/>
          <w:szCs w:val="28"/>
        </w:rPr>
      </w:pPr>
      <w:r>
        <w:rPr>
          <w:rFonts w:hint="eastAsia" w:ascii="仿宋" w:hAnsi="仿宋" w:eastAsia="仿宋"/>
          <w:b/>
          <w:bCs w:val="0"/>
          <w:color w:val="000000"/>
          <w:sz w:val="28"/>
          <w:szCs w:val="28"/>
          <w:lang w:eastAsia="zh-CN"/>
        </w:rPr>
        <w:t>第四部分、</w:t>
      </w:r>
      <w:r>
        <w:rPr>
          <w:rFonts w:hint="eastAsia" w:ascii="仿宋" w:hAnsi="仿宋" w:eastAsia="仿宋"/>
          <w:b/>
          <w:bCs w:val="0"/>
          <w:color w:val="000000"/>
          <w:sz w:val="28"/>
          <w:szCs w:val="28"/>
        </w:rPr>
        <w:t>2020版工程总承包合同缘起和核心亮点</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bCs w:val="0"/>
          <w:color w:val="000000"/>
          <w:sz w:val="28"/>
          <w:szCs w:val="28"/>
        </w:rPr>
      </w:pPr>
      <w:r>
        <w:rPr>
          <w:rFonts w:hint="eastAsia" w:ascii="仿宋" w:hAnsi="仿宋" w:eastAsia="仿宋"/>
          <w:b/>
          <w:bCs w:val="0"/>
          <w:color w:val="000000"/>
          <w:sz w:val="28"/>
          <w:szCs w:val="28"/>
        </w:rPr>
        <w:t>一张图看我们服务的施工企业发展路径</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bCs w:val="0"/>
          <w:color w:val="000000"/>
          <w:sz w:val="28"/>
          <w:szCs w:val="28"/>
        </w:rPr>
      </w:pPr>
      <w:r>
        <w:rPr>
          <w:rFonts w:hint="eastAsia" w:ascii="仿宋" w:hAnsi="仿宋" w:eastAsia="仿宋"/>
          <w:b/>
          <w:bCs w:val="0"/>
          <w:color w:val="000000"/>
          <w:sz w:val="28"/>
          <w:szCs w:val="28"/>
          <w:lang w:val="en-US" w:eastAsia="zh-CN"/>
        </w:rPr>
        <w:t>1.</w:t>
      </w:r>
      <w:r>
        <w:rPr>
          <w:rFonts w:hint="eastAsia" w:ascii="仿宋" w:hAnsi="仿宋" w:eastAsia="仿宋"/>
          <w:b/>
          <w:bCs w:val="0"/>
          <w:color w:val="000000"/>
          <w:sz w:val="28"/>
          <w:szCs w:val="28"/>
        </w:rPr>
        <w:t>大势所趋：中央和地方大力推进工程总承包发展</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bCs w:val="0"/>
          <w:color w:val="000000"/>
          <w:sz w:val="28"/>
          <w:szCs w:val="28"/>
        </w:rPr>
      </w:pPr>
      <w:r>
        <w:rPr>
          <w:rFonts w:hint="eastAsia" w:ascii="仿宋" w:hAnsi="仿宋" w:eastAsia="仿宋"/>
          <w:b/>
          <w:bCs w:val="0"/>
          <w:color w:val="000000"/>
          <w:sz w:val="28"/>
          <w:szCs w:val="28"/>
          <w:lang w:val="en-US" w:eastAsia="zh-CN"/>
        </w:rPr>
        <w:t>2.</w:t>
      </w:r>
      <w:r>
        <w:rPr>
          <w:rFonts w:hint="eastAsia" w:ascii="仿宋" w:hAnsi="仿宋" w:eastAsia="仿宋"/>
          <w:b/>
          <w:bCs w:val="0"/>
          <w:color w:val="000000"/>
          <w:sz w:val="28"/>
          <w:szCs w:val="28"/>
        </w:rPr>
        <w:t>继往开来：充分认识推行工程总承包合同示范文本的重要性及修订原则</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bCs w:val="0"/>
          <w:color w:val="000000"/>
          <w:sz w:val="28"/>
          <w:szCs w:val="28"/>
        </w:rPr>
      </w:pPr>
      <w:r>
        <w:rPr>
          <w:rFonts w:hint="eastAsia" w:ascii="仿宋" w:hAnsi="仿宋" w:eastAsia="仿宋"/>
          <w:b/>
          <w:bCs w:val="0"/>
          <w:color w:val="000000"/>
          <w:sz w:val="28"/>
          <w:szCs w:val="28"/>
          <w:lang w:val="en-US" w:eastAsia="zh-CN"/>
        </w:rPr>
        <w:t>3.</w:t>
      </w:r>
      <w:r>
        <w:rPr>
          <w:rFonts w:hint="eastAsia" w:ascii="仿宋" w:hAnsi="仿宋" w:eastAsia="仿宋"/>
          <w:b/>
          <w:bCs w:val="0"/>
          <w:color w:val="000000"/>
          <w:sz w:val="28"/>
          <w:szCs w:val="28"/>
        </w:rPr>
        <w:t>鉥心刿目：2020版工程总承包合同制定过程及内容介绍</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lang w:val="en-US" w:eastAsia="zh-CN"/>
        </w:rPr>
        <w:t>1</w:t>
      </w: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rPr>
        <w:t>《建设项目工程总承包合同示范文本》制定情况</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rPr>
        <w:t>正式版本与征求意见稿的区别</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lang w:val="en-US" w:eastAsia="zh-CN"/>
        </w:rPr>
        <w:t>2</w:t>
      </w: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rPr>
        <w:t>《建设项目工程总承包合同示范文本》内容简介</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bCs w:val="0"/>
          <w:color w:val="000000"/>
          <w:sz w:val="28"/>
          <w:szCs w:val="28"/>
        </w:rPr>
      </w:pPr>
      <w:r>
        <w:rPr>
          <w:rFonts w:hint="eastAsia" w:ascii="仿宋" w:hAnsi="仿宋" w:eastAsia="仿宋"/>
          <w:b/>
          <w:bCs w:val="0"/>
          <w:color w:val="000000"/>
          <w:sz w:val="28"/>
          <w:szCs w:val="28"/>
          <w:lang w:eastAsia="zh-CN"/>
        </w:rPr>
        <w:t>第五部分、</w:t>
      </w:r>
      <w:r>
        <w:rPr>
          <w:rFonts w:hint="eastAsia" w:ascii="仿宋" w:hAnsi="仿宋" w:eastAsia="仿宋"/>
          <w:b/>
          <w:bCs w:val="0"/>
          <w:color w:val="000000"/>
          <w:sz w:val="28"/>
          <w:szCs w:val="28"/>
        </w:rPr>
        <w:t>含英咀华：2020版工程总承包合同核心亮点解析</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rPr>
        <w:t>亮点一：内容上在《2011版合同》基础上广泛吸收国内外先进经</w:t>
      </w:r>
    </w:p>
    <w:p>
      <w:pPr>
        <w:keepNext w:val="0"/>
        <w:keepLines w:val="0"/>
        <w:pageBreakBefore w:val="0"/>
        <w:widowControl/>
        <w:kinsoku/>
        <w:wordWrap/>
        <w:overflowPunct/>
        <w:topLinePunct w:val="0"/>
        <w:autoSpaceDE/>
        <w:autoSpaceDN/>
        <w:bidi w:val="0"/>
        <w:adjustRightInd/>
        <w:snapToGrid/>
        <w:spacing w:line="460" w:lineRule="exact"/>
        <w:ind w:firstLine="1680" w:firstLineChars="6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rPr>
        <w:t>验</w:t>
      </w:r>
    </w:p>
    <w:p>
      <w:pPr>
        <w:keepNext w:val="0"/>
        <w:keepLines w:val="0"/>
        <w:pageBreakBefore w:val="0"/>
        <w:widowControl/>
        <w:kinsoku/>
        <w:wordWrap/>
        <w:overflowPunct/>
        <w:topLinePunct w:val="0"/>
        <w:autoSpaceDE/>
        <w:autoSpaceDN/>
        <w:bidi w:val="0"/>
        <w:adjustRightInd/>
        <w:snapToGrid/>
        <w:spacing w:line="460" w:lineRule="exact"/>
        <w:ind w:firstLine="1680" w:firstLineChars="6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rPr>
        <w:t>正式版本与FIDIC黄皮书的借鉴对比</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rPr>
        <w:t>亮点二：结合实际情况对《发包人要求》作出的创新规定</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rPr>
        <w:t xml:space="preserve">        签约时要求与履约时指示的规制</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rPr>
        <w:t>亮点三：扩大和明晰了工程师的权限并配套了具体制度</w:t>
      </w:r>
    </w:p>
    <w:p>
      <w:pPr>
        <w:keepNext w:val="0"/>
        <w:keepLines w:val="0"/>
        <w:pageBreakBefore w:val="0"/>
        <w:widowControl/>
        <w:kinsoku/>
        <w:wordWrap/>
        <w:overflowPunct/>
        <w:topLinePunct w:val="0"/>
        <w:autoSpaceDE/>
        <w:autoSpaceDN/>
        <w:bidi w:val="0"/>
        <w:adjustRightInd/>
        <w:snapToGrid/>
        <w:spacing w:line="460" w:lineRule="exact"/>
        <w:ind w:firstLine="1680" w:firstLineChars="6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rPr>
        <w:t>工程师（总咨询人）与监理人的制度区别</w:t>
      </w:r>
    </w:p>
    <w:p>
      <w:pPr>
        <w:keepNext w:val="0"/>
        <w:keepLines w:val="0"/>
        <w:pageBreakBefore w:val="0"/>
        <w:widowControl/>
        <w:kinsoku/>
        <w:wordWrap/>
        <w:overflowPunct/>
        <w:topLinePunct w:val="0"/>
        <w:autoSpaceDE/>
        <w:autoSpaceDN/>
        <w:bidi w:val="0"/>
        <w:adjustRightInd/>
        <w:snapToGrid/>
        <w:spacing w:line="460" w:lineRule="exact"/>
        <w:ind w:firstLine="1680" w:firstLineChars="6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rPr>
        <w:t>正向授权与反向限制的规定</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rPr>
        <w:t>亮点四：对联合体进行了细化制度设计</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rPr>
        <w:t xml:space="preserve">        联合体风险防范与补充协议制作的要点</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rPr>
        <w:t>亮点五：结合《政府投资条例》、《管理办法》和工程实践，对风</w:t>
      </w:r>
    </w:p>
    <w:p>
      <w:pPr>
        <w:keepNext w:val="0"/>
        <w:keepLines w:val="0"/>
        <w:pageBreakBefore w:val="0"/>
        <w:widowControl/>
        <w:kinsoku/>
        <w:wordWrap/>
        <w:overflowPunct/>
        <w:topLinePunct w:val="0"/>
        <w:autoSpaceDE/>
        <w:autoSpaceDN/>
        <w:bidi w:val="0"/>
        <w:adjustRightInd/>
        <w:snapToGrid/>
        <w:spacing w:line="460" w:lineRule="exact"/>
        <w:ind w:firstLine="1680" w:firstLineChars="6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rPr>
        <w:t xml:space="preserve">险分担进行细化规定       </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rPr>
        <w:t>亮点六：高度重视建筑工人权利保护</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rPr>
        <w:t xml:space="preserve">        详解现场管理制度的实操安排与指引</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rPr>
        <w:t>亮点七：为新技术的应用预留了接口</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bCs w:val="0"/>
          <w:color w:val="000000"/>
          <w:sz w:val="28"/>
          <w:szCs w:val="28"/>
        </w:rPr>
      </w:pPr>
      <w:r>
        <w:rPr>
          <w:rFonts w:hint="eastAsia" w:ascii="仿宋" w:hAnsi="仿宋" w:eastAsia="仿宋"/>
          <w:b/>
          <w:bCs w:val="0"/>
          <w:color w:val="000000"/>
          <w:sz w:val="28"/>
          <w:szCs w:val="28"/>
          <w:lang w:eastAsia="zh-CN"/>
        </w:rPr>
        <w:t>第六部分、</w:t>
      </w:r>
      <w:r>
        <w:rPr>
          <w:rFonts w:hint="eastAsia" w:ascii="仿宋" w:hAnsi="仿宋" w:eastAsia="仿宋"/>
          <w:b/>
          <w:bCs w:val="0"/>
          <w:color w:val="000000"/>
          <w:sz w:val="28"/>
          <w:szCs w:val="28"/>
        </w:rPr>
        <w:t>风险防范视角下2020版工程总承包合同全面解读及实操指引</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bCs w:val="0"/>
          <w:color w:val="000000"/>
          <w:sz w:val="28"/>
          <w:szCs w:val="28"/>
        </w:rPr>
      </w:pPr>
      <w:r>
        <w:rPr>
          <w:rFonts w:hint="eastAsia" w:ascii="仿宋" w:hAnsi="仿宋" w:eastAsia="仿宋"/>
          <w:b/>
          <w:bCs w:val="0"/>
          <w:color w:val="000000"/>
          <w:sz w:val="28"/>
          <w:szCs w:val="28"/>
          <w:lang w:val="en-US" w:eastAsia="zh-CN"/>
        </w:rPr>
        <w:t>1.</w:t>
      </w:r>
      <w:r>
        <w:rPr>
          <w:rFonts w:hint="eastAsia" w:ascii="仿宋" w:hAnsi="仿宋" w:eastAsia="仿宋"/>
          <w:b/>
          <w:bCs w:val="0"/>
          <w:color w:val="000000"/>
          <w:sz w:val="28"/>
          <w:szCs w:val="28"/>
        </w:rPr>
        <w:t>合同价格形式相关条款解读及各类价格形式下的实践应对</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lang w:val="en-US" w:eastAsia="zh-CN"/>
        </w:rPr>
        <w:t>1</w:t>
      </w: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rPr>
        <w:t>区分税率，细化合同价格组成</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lang w:val="en-US" w:eastAsia="zh-CN"/>
        </w:rPr>
        <w:t>2</w:t>
      </w: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rPr>
        <w:t>明晰“签约合同价”和“合同价格”的概念和使用</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lang w:val="en-US" w:eastAsia="zh-CN"/>
        </w:rPr>
        <w:t>3</w:t>
      </w: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rPr>
        <w:t>风险识别与防范</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lang w:val="en-US" w:eastAsia="zh-CN"/>
        </w:rPr>
        <w:t>4</w:t>
      </w: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rPr>
        <w:t>合同价格类型及常见类型优缺点分析</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rPr>
        <w:t>固定总价模式</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rPr>
        <w:t>定额计价并按投标下浮率下浮模式</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rPr>
        <w:t>模拟工程量清单模式</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rPr>
        <w:t>成本加酬金模式</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lang w:val="en-US" w:eastAsia="zh-CN"/>
        </w:rPr>
        <w:t>5</w:t>
      </w: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rPr>
        <w:t>合同价格类型的选择建议</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lang w:val="en-US" w:eastAsia="zh-CN"/>
        </w:rPr>
        <w:t>6</w:t>
      </w: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rPr>
        <w:t>十个工程实践中遇到的价格问题详解</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bCs w:val="0"/>
          <w:color w:val="000000"/>
          <w:sz w:val="28"/>
          <w:szCs w:val="28"/>
        </w:rPr>
      </w:pPr>
      <w:r>
        <w:rPr>
          <w:rFonts w:hint="eastAsia" w:ascii="仿宋" w:hAnsi="仿宋" w:eastAsia="仿宋"/>
          <w:b/>
          <w:bCs w:val="0"/>
          <w:color w:val="000000"/>
          <w:sz w:val="28"/>
          <w:szCs w:val="28"/>
          <w:lang w:val="en-US" w:eastAsia="zh-CN"/>
        </w:rPr>
        <w:t>2.</w:t>
      </w:r>
      <w:r>
        <w:rPr>
          <w:rFonts w:hint="eastAsia" w:ascii="仿宋" w:hAnsi="仿宋" w:eastAsia="仿宋"/>
          <w:b/>
          <w:bCs w:val="0"/>
          <w:color w:val="000000"/>
          <w:sz w:val="28"/>
          <w:szCs w:val="28"/>
        </w:rPr>
        <w:t>合同风险分担相关条款解读及风险识别与应对</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lang w:val="en-US" w:eastAsia="zh-CN"/>
        </w:rPr>
        <w:t>1</w:t>
      </w: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rPr>
        <w:t>明确发包人承担资料错误风险，承包人可依约索赔</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lang w:val="en-US" w:eastAsia="zh-CN"/>
        </w:rPr>
        <w:t>2</w:t>
      </w: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rPr>
        <w:t>增加承包人赔偿最高限额，将风险限定在可预见的合理范围内</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lang w:val="en-US" w:eastAsia="zh-CN"/>
        </w:rPr>
        <w:t>3</w:t>
      </w: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rPr>
        <w:t>发包人需提供资金来源证明，合理平衡各方风险</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lang w:val="en-US" w:eastAsia="zh-CN"/>
        </w:rPr>
        <w:t>4</w:t>
      </w: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rPr>
        <w:t>发包人应当提供支付担保及承包人的合同解除权</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lang w:val="en-US" w:eastAsia="zh-CN"/>
        </w:rPr>
        <w:t>5</w:t>
      </w: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rPr>
        <w:t>不可抗力的停工损失改为双方合理分担</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lang w:val="en-US" w:eastAsia="zh-CN"/>
        </w:rPr>
        <w:t>6</w:t>
      </w: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rPr>
        <w:t>不可预见制度或可促进发承包人实现双赢</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lang w:val="en-US" w:eastAsia="zh-CN"/>
        </w:rPr>
        <w:t>7</w:t>
      </w: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rPr>
        <w:t>风险识别与应对</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bCs w:val="0"/>
          <w:color w:val="000000"/>
          <w:sz w:val="28"/>
          <w:szCs w:val="28"/>
        </w:rPr>
      </w:pPr>
      <w:r>
        <w:rPr>
          <w:rFonts w:hint="eastAsia" w:ascii="仿宋" w:hAnsi="仿宋" w:eastAsia="仿宋"/>
          <w:b/>
          <w:bCs w:val="0"/>
          <w:color w:val="000000"/>
          <w:sz w:val="28"/>
          <w:szCs w:val="28"/>
          <w:lang w:val="en-US" w:eastAsia="zh-CN"/>
        </w:rPr>
        <w:t>3.</w:t>
      </w:r>
      <w:r>
        <w:rPr>
          <w:rFonts w:hint="eastAsia" w:ascii="仿宋" w:hAnsi="仿宋" w:eastAsia="仿宋"/>
          <w:b/>
          <w:bCs w:val="0"/>
          <w:color w:val="000000"/>
          <w:sz w:val="28"/>
          <w:szCs w:val="28"/>
        </w:rPr>
        <w:t>合同管理相关条款解读及实操指引</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lang w:val="en-US" w:eastAsia="zh-CN"/>
        </w:rPr>
        <w:t>1</w:t>
      </w: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rPr>
        <w:t>合同新增第三条[发包人的管理]，明确发包人的管理义务</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lang w:val="en-US" w:eastAsia="zh-CN"/>
        </w:rPr>
        <w:t>2</w:t>
      </w: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rPr>
        <w:t>引入并完善[工程师]制度，工程师参与商定确定程序</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lang w:val="en-US" w:eastAsia="zh-CN"/>
        </w:rPr>
        <w:t>3</w:t>
      </w: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rPr>
        <w:t>完善工程总承包项目管理架构，明确关键管理人员定义</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lang w:val="en-US" w:eastAsia="zh-CN"/>
        </w:rPr>
        <w:t>4</w:t>
      </w: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rPr>
        <w:t>增加《发包人要求》等文件作为合同组成部分，减少履行争议</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lang w:val="en-US" w:eastAsia="zh-CN"/>
        </w:rPr>
        <w:t>5</w:t>
      </w: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rPr>
        <w:t>完善设计文件审查和变更制度</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lang w:val="en-US" w:eastAsia="zh-CN"/>
        </w:rPr>
        <w:t>6</w:t>
      </w: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rPr>
        <w:t>统筹项目整体工期安排，强调不得任意压缩工期</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lang w:val="en-US" w:eastAsia="zh-CN"/>
        </w:rPr>
        <w:t>7</w:t>
      </w: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rPr>
        <w:t>细化联合体制度设计，明确联合体责任承担</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lang w:val="en-US" w:eastAsia="zh-CN"/>
        </w:rPr>
        <w:t>8</w:t>
      </w: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rPr>
        <w:t>工程总承包方组织结构的配置</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rPr>
        <w:t>总承包方企业组织机构、管理制度和综合管理能力的要求</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rPr>
        <w:t>总承包方项目管理机构的设置及管理措施</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rPr>
        <w:t>总承包方项目经理的任职条件及任职限制（从企业和个人角度谈起）</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bCs w:val="0"/>
          <w:color w:val="000000"/>
          <w:sz w:val="28"/>
          <w:szCs w:val="28"/>
        </w:rPr>
      </w:pPr>
      <w:r>
        <w:rPr>
          <w:rFonts w:hint="eastAsia" w:ascii="仿宋" w:hAnsi="仿宋" w:eastAsia="仿宋"/>
          <w:b/>
          <w:bCs w:val="0"/>
          <w:color w:val="000000"/>
          <w:sz w:val="28"/>
          <w:szCs w:val="28"/>
          <w:lang w:val="en-US" w:eastAsia="zh-CN"/>
        </w:rPr>
        <w:t>4.</w:t>
      </w:r>
      <w:r>
        <w:rPr>
          <w:rFonts w:hint="eastAsia" w:ascii="仿宋" w:hAnsi="仿宋" w:eastAsia="仿宋"/>
          <w:b/>
          <w:bCs w:val="0"/>
          <w:color w:val="000000"/>
          <w:sz w:val="28"/>
          <w:szCs w:val="28"/>
        </w:rPr>
        <w:t>变更调整相关条款解读及风险应对</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lang w:val="en-US" w:eastAsia="zh-CN"/>
        </w:rPr>
        <w:t>1</w:t>
      </w: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rPr>
        <w:t>细化市场价格波动对合同价格的影响，引入《价格指数权重表》</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lang w:val="en-US" w:eastAsia="zh-CN"/>
        </w:rPr>
        <w:t>2</w:t>
      </w: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rPr>
        <w:t>不再约定工程变更的情形和范围，通过程序要件界定是否构成变更</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lang w:val="en-US" w:eastAsia="zh-CN"/>
        </w:rPr>
        <w:t>3</w:t>
      </w: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rPr>
        <w:t>案例说明设计变更与工程变更的区别与联系</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bCs w:val="0"/>
          <w:color w:val="000000"/>
          <w:sz w:val="28"/>
          <w:szCs w:val="28"/>
        </w:rPr>
      </w:pPr>
      <w:r>
        <w:rPr>
          <w:rFonts w:hint="eastAsia" w:ascii="仿宋" w:hAnsi="仿宋" w:eastAsia="仿宋"/>
          <w:b/>
          <w:bCs w:val="0"/>
          <w:color w:val="000000"/>
          <w:sz w:val="28"/>
          <w:szCs w:val="28"/>
          <w:lang w:val="en-US" w:eastAsia="zh-CN"/>
        </w:rPr>
        <w:t>5.</w:t>
      </w:r>
      <w:r>
        <w:rPr>
          <w:rFonts w:hint="eastAsia" w:ascii="仿宋" w:hAnsi="仿宋" w:eastAsia="仿宋"/>
          <w:b/>
          <w:bCs w:val="0"/>
          <w:color w:val="000000"/>
          <w:sz w:val="28"/>
          <w:szCs w:val="28"/>
        </w:rPr>
        <w:t>竣工验收和缺陷责任相关条款解读及实务要求</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lang w:val="en-US" w:eastAsia="zh-CN"/>
        </w:rPr>
        <w:t>1</w:t>
      </w: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rPr>
        <w:t>理顺了竣工验收相关条款的顺序，细化了相关程序和退场要求</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lang w:val="en-US" w:eastAsia="zh-CN"/>
        </w:rPr>
        <w:t>2</w:t>
      </w: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rPr>
        <w:t>厘清了工程保修责任和缺陷责任，引导使用质量保函</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lang w:val="en-US" w:eastAsia="zh-CN"/>
        </w:rPr>
        <w:t>3</w:t>
      </w: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rPr>
        <w:t>案例说明工完场清的要求</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bCs w:val="0"/>
          <w:color w:val="000000"/>
          <w:sz w:val="28"/>
          <w:szCs w:val="28"/>
        </w:rPr>
      </w:pPr>
      <w:r>
        <w:rPr>
          <w:rFonts w:hint="eastAsia" w:ascii="仿宋" w:hAnsi="仿宋" w:eastAsia="仿宋"/>
          <w:b/>
          <w:bCs w:val="0"/>
          <w:color w:val="000000"/>
          <w:sz w:val="28"/>
          <w:szCs w:val="28"/>
          <w:lang w:val="en-US" w:eastAsia="zh-CN"/>
        </w:rPr>
        <w:t>6.</w:t>
      </w:r>
      <w:r>
        <w:rPr>
          <w:rFonts w:hint="eastAsia" w:ascii="仿宋" w:hAnsi="仿宋" w:eastAsia="仿宋"/>
          <w:b/>
          <w:bCs w:val="0"/>
          <w:color w:val="000000"/>
          <w:sz w:val="28"/>
          <w:szCs w:val="28"/>
        </w:rPr>
        <w:t>保险条款解读</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rPr>
        <w:t>•增加设计责任险、货物保险等，通过保险手段增强项目抗风险能力</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bCs w:val="0"/>
          <w:color w:val="000000"/>
          <w:sz w:val="28"/>
          <w:szCs w:val="28"/>
        </w:rPr>
      </w:pPr>
      <w:r>
        <w:rPr>
          <w:rFonts w:hint="eastAsia" w:ascii="仿宋" w:hAnsi="仿宋" w:eastAsia="仿宋"/>
          <w:b/>
          <w:bCs w:val="0"/>
          <w:color w:val="000000"/>
          <w:sz w:val="28"/>
          <w:szCs w:val="28"/>
          <w:lang w:val="en-US" w:eastAsia="zh-CN"/>
        </w:rPr>
        <w:t>7.</w:t>
      </w:r>
      <w:r>
        <w:rPr>
          <w:rFonts w:hint="eastAsia" w:ascii="仿宋" w:hAnsi="仿宋" w:eastAsia="仿宋"/>
          <w:b/>
          <w:bCs w:val="0"/>
          <w:color w:val="000000"/>
          <w:sz w:val="28"/>
          <w:szCs w:val="28"/>
        </w:rPr>
        <w:t>索赔条款解读</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lang w:val="en-US" w:eastAsia="zh-CN"/>
        </w:rPr>
        <w:t>1</w:t>
      </w: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rPr>
        <w:t>索赔条款独立成条，索赔程序更加注重对等性</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lang w:val="en-US" w:eastAsia="zh-CN"/>
        </w:rPr>
        <w:t>2</w:t>
      </w: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rPr>
        <w:t>风险识别与防范</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lang w:val="en-US" w:eastAsia="zh-CN"/>
        </w:rPr>
        <w:t>3</w:t>
      </w:r>
      <w:r>
        <w:rPr>
          <w:rFonts w:hint="eastAsia" w:ascii="仿宋" w:hAnsi="仿宋" w:eastAsia="仿宋"/>
          <w:b w:val="0"/>
          <w:bCs/>
          <w:color w:val="000000"/>
          <w:sz w:val="28"/>
          <w:szCs w:val="28"/>
          <w:lang w:eastAsia="zh-CN"/>
        </w:rPr>
        <w:t>）</w:t>
      </w:r>
      <w:r>
        <w:rPr>
          <w:rFonts w:hint="eastAsia" w:ascii="仿宋" w:hAnsi="仿宋" w:eastAsia="仿宋"/>
          <w:b w:val="0"/>
          <w:bCs/>
          <w:color w:val="000000"/>
          <w:sz w:val="28"/>
          <w:szCs w:val="28"/>
        </w:rPr>
        <w:t>案例说明视为认可条款的应用</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bCs w:val="0"/>
          <w:color w:val="000000"/>
          <w:sz w:val="28"/>
          <w:szCs w:val="28"/>
        </w:rPr>
      </w:pPr>
      <w:r>
        <w:rPr>
          <w:rFonts w:hint="eastAsia" w:ascii="仿宋" w:hAnsi="仿宋" w:eastAsia="仿宋"/>
          <w:b/>
          <w:bCs w:val="0"/>
          <w:color w:val="000000"/>
          <w:sz w:val="28"/>
          <w:szCs w:val="28"/>
          <w:lang w:val="en-US" w:eastAsia="zh-CN"/>
        </w:rPr>
        <w:t>8.</w:t>
      </w:r>
      <w:r>
        <w:rPr>
          <w:rFonts w:hint="eastAsia" w:ascii="仿宋" w:hAnsi="仿宋" w:eastAsia="仿宋"/>
          <w:b/>
          <w:bCs w:val="0"/>
          <w:color w:val="000000"/>
          <w:sz w:val="28"/>
          <w:szCs w:val="28"/>
        </w:rPr>
        <w:t>争议解决条款解读</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val="0"/>
          <w:bCs/>
          <w:color w:val="000000"/>
          <w:sz w:val="28"/>
          <w:szCs w:val="28"/>
        </w:rPr>
      </w:pPr>
      <w:r>
        <w:rPr>
          <w:rFonts w:hint="eastAsia" w:ascii="仿宋" w:hAnsi="仿宋" w:eastAsia="仿宋"/>
          <w:b w:val="0"/>
          <w:bCs/>
          <w:color w:val="000000"/>
          <w:sz w:val="28"/>
          <w:szCs w:val="28"/>
        </w:rPr>
        <w:t>•引入FIDIC争议评审机制，多元化解决争议，降低争议解决成本</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ascii="仿宋" w:hAnsi="仿宋" w:eastAsia="仿宋"/>
          <w:b/>
          <w:color w:val="000000"/>
          <w:sz w:val="28"/>
          <w:szCs w:val="28"/>
        </w:rPr>
      </w:pPr>
      <w:r>
        <w:rPr>
          <w:rFonts w:hint="eastAsia" w:ascii="仿宋" w:hAnsi="仿宋" w:eastAsia="仿宋"/>
          <w:b/>
          <w:color w:val="000000"/>
          <w:sz w:val="28"/>
          <w:szCs w:val="28"/>
        </w:rPr>
        <w:t>三、培训对象</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ascii="仿宋" w:hAnsi="仿宋" w:eastAsia="仿宋"/>
          <w:bCs/>
          <w:color w:val="000000"/>
          <w:sz w:val="28"/>
          <w:szCs w:val="28"/>
        </w:rPr>
      </w:pPr>
      <w:r>
        <w:rPr>
          <w:rFonts w:hint="eastAsia" w:ascii="仿宋" w:hAnsi="仿宋" w:eastAsia="仿宋"/>
          <w:bCs/>
          <w:color w:val="000000"/>
          <w:sz w:val="28"/>
          <w:szCs w:val="28"/>
        </w:rPr>
        <w:t>1</w:t>
      </w:r>
      <w:r>
        <w:rPr>
          <w:rFonts w:hint="eastAsia" w:ascii="仿宋" w:hAnsi="仿宋" w:eastAsia="仿宋"/>
          <w:bCs/>
          <w:color w:val="000000"/>
          <w:sz w:val="28"/>
          <w:szCs w:val="28"/>
          <w:lang w:eastAsia="zh-CN"/>
        </w:rPr>
        <w:t>.</w:t>
      </w:r>
      <w:r>
        <w:rPr>
          <w:rFonts w:hint="eastAsia" w:ascii="仿宋" w:hAnsi="仿宋" w:eastAsia="仿宋"/>
          <w:bCs/>
          <w:color w:val="000000"/>
          <w:sz w:val="28"/>
          <w:szCs w:val="28"/>
        </w:rPr>
        <w:t>各地方政府有关建设规划、工程管理、市场监督管理等建设项目监管部门，工程勘察、设计、施工、监理单位以及建设工程交易、投资项目评审相关人员；</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ascii="仿宋" w:hAnsi="仿宋" w:eastAsia="仿宋"/>
          <w:bCs/>
          <w:color w:val="000000"/>
          <w:sz w:val="28"/>
          <w:szCs w:val="28"/>
        </w:rPr>
      </w:pPr>
      <w:r>
        <w:rPr>
          <w:rFonts w:hint="eastAsia" w:ascii="仿宋" w:hAnsi="仿宋" w:eastAsia="仿宋"/>
          <w:bCs/>
          <w:color w:val="000000"/>
          <w:sz w:val="28"/>
          <w:szCs w:val="28"/>
        </w:rPr>
        <w:t>2</w:t>
      </w:r>
      <w:r>
        <w:rPr>
          <w:rFonts w:hint="eastAsia" w:ascii="仿宋" w:hAnsi="仿宋" w:eastAsia="仿宋"/>
          <w:bCs/>
          <w:color w:val="000000"/>
          <w:sz w:val="28"/>
          <w:szCs w:val="28"/>
          <w:lang w:eastAsia="zh-CN"/>
        </w:rPr>
        <w:t>.</w:t>
      </w:r>
      <w:r>
        <w:rPr>
          <w:rFonts w:hint="eastAsia" w:ascii="仿宋" w:hAnsi="仿宋" w:eastAsia="仿宋"/>
          <w:bCs/>
          <w:color w:val="000000"/>
          <w:sz w:val="28"/>
          <w:szCs w:val="28"/>
        </w:rPr>
        <w:t>各业主单位从事项目管理、合同管理、工程项目建设、开发、审计等相关部门人员；</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ascii="仿宋" w:hAnsi="仿宋" w:eastAsia="仿宋"/>
          <w:bCs/>
          <w:color w:val="000000"/>
          <w:sz w:val="28"/>
          <w:szCs w:val="28"/>
        </w:rPr>
      </w:pPr>
      <w:r>
        <w:rPr>
          <w:rFonts w:hint="eastAsia" w:ascii="仿宋" w:hAnsi="仿宋" w:eastAsia="仿宋"/>
          <w:bCs/>
          <w:color w:val="000000"/>
          <w:sz w:val="28"/>
          <w:szCs w:val="28"/>
        </w:rPr>
        <w:t>3</w:t>
      </w:r>
      <w:r>
        <w:rPr>
          <w:rFonts w:hint="eastAsia" w:ascii="仿宋" w:hAnsi="仿宋" w:eastAsia="仿宋"/>
          <w:bCs/>
          <w:color w:val="000000"/>
          <w:sz w:val="28"/>
          <w:szCs w:val="28"/>
          <w:lang w:eastAsia="zh-CN"/>
        </w:rPr>
        <w:t>.</w:t>
      </w:r>
      <w:r>
        <w:rPr>
          <w:rFonts w:hint="eastAsia" w:ascii="仿宋" w:hAnsi="仿宋" w:eastAsia="仿宋"/>
          <w:bCs/>
          <w:color w:val="000000"/>
          <w:sz w:val="28"/>
          <w:szCs w:val="28"/>
        </w:rPr>
        <w:t>各建筑设计、施工、设备材料供应、分包等企业领导、项目经理以及从事投标报价、合同谈判、合同管理的工程技术人员，其他工程总承包相关人员；</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ascii="仿宋" w:hAnsi="仿宋" w:eastAsia="仿宋"/>
          <w:bCs/>
          <w:color w:val="000000"/>
          <w:sz w:val="28"/>
          <w:szCs w:val="28"/>
        </w:rPr>
      </w:pPr>
      <w:r>
        <w:rPr>
          <w:rFonts w:hint="eastAsia" w:ascii="仿宋" w:hAnsi="仿宋" w:eastAsia="仿宋"/>
          <w:bCs/>
          <w:color w:val="000000"/>
          <w:sz w:val="28"/>
          <w:szCs w:val="28"/>
        </w:rPr>
        <w:t>4</w:t>
      </w:r>
      <w:r>
        <w:rPr>
          <w:rFonts w:hint="eastAsia" w:ascii="仿宋" w:hAnsi="仿宋" w:eastAsia="仿宋"/>
          <w:bCs/>
          <w:color w:val="000000"/>
          <w:sz w:val="28"/>
          <w:szCs w:val="28"/>
          <w:lang w:eastAsia="zh-CN"/>
        </w:rPr>
        <w:t>.</w:t>
      </w:r>
      <w:r>
        <w:rPr>
          <w:rFonts w:hint="eastAsia" w:ascii="仿宋" w:hAnsi="仿宋" w:eastAsia="仿宋"/>
          <w:bCs/>
          <w:color w:val="000000"/>
          <w:sz w:val="28"/>
          <w:szCs w:val="28"/>
        </w:rPr>
        <w:t>高校、科研单位及工程咨询、律师事务所等机构专业人员。</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ascii="仿宋" w:hAnsi="仿宋" w:eastAsia="仿宋"/>
          <w:b/>
          <w:color w:val="000000"/>
          <w:sz w:val="28"/>
          <w:szCs w:val="28"/>
        </w:rPr>
      </w:pPr>
      <w:r>
        <w:rPr>
          <w:rFonts w:hint="eastAsia" w:ascii="仿宋" w:hAnsi="仿宋" w:eastAsia="仿宋"/>
          <w:b/>
          <w:color w:val="000000"/>
          <w:sz w:val="28"/>
          <w:szCs w:val="28"/>
        </w:rPr>
        <w:t>四、主讲专家介绍</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ascii="仿宋" w:hAnsi="仿宋" w:eastAsia="仿宋"/>
          <w:b/>
          <w:bCs w:val="0"/>
          <w:color w:val="000000"/>
          <w:sz w:val="28"/>
          <w:szCs w:val="28"/>
        </w:rPr>
      </w:pPr>
      <w:r>
        <w:rPr>
          <w:rFonts w:hint="eastAsia" w:ascii="仿宋" w:hAnsi="仿宋" w:eastAsia="仿宋"/>
          <w:b/>
          <w:bCs w:val="0"/>
          <w:color w:val="000000"/>
          <w:sz w:val="28"/>
          <w:szCs w:val="28"/>
        </w:rPr>
        <w:t>主讲人：曹珊</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Cs/>
          <w:color w:val="000000"/>
          <w:sz w:val="28"/>
          <w:szCs w:val="28"/>
        </w:rPr>
      </w:pPr>
      <w:r>
        <w:rPr>
          <w:rFonts w:hint="eastAsia" w:ascii="仿宋" w:hAnsi="仿宋" w:eastAsia="仿宋"/>
          <w:bCs/>
          <w:color w:val="000000"/>
          <w:sz w:val="28"/>
          <w:szCs w:val="28"/>
        </w:rPr>
        <w:t>2020《建设项目工程总承包合同（示范文本）》起草组副组长，中国国际工程咨询协会、北京市金培通信息技术有限责任公司特聘专家，中华全国律师协会建设工程与房地产专业委员会秘书长暨建设工程论坛副主任；高级工程师、土建一级项目经理、土建一级建造师、造价工程师、国际工程高级项目经理（B）、英国皇家测量师、政府和社会资本合作高级项目咨询师、项目投资分析师。</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ascii="仿宋" w:hAnsi="仿宋" w:eastAsia="仿宋"/>
          <w:b/>
          <w:color w:val="000000"/>
          <w:sz w:val="28"/>
          <w:szCs w:val="28"/>
        </w:rPr>
      </w:pPr>
      <w:r>
        <w:rPr>
          <w:rFonts w:hint="eastAsia" w:ascii="仿宋" w:hAnsi="仿宋" w:eastAsia="仿宋"/>
          <w:b/>
          <w:color w:val="000000"/>
          <w:sz w:val="28"/>
          <w:szCs w:val="28"/>
        </w:rPr>
        <w:t>五、培训时间、地点</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cs="仿宋" w:asciiTheme="minorEastAsia" w:hAnsiTheme="minorEastAsia" w:eastAsiaTheme="minorEastAsia"/>
          <w:sz w:val="28"/>
          <w:szCs w:val="28"/>
        </w:rPr>
      </w:pPr>
      <w:r>
        <w:rPr>
          <w:rFonts w:hint="eastAsia" w:ascii="仿宋" w:hAnsi="仿宋" w:eastAsia="仿宋"/>
          <w:bCs/>
          <w:color w:val="000000"/>
          <w:sz w:val="28"/>
          <w:szCs w:val="28"/>
        </w:rPr>
        <w:t>2021年</w:t>
      </w:r>
      <w:r>
        <w:rPr>
          <w:rFonts w:hint="eastAsia" w:ascii="仿宋" w:hAnsi="仿宋" w:eastAsia="仿宋"/>
          <w:bCs/>
          <w:color w:val="000000"/>
          <w:sz w:val="28"/>
          <w:szCs w:val="28"/>
          <w:lang w:val="en-US" w:eastAsia="zh-CN"/>
        </w:rPr>
        <w:t>7</w:t>
      </w:r>
      <w:r>
        <w:rPr>
          <w:rFonts w:hint="eastAsia" w:ascii="仿宋" w:hAnsi="仿宋" w:eastAsia="仿宋"/>
          <w:bCs/>
          <w:color w:val="000000"/>
          <w:sz w:val="28"/>
          <w:szCs w:val="28"/>
        </w:rPr>
        <w:t>月</w:t>
      </w:r>
      <w:r>
        <w:rPr>
          <w:rFonts w:hint="eastAsia" w:ascii="仿宋" w:hAnsi="仿宋" w:eastAsia="仿宋"/>
          <w:bCs/>
          <w:color w:val="000000"/>
          <w:sz w:val="28"/>
          <w:szCs w:val="28"/>
          <w:lang w:val="en-US" w:eastAsia="zh-CN"/>
        </w:rPr>
        <w:t>27</w:t>
      </w:r>
      <w:r>
        <w:rPr>
          <w:rFonts w:hint="eastAsia" w:ascii="仿宋" w:hAnsi="仿宋" w:eastAsia="仿宋"/>
          <w:bCs/>
          <w:color w:val="000000"/>
          <w:sz w:val="28"/>
          <w:szCs w:val="28"/>
        </w:rPr>
        <w:t>日</w:t>
      </w:r>
      <w:r>
        <w:rPr>
          <w:rFonts w:hint="eastAsia" w:ascii="仿宋" w:hAnsi="仿宋" w:eastAsia="仿宋"/>
          <w:bCs/>
          <w:color w:val="000000"/>
          <w:sz w:val="28"/>
          <w:szCs w:val="28"/>
          <w:lang w:eastAsia="zh-CN"/>
        </w:rPr>
        <w:t>—</w:t>
      </w:r>
      <w:r>
        <w:rPr>
          <w:rFonts w:hint="eastAsia" w:ascii="仿宋" w:hAnsi="仿宋" w:eastAsia="仿宋"/>
          <w:bCs/>
          <w:color w:val="000000"/>
          <w:sz w:val="28"/>
          <w:szCs w:val="28"/>
          <w:lang w:val="en-US" w:eastAsia="zh-CN"/>
        </w:rPr>
        <w:t>8</w:t>
      </w:r>
      <w:r>
        <w:rPr>
          <w:rFonts w:hint="eastAsia" w:ascii="仿宋" w:hAnsi="仿宋" w:eastAsia="仿宋"/>
          <w:bCs/>
          <w:color w:val="000000"/>
          <w:sz w:val="28"/>
          <w:szCs w:val="28"/>
        </w:rPr>
        <w:t>月</w:t>
      </w:r>
      <w:r>
        <w:rPr>
          <w:rFonts w:hint="eastAsia" w:ascii="仿宋" w:hAnsi="仿宋" w:eastAsia="仿宋"/>
          <w:bCs/>
          <w:color w:val="000000"/>
          <w:sz w:val="28"/>
          <w:szCs w:val="28"/>
          <w:lang w:val="en-US" w:eastAsia="zh-CN"/>
        </w:rPr>
        <w:t>1</w:t>
      </w:r>
      <w:r>
        <w:rPr>
          <w:rFonts w:hint="eastAsia" w:ascii="仿宋" w:hAnsi="仿宋" w:eastAsia="仿宋"/>
          <w:bCs/>
          <w:color w:val="000000"/>
          <w:sz w:val="28"/>
          <w:szCs w:val="28"/>
        </w:rPr>
        <w:t xml:space="preserve">日 </w:t>
      </w:r>
      <w:r>
        <w:rPr>
          <w:rFonts w:hint="eastAsia" w:cs="仿宋" w:asciiTheme="minorEastAsia" w:hAnsiTheme="minorEastAsia" w:eastAsiaTheme="minorEastAsia"/>
          <w:sz w:val="28"/>
          <w:szCs w:val="28"/>
        </w:rPr>
        <w:t>（</w:t>
      </w:r>
      <w:r>
        <w:rPr>
          <w:rFonts w:hint="eastAsia" w:cs="仿宋" w:asciiTheme="minorEastAsia" w:hAnsiTheme="minorEastAsia" w:eastAsiaTheme="minorEastAsia"/>
          <w:sz w:val="28"/>
          <w:szCs w:val="28"/>
          <w:lang w:val="en-US" w:eastAsia="zh-CN"/>
        </w:rPr>
        <w:t>27</w:t>
      </w:r>
      <w:r>
        <w:rPr>
          <w:rFonts w:hint="eastAsia" w:cs="仿宋" w:asciiTheme="minorEastAsia" w:hAnsiTheme="minorEastAsia" w:eastAsiaTheme="minorEastAsia"/>
          <w:sz w:val="28"/>
          <w:szCs w:val="28"/>
        </w:rPr>
        <w:t>日全天报到）</w:t>
      </w:r>
      <w:r>
        <w:rPr>
          <w:rFonts w:hint="eastAsia" w:cs="仿宋" w:asciiTheme="minorEastAsia" w:hAnsiTheme="minorEastAsia" w:eastAsiaTheme="minorEastAsia"/>
          <w:sz w:val="28"/>
          <w:szCs w:val="28"/>
          <w:lang w:val="en-US" w:eastAsia="zh-CN"/>
        </w:rPr>
        <w:t xml:space="preserve"> 乌鲁木齐</w:t>
      </w:r>
      <w:r>
        <w:rPr>
          <w:rFonts w:hint="eastAsia" w:cs="仿宋" w:asciiTheme="minorEastAsia" w:hAnsiTheme="minorEastAsia" w:eastAsiaTheme="minorEastAsia"/>
          <w:sz w:val="28"/>
          <w:szCs w:val="28"/>
        </w:rPr>
        <w:t xml:space="preserve">市 </w:t>
      </w:r>
    </w:p>
    <w:p>
      <w:pPr>
        <w:keepNext w:val="0"/>
        <w:keepLines w:val="0"/>
        <w:pageBreakBefore w:val="0"/>
        <w:widowControl/>
        <w:kinsoku/>
        <w:wordWrap/>
        <w:overflowPunct/>
        <w:topLinePunct w:val="0"/>
        <w:autoSpaceDE/>
        <w:autoSpaceDN/>
        <w:bidi w:val="0"/>
        <w:adjustRightInd/>
        <w:snapToGrid/>
        <w:spacing w:line="460" w:lineRule="exact"/>
        <w:ind w:firstLine="560" w:firstLineChars="200"/>
        <w:textAlignment w:val="auto"/>
        <w:rPr>
          <w:rFonts w:ascii="仿宋" w:hAnsi="仿宋" w:eastAsia="仿宋"/>
          <w:b/>
          <w:color w:val="000000"/>
          <w:sz w:val="28"/>
          <w:szCs w:val="28"/>
        </w:rPr>
      </w:pPr>
      <w:r>
        <w:rPr>
          <w:rFonts w:hint="eastAsia" w:ascii="仿宋" w:hAnsi="仿宋" w:eastAsia="仿宋"/>
          <w:b/>
          <w:color w:val="000000"/>
          <w:sz w:val="28"/>
          <w:szCs w:val="28"/>
        </w:rPr>
        <w:t xml:space="preserve">六、相关费用标准   </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ascii="仿宋" w:hAnsi="仿宋" w:eastAsia="仿宋"/>
          <w:bCs/>
          <w:color w:val="000000"/>
          <w:sz w:val="28"/>
          <w:szCs w:val="28"/>
        </w:rPr>
      </w:pPr>
      <w:r>
        <w:rPr>
          <w:rFonts w:hint="eastAsia" w:ascii="仿宋" w:hAnsi="仿宋" w:eastAsia="仿宋"/>
          <w:bCs/>
          <w:color w:val="000000"/>
          <w:sz w:val="28"/>
          <w:szCs w:val="28"/>
        </w:rPr>
        <w:t>A：</w:t>
      </w:r>
      <w:r>
        <w:rPr>
          <w:rFonts w:hint="eastAsia" w:ascii="仿宋" w:hAnsi="仿宋" w:eastAsia="仿宋"/>
          <w:bCs/>
          <w:color w:val="000000"/>
          <w:sz w:val="28"/>
          <w:szCs w:val="28"/>
          <w:lang w:val="en-US" w:eastAsia="zh-CN"/>
        </w:rPr>
        <w:t>3600</w:t>
      </w:r>
      <w:r>
        <w:rPr>
          <w:rFonts w:hint="eastAsia" w:ascii="仿宋" w:hAnsi="仿宋" w:eastAsia="仿宋"/>
          <w:bCs/>
          <w:color w:val="000000"/>
          <w:sz w:val="28"/>
          <w:szCs w:val="28"/>
        </w:rPr>
        <w:t>元/人（含培训费、场地费、资料费、专家、结业证书、会议期间午餐等）</w:t>
      </w:r>
      <w:r>
        <w:rPr>
          <w:rFonts w:hint="eastAsia" w:ascii="仿宋" w:hAnsi="仿宋" w:eastAsia="仿宋"/>
          <w:bCs/>
          <w:color w:val="000000"/>
          <w:sz w:val="28"/>
          <w:szCs w:val="28"/>
          <w:lang w:eastAsia="zh-CN"/>
        </w:rPr>
        <w:t>，住</w:t>
      </w:r>
      <w:r>
        <w:rPr>
          <w:rFonts w:hint="eastAsia" w:ascii="仿宋" w:hAnsi="仿宋" w:eastAsia="仿宋"/>
          <w:bCs/>
          <w:color w:val="000000"/>
          <w:sz w:val="28"/>
          <w:szCs w:val="28"/>
        </w:rPr>
        <w:t>宿统一安排，费用自理。</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Cs/>
          <w:color w:val="000000"/>
          <w:sz w:val="28"/>
          <w:szCs w:val="28"/>
          <w:lang w:eastAsia="zh-CN"/>
        </w:rPr>
      </w:pPr>
      <w:r>
        <w:rPr>
          <w:rFonts w:hint="eastAsia" w:ascii="仿宋" w:hAnsi="仿宋" w:eastAsia="仿宋"/>
          <w:bCs/>
          <w:color w:val="000000"/>
          <w:sz w:val="28"/>
          <w:szCs w:val="28"/>
        </w:rPr>
        <w:t>B：</w:t>
      </w:r>
      <w:r>
        <w:rPr>
          <w:rFonts w:hint="eastAsia" w:ascii="仿宋" w:hAnsi="仿宋" w:eastAsia="仿宋"/>
          <w:bCs/>
          <w:color w:val="000000"/>
          <w:sz w:val="28"/>
          <w:szCs w:val="28"/>
          <w:lang w:val="en-US" w:eastAsia="zh-CN"/>
        </w:rPr>
        <w:t>4600</w:t>
      </w:r>
      <w:r>
        <w:rPr>
          <w:rFonts w:hint="eastAsia" w:ascii="仿宋" w:hAnsi="仿宋" w:eastAsia="仿宋"/>
          <w:bCs/>
          <w:color w:val="000000"/>
          <w:sz w:val="28"/>
          <w:szCs w:val="28"/>
        </w:rPr>
        <w:t>元/人（含培训费、场地费、资料费、专家、</w:t>
      </w:r>
      <w:r>
        <w:rPr>
          <w:rFonts w:hint="eastAsia" w:ascii="仿宋" w:hAnsi="仿宋" w:eastAsia="仿宋"/>
          <w:bCs/>
          <w:color w:val="000000"/>
          <w:sz w:val="28"/>
          <w:szCs w:val="28"/>
          <w:lang w:eastAsia="zh-CN"/>
        </w:rPr>
        <w:t>一项</w:t>
      </w:r>
      <w:r>
        <w:rPr>
          <w:rFonts w:hint="eastAsia" w:ascii="仿宋" w:hAnsi="仿宋" w:eastAsia="仿宋"/>
          <w:bCs/>
          <w:color w:val="000000"/>
          <w:sz w:val="28"/>
          <w:szCs w:val="28"/>
        </w:rPr>
        <w:t>岗位证书、会议期间午餐等）</w:t>
      </w:r>
      <w:r>
        <w:rPr>
          <w:rFonts w:hint="eastAsia" w:ascii="仿宋" w:hAnsi="仿宋" w:eastAsia="仿宋"/>
          <w:bCs/>
          <w:color w:val="000000"/>
          <w:sz w:val="28"/>
          <w:szCs w:val="28"/>
          <w:lang w:eastAsia="zh-CN"/>
        </w:rPr>
        <w:t>，住</w:t>
      </w:r>
      <w:r>
        <w:rPr>
          <w:rFonts w:hint="eastAsia" w:ascii="仿宋" w:hAnsi="仿宋" w:eastAsia="仿宋"/>
          <w:bCs/>
          <w:color w:val="000000"/>
          <w:sz w:val="28"/>
          <w:szCs w:val="28"/>
        </w:rPr>
        <w:t>宿统一安排，费用自理。</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Cs/>
          <w:color w:val="000000"/>
          <w:sz w:val="28"/>
          <w:szCs w:val="28"/>
        </w:rPr>
      </w:pPr>
      <w:r>
        <w:rPr>
          <w:rFonts w:hint="eastAsia" w:ascii="仿宋" w:hAnsi="仿宋" w:eastAsia="仿宋"/>
          <w:bCs/>
          <w:color w:val="000000"/>
          <w:sz w:val="28"/>
          <w:szCs w:val="28"/>
        </w:rPr>
        <w:t>C：</w:t>
      </w:r>
      <w:r>
        <w:rPr>
          <w:rFonts w:hint="eastAsia" w:ascii="仿宋" w:hAnsi="仿宋" w:eastAsia="仿宋"/>
          <w:bCs/>
          <w:color w:val="000000"/>
          <w:sz w:val="28"/>
          <w:szCs w:val="28"/>
          <w:lang w:val="en-US" w:eastAsia="zh-CN"/>
        </w:rPr>
        <w:t>6980</w:t>
      </w:r>
      <w:r>
        <w:rPr>
          <w:rFonts w:hint="eastAsia" w:ascii="仿宋" w:hAnsi="仿宋" w:eastAsia="仿宋"/>
          <w:bCs/>
          <w:color w:val="000000"/>
          <w:sz w:val="28"/>
          <w:szCs w:val="28"/>
        </w:rPr>
        <w:t>元/人（含培训费、场地费、资料费、</w:t>
      </w:r>
      <w:r>
        <w:rPr>
          <w:rFonts w:hint="eastAsia" w:ascii="仿宋" w:hAnsi="仿宋" w:eastAsia="仿宋"/>
          <w:bCs/>
          <w:color w:val="000000"/>
          <w:sz w:val="28"/>
          <w:szCs w:val="28"/>
          <w:lang w:eastAsia="zh-CN"/>
        </w:rPr>
        <w:t>专家</w:t>
      </w:r>
      <w:r>
        <w:rPr>
          <w:rFonts w:hint="eastAsia" w:ascii="仿宋" w:hAnsi="仿宋" w:eastAsia="仿宋"/>
          <w:bCs/>
          <w:color w:val="000000"/>
          <w:sz w:val="28"/>
          <w:szCs w:val="28"/>
        </w:rPr>
        <w:t>、</w:t>
      </w:r>
      <w:r>
        <w:rPr>
          <w:rFonts w:hint="eastAsia" w:ascii="仿宋" w:hAnsi="仿宋" w:eastAsia="仿宋"/>
          <w:bCs/>
          <w:color w:val="000000"/>
          <w:sz w:val="28"/>
          <w:szCs w:val="28"/>
          <w:lang w:eastAsia="zh-CN"/>
        </w:rPr>
        <w:t>交流、结业</w:t>
      </w:r>
      <w:r>
        <w:rPr>
          <w:rFonts w:hint="eastAsia" w:ascii="仿宋" w:hAnsi="仿宋" w:eastAsia="仿宋"/>
          <w:bCs/>
          <w:color w:val="000000"/>
          <w:sz w:val="28"/>
          <w:szCs w:val="28"/>
        </w:rPr>
        <w:t>证书</w:t>
      </w:r>
      <w:r>
        <w:rPr>
          <w:rFonts w:hint="eastAsia" w:ascii="仿宋" w:hAnsi="仿宋" w:eastAsia="仿宋"/>
          <w:bCs/>
          <w:color w:val="000000"/>
          <w:sz w:val="28"/>
          <w:szCs w:val="28"/>
          <w:lang w:eastAsia="zh-CN"/>
        </w:rPr>
        <w:t>、</w:t>
      </w:r>
      <w:r>
        <w:rPr>
          <w:rFonts w:hint="eastAsia" w:ascii="仿宋" w:hAnsi="仿宋" w:eastAsia="仿宋"/>
          <w:bCs/>
          <w:color w:val="000000"/>
          <w:sz w:val="28"/>
          <w:szCs w:val="28"/>
        </w:rPr>
        <w:t>会议期间食宿等）。</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ascii="仿宋" w:hAnsi="仿宋" w:eastAsia="仿宋"/>
          <w:bCs/>
          <w:color w:val="000000"/>
          <w:sz w:val="28"/>
          <w:szCs w:val="28"/>
        </w:rPr>
      </w:pPr>
      <w:r>
        <w:rPr>
          <w:rFonts w:hint="eastAsia" w:ascii="仿宋" w:hAnsi="仿宋" w:eastAsia="仿宋"/>
          <w:b/>
          <w:bCs w:val="0"/>
          <w:color w:val="000000"/>
          <w:sz w:val="28"/>
          <w:szCs w:val="28"/>
          <w:lang w:eastAsia="zh-CN"/>
        </w:rPr>
        <w:t>备注：</w:t>
      </w:r>
      <w:r>
        <w:rPr>
          <w:rFonts w:hint="eastAsia" w:ascii="仿宋" w:hAnsi="仿宋" w:eastAsia="仿宋"/>
          <w:bCs/>
          <w:color w:val="000000"/>
          <w:sz w:val="28"/>
          <w:szCs w:val="28"/>
        </w:rPr>
        <w:t>参加培训</w:t>
      </w:r>
      <w:r>
        <w:rPr>
          <w:rFonts w:hint="eastAsia" w:ascii="仿宋" w:hAnsi="仿宋" w:eastAsia="仿宋"/>
          <w:bCs/>
          <w:color w:val="000000"/>
          <w:sz w:val="28"/>
          <w:szCs w:val="28"/>
          <w:lang w:eastAsia="zh-CN"/>
        </w:rPr>
        <w:t>，</w:t>
      </w:r>
      <w:r>
        <w:rPr>
          <w:rFonts w:hint="eastAsia" w:ascii="仿宋" w:hAnsi="仿宋" w:eastAsia="仿宋"/>
          <w:bCs/>
          <w:color w:val="000000"/>
          <w:sz w:val="28"/>
          <w:szCs w:val="28"/>
        </w:rPr>
        <w:t>考试成绩合格发证书，2800元/人（证书由我会颁发“《合同经理》、《商务经理》、《工程总承包项目经理》”。岗位证书申报材料：报名表、2寸照片（白底免冠彩照）、身份证正反面、学历证书，以上报名材料均需电子版。</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ascii="仿宋" w:hAnsi="仿宋" w:eastAsia="仿宋"/>
          <w:b/>
          <w:bCs w:val="0"/>
          <w:color w:val="000000"/>
          <w:sz w:val="28"/>
          <w:szCs w:val="28"/>
        </w:rPr>
      </w:pPr>
      <w:r>
        <w:rPr>
          <w:rFonts w:hint="eastAsia" w:ascii="仿宋" w:hAnsi="仿宋" w:eastAsia="仿宋"/>
          <w:b/>
          <w:bCs w:val="0"/>
          <w:color w:val="000000"/>
          <w:sz w:val="28"/>
          <w:szCs w:val="28"/>
        </w:rPr>
        <w:t xml:space="preserve">费用可汇至以下账户或报到时以现金方式缴纳  </w:t>
      </w:r>
    </w:p>
    <w:p>
      <w:pPr>
        <w:keepNext w:val="0"/>
        <w:keepLines w:val="0"/>
        <w:pageBreakBefore w:val="0"/>
        <w:kinsoku/>
        <w:wordWrap/>
        <w:overflowPunct/>
        <w:topLinePunct w:val="0"/>
        <w:autoSpaceDE/>
        <w:autoSpaceDN/>
        <w:bidi w:val="0"/>
        <w:adjustRightInd/>
        <w:snapToGrid/>
        <w:spacing w:line="460" w:lineRule="exact"/>
        <w:ind w:firstLine="1120" w:firstLineChars="400"/>
        <w:textAlignment w:val="auto"/>
        <w:rPr>
          <w:rFonts w:hint="eastAsia" w:ascii="仿宋" w:hAnsi="仿宋" w:eastAsia="仿宋" w:cs="Times New Roman"/>
          <w:bCs/>
          <w:color w:val="000000"/>
          <w:sz w:val="28"/>
          <w:szCs w:val="28"/>
        </w:rPr>
      </w:pPr>
      <w:r>
        <w:rPr>
          <w:rFonts w:hint="eastAsia" w:ascii="仿宋" w:hAnsi="仿宋" w:eastAsia="仿宋" w:cs="Times New Roman"/>
          <w:bCs/>
          <w:color w:val="000000"/>
          <w:sz w:val="28"/>
          <w:szCs w:val="28"/>
        </w:rPr>
        <w:t xml:space="preserve">开户名称：北京中建科信信息咨询中心 </w:t>
      </w:r>
    </w:p>
    <w:p>
      <w:pPr>
        <w:keepNext w:val="0"/>
        <w:keepLines w:val="0"/>
        <w:pageBreakBefore w:val="0"/>
        <w:kinsoku/>
        <w:wordWrap/>
        <w:overflowPunct/>
        <w:topLinePunct w:val="0"/>
        <w:autoSpaceDE/>
        <w:autoSpaceDN/>
        <w:bidi w:val="0"/>
        <w:adjustRightInd/>
        <w:snapToGrid/>
        <w:spacing w:line="460" w:lineRule="exact"/>
        <w:ind w:firstLine="1120" w:firstLineChars="400"/>
        <w:textAlignment w:val="auto"/>
        <w:rPr>
          <w:rFonts w:hint="eastAsia" w:ascii="仿宋" w:hAnsi="仿宋" w:eastAsia="仿宋" w:cs="Times New Roman"/>
          <w:bCs/>
          <w:color w:val="000000"/>
          <w:sz w:val="28"/>
          <w:szCs w:val="28"/>
          <w:lang w:eastAsia="zh-CN"/>
        </w:rPr>
      </w:pPr>
      <w:r>
        <w:rPr>
          <w:rFonts w:hint="eastAsia" w:ascii="仿宋" w:hAnsi="仿宋" w:eastAsia="仿宋" w:cs="Times New Roman"/>
          <w:bCs/>
          <w:color w:val="000000"/>
          <w:sz w:val="28"/>
          <w:szCs w:val="28"/>
        </w:rPr>
        <w:t>开户银行：北京农村商业银行</w:t>
      </w:r>
      <w:r>
        <w:rPr>
          <w:rFonts w:hint="eastAsia" w:ascii="仿宋" w:hAnsi="仿宋" w:eastAsia="仿宋" w:cs="Times New Roman"/>
          <w:bCs/>
          <w:color w:val="000000"/>
          <w:sz w:val="28"/>
          <w:szCs w:val="28"/>
          <w:lang w:eastAsia="zh-CN"/>
        </w:rPr>
        <w:t>海淀支行</w:t>
      </w:r>
    </w:p>
    <w:p>
      <w:pPr>
        <w:keepNext w:val="0"/>
        <w:keepLines w:val="0"/>
        <w:pageBreakBefore w:val="0"/>
        <w:kinsoku/>
        <w:wordWrap/>
        <w:overflowPunct/>
        <w:topLinePunct w:val="0"/>
        <w:autoSpaceDE/>
        <w:autoSpaceDN/>
        <w:bidi w:val="0"/>
        <w:adjustRightInd/>
        <w:snapToGrid/>
        <w:spacing w:line="460" w:lineRule="exact"/>
        <w:ind w:firstLine="1120" w:firstLineChars="400"/>
        <w:textAlignment w:val="auto"/>
        <w:rPr>
          <w:rFonts w:hint="eastAsia" w:ascii="仿宋" w:hAnsi="仿宋" w:eastAsia="仿宋" w:cs="Times New Roman"/>
          <w:bCs/>
          <w:color w:val="000000"/>
          <w:sz w:val="28"/>
          <w:szCs w:val="28"/>
        </w:rPr>
      </w:pPr>
      <w:r>
        <w:rPr>
          <w:rFonts w:hint="eastAsia" w:ascii="仿宋" w:hAnsi="仿宋" w:eastAsia="仿宋" w:cs="Times New Roman"/>
          <w:bCs/>
          <w:color w:val="000000"/>
          <w:sz w:val="28"/>
          <w:szCs w:val="28"/>
        </w:rPr>
        <w:t>帐    号：0405 0401 0300 0007 362</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pPr>
      <w:r>
        <w:rPr>
          <w:rFonts w:hint="eastAsia" w:ascii="仿宋" w:hAnsi="仿宋" w:eastAsia="仿宋"/>
          <w:b/>
          <w:color w:val="000000"/>
          <w:sz w:val="28"/>
          <w:szCs w:val="28"/>
        </w:rPr>
        <w:t>七、联系方式</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 xml:space="preserve">报名负责人：聂红军 主任18211071700（微信）   </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 xml:space="preserve">电  话：010-87697580      邮    箱：zqgphwz@126.com  </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_GB2312"/>
          <w:sz w:val="28"/>
          <w:szCs w:val="28"/>
        </w:rPr>
      </w:pPr>
      <w:r>
        <w:rPr>
          <w:rFonts w:hint="eastAsia" w:ascii="仿宋" w:hAnsi="仿宋" w:eastAsia="仿宋" w:cs="仿宋_GB2312"/>
          <w:sz w:val="28"/>
          <w:szCs w:val="28"/>
        </w:rPr>
        <w:t xml:space="preserve">qq咨询：3177524020        网址查询：http://www.zqgpchina.cn/ </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_GB2312"/>
          <w:sz w:val="28"/>
          <w:szCs w:val="28"/>
        </w:rPr>
      </w:pPr>
      <w:r>
        <w:rPr>
          <w:rFonts w:hint="eastAsia" w:ascii="宋体" w:hAnsi="宋体"/>
          <w:sz w:val="28"/>
          <w:szCs w:val="28"/>
        </w:rPr>
        <w:drawing>
          <wp:anchor distT="0" distB="0" distL="114300" distR="114300" simplePos="0" relativeHeight="251660288" behindDoc="1" locked="0" layoutInCell="1" allowOverlap="1">
            <wp:simplePos x="0" y="0"/>
            <wp:positionH relativeFrom="column">
              <wp:posOffset>3199765</wp:posOffset>
            </wp:positionH>
            <wp:positionV relativeFrom="paragraph">
              <wp:posOffset>373380</wp:posOffset>
            </wp:positionV>
            <wp:extent cx="1537970" cy="1529715"/>
            <wp:effectExtent l="0" t="0" r="5080" b="13335"/>
            <wp:wrapNone/>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4"/>
                    <a:stretch>
                      <a:fillRect/>
                    </a:stretch>
                  </pic:blipFill>
                  <pic:spPr>
                    <a:xfrm>
                      <a:off x="0" y="0"/>
                      <a:ext cx="1537970" cy="1529715"/>
                    </a:xfrm>
                    <a:prstGeom prst="rect">
                      <a:avLst/>
                    </a:prstGeom>
                    <a:noFill/>
                    <a:ln>
                      <a:noFill/>
                    </a:ln>
                  </pic:spPr>
                </pic:pic>
              </a:graphicData>
            </a:graphic>
          </wp:anchor>
        </w:drawing>
      </w:r>
    </w:p>
    <w:p>
      <w:pPr>
        <w:ind w:firstLine="4480" w:firstLineChars="1600"/>
        <w:rPr>
          <w:rFonts w:asciiTheme="minorEastAsia" w:hAnsiTheme="minorEastAsia" w:eastAsiaTheme="minorEastAsia"/>
          <w:sz w:val="28"/>
          <w:szCs w:val="28"/>
        </w:rPr>
      </w:pPr>
    </w:p>
    <w:p>
      <w:pPr>
        <w:ind w:left="0" w:leftChars="0" w:firstLine="4838" w:firstLineChars="1728"/>
        <w:rPr>
          <w:rFonts w:asciiTheme="minorEastAsia" w:hAnsiTheme="minorEastAsia" w:eastAsiaTheme="minorEastAsia"/>
          <w:sz w:val="28"/>
          <w:szCs w:val="28"/>
        </w:rPr>
      </w:pPr>
      <w:r>
        <w:rPr>
          <w:rFonts w:hint="eastAsia" w:asciiTheme="minorEastAsia" w:hAnsiTheme="minorEastAsia" w:eastAsiaTheme="minorEastAsia"/>
          <w:sz w:val="28"/>
          <w:szCs w:val="28"/>
        </w:rPr>
        <w:t>中国国际工程咨询协会</w:t>
      </w:r>
    </w:p>
    <w:p>
      <w:pPr>
        <w:ind w:firstLine="5040" w:firstLineChars="1800"/>
        <w:rPr>
          <w:rFonts w:asciiTheme="minorEastAsia" w:hAnsiTheme="minorEastAsia" w:eastAsiaTheme="minorEastAsia"/>
          <w:sz w:val="28"/>
          <w:szCs w:val="28"/>
        </w:rPr>
      </w:pPr>
      <w:r>
        <w:rPr>
          <w:rFonts w:hint="eastAsia" w:asciiTheme="minorEastAsia" w:hAnsiTheme="minorEastAsia" w:eastAsiaTheme="minorEastAsia"/>
          <w:sz w:val="28"/>
          <w:szCs w:val="28"/>
        </w:rPr>
        <w:t>二零二</w:t>
      </w:r>
      <w:r>
        <w:rPr>
          <w:rFonts w:hint="eastAsia" w:asciiTheme="minorEastAsia" w:hAnsiTheme="minorEastAsia" w:eastAsiaTheme="minorEastAsia"/>
          <w:sz w:val="28"/>
          <w:szCs w:val="28"/>
          <w:lang w:eastAsia="zh-CN"/>
        </w:rPr>
        <w:t>一</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lang w:eastAsia="zh-CN"/>
        </w:rPr>
        <w:t>六</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lang w:eastAsia="zh-CN"/>
        </w:rPr>
        <w:t>一</w:t>
      </w:r>
      <w:r>
        <w:rPr>
          <w:rFonts w:hint="eastAsia" w:asciiTheme="minorEastAsia" w:hAnsiTheme="minorEastAsia" w:eastAsiaTheme="minorEastAsia"/>
          <w:sz w:val="28"/>
          <w:szCs w:val="28"/>
        </w:rPr>
        <w:t>日</w:t>
      </w:r>
    </w:p>
    <w:p>
      <w:pPr>
        <w:widowControl/>
        <w:jc w:val="left"/>
        <w:rPr>
          <w:rFonts w:hint="eastAsia" w:ascii="仿宋" w:hAnsi="仿宋" w:eastAsia="仿宋"/>
          <w:b/>
          <w:sz w:val="28"/>
          <w:szCs w:val="28"/>
        </w:rPr>
      </w:pPr>
    </w:p>
    <w:p>
      <w:pPr>
        <w:widowControl/>
        <w:jc w:val="left"/>
        <w:rPr>
          <w:rFonts w:hint="eastAsia" w:ascii="仿宋" w:hAnsi="仿宋" w:eastAsia="仿宋"/>
          <w:b/>
          <w:sz w:val="28"/>
          <w:szCs w:val="28"/>
        </w:rPr>
      </w:pPr>
    </w:p>
    <w:p>
      <w:pPr>
        <w:widowControl/>
        <w:jc w:val="left"/>
        <w:rPr>
          <w:rFonts w:hint="eastAsia" w:ascii="仿宋" w:hAnsi="仿宋" w:eastAsia="仿宋"/>
          <w:b/>
          <w:sz w:val="28"/>
          <w:szCs w:val="28"/>
        </w:rPr>
      </w:pPr>
    </w:p>
    <w:p>
      <w:pPr>
        <w:widowControl/>
        <w:jc w:val="left"/>
        <w:rPr>
          <w:rFonts w:hint="eastAsia" w:ascii="仿宋" w:hAnsi="仿宋" w:eastAsia="仿宋"/>
          <w:b/>
          <w:sz w:val="28"/>
          <w:szCs w:val="28"/>
        </w:rPr>
      </w:pPr>
    </w:p>
    <w:p>
      <w:pPr>
        <w:widowControl/>
        <w:ind w:left="0" w:leftChars="-400" w:hanging="840" w:hangingChars="300"/>
        <w:jc w:val="left"/>
        <w:rPr>
          <w:rFonts w:ascii="仿宋" w:hAnsi="仿宋" w:eastAsia="仿宋"/>
          <w:sz w:val="28"/>
          <w:szCs w:val="28"/>
        </w:rPr>
      </w:pPr>
      <w:r>
        <w:rPr>
          <w:rFonts w:hint="eastAsia" w:ascii="仿宋" w:hAnsi="仿宋" w:eastAsia="仿宋"/>
          <w:b/>
          <w:sz w:val="28"/>
          <w:szCs w:val="28"/>
        </w:rPr>
        <w:t>附 件：</w:t>
      </w:r>
      <w:r>
        <w:rPr>
          <w:rFonts w:hint="eastAsia" w:ascii="仿宋" w:hAnsi="仿宋" w:eastAsia="仿宋"/>
          <w:sz w:val="28"/>
          <w:szCs w:val="28"/>
        </w:rPr>
        <w:t xml:space="preserve"> </w:t>
      </w:r>
    </w:p>
    <w:p>
      <w:pPr>
        <w:widowControl/>
        <w:spacing w:line="360" w:lineRule="exact"/>
        <w:jc w:val="center"/>
        <w:rPr>
          <w:rFonts w:ascii="仿宋" w:hAnsi="仿宋" w:eastAsia="仿宋"/>
          <w:sz w:val="28"/>
          <w:szCs w:val="28"/>
        </w:rPr>
      </w:pPr>
      <w:r>
        <w:rPr>
          <w:rFonts w:hint="eastAsia" w:ascii="仿宋" w:hAnsi="仿宋" w:eastAsia="仿宋"/>
          <w:b/>
          <w:sz w:val="30"/>
          <w:szCs w:val="30"/>
        </w:rPr>
        <w:t>《新基建建设的法律风险防控实务及工程总承包全过程</w:t>
      </w:r>
      <w:r>
        <w:rPr>
          <w:rFonts w:hint="eastAsia" w:ascii="仿宋" w:hAnsi="仿宋" w:eastAsia="仿宋"/>
          <w:b/>
          <w:sz w:val="30"/>
          <w:szCs w:val="30"/>
          <w:lang w:eastAsia="zh-CN"/>
        </w:rPr>
        <w:t>管控</w:t>
      </w:r>
      <w:r>
        <w:rPr>
          <w:rFonts w:hint="eastAsia" w:ascii="仿宋" w:hAnsi="仿宋" w:eastAsia="仿宋"/>
          <w:b/>
          <w:sz w:val="30"/>
          <w:szCs w:val="30"/>
        </w:rPr>
        <w:t>签约履约风险应对》实操培训班报名表</w:t>
      </w:r>
    </w:p>
    <w:tbl>
      <w:tblPr>
        <w:tblStyle w:val="5"/>
        <w:tblpPr w:leftFromText="180" w:rightFromText="180" w:vertAnchor="text" w:horzAnchor="page" w:tblpX="892" w:tblpY="324"/>
        <w:tblOverlap w:val="never"/>
        <w:tblW w:w="10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1174"/>
        <w:gridCol w:w="12"/>
        <w:gridCol w:w="1120"/>
        <w:gridCol w:w="904"/>
        <w:gridCol w:w="1367"/>
        <w:gridCol w:w="1185"/>
        <w:gridCol w:w="1133"/>
        <w:gridCol w:w="292"/>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568" w:type="dxa"/>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单位名称</w:t>
            </w:r>
          </w:p>
        </w:tc>
        <w:tc>
          <w:tcPr>
            <w:tcW w:w="4577" w:type="dxa"/>
            <w:gridSpan w:val="5"/>
            <w:vAlign w:val="center"/>
          </w:tcPr>
          <w:p>
            <w:pPr>
              <w:spacing w:line="360" w:lineRule="exact"/>
              <w:jc w:val="center"/>
              <w:rPr>
                <w:rFonts w:ascii="仿宋" w:hAnsi="仿宋" w:eastAsia="仿宋"/>
                <w:bCs/>
                <w:sz w:val="28"/>
                <w:szCs w:val="28"/>
              </w:rPr>
            </w:pPr>
          </w:p>
        </w:tc>
        <w:tc>
          <w:tcPr>
            <w:tcW w:w="2318" w:type="dxa"/>
            <w:gridSpan w:val="2"/>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行业类别</w:t>
            </w:r>
          </w:p>
        </w:tc>
        <w:tc>
          <w:tcPr>
            <w:tcW w:w="1859" w:type="dxa"/>
            <w:gridSpan w:val="2"/>
            <w:vAlign w:val="center"/>
          </w:tcPr>
          <w:p>
            <w:pPr>
              <w:spacing w:line="36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568" w:type="dxa"/>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通讯地址</w:t>
            </w:r>
          </w:p>
        </w:tc>
        <w:tc>
          <w:tcPr>
            <w:tcW w:w="4577" w:type="dxa"/>
            <w:gridSpan w:val="5"/>
            <w:vAlign w:val="center"/>
          </w:tcPr>
          <w:p>
            <w:pPr>
              <w:spacing w:line="360" w:lineRule="exact"/>
              <w:ind w:firstLine="1400" w:firstLineChars="500"/>
              <w:rPr>
                <w:rFonts w:ascii="仿宋" w:hAnsi="仿宋" w:eastAsia="仿宋"/>
                <w:bCs/>
                <w:sz w:val="28"/>
                <w:szCs w:val="28"/>
              </w:rPr>
            </w:pPr>
          </w:p>
        </w:tc>
        <w:tc>
          <w:tcPr>
            <w:tcW w:w="2318" w:type="dxa"/>
            <w:gridSpan w:val="2"/>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邮编</w:t>
            </w:r>
          </w:p>
        </w:tc>
        <w:tc>
          <w:tcPr>
            <w:tcW w:w="1859" w:type="dxa"/>
            <w:gridSpan w:val="2"/>
            <w:vAlign w:val="center"/>
          </w:tcPr>
          <w:p>
            <w:pPr>
              <w:spacing w:line="36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568" w:type="dxa"/>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联 系 人</w:t>
            </w:r>
          </w:p>
        </w:tc>
        <w:tc>
          <w:tcPr>
            <w:tcW w:w="1174" w:type="dxa"/>
            <w:vAlign w:val="center"/>
          </w:tcPr>
          <w:p>
            <w:pPr>
              <w:spacing w:line="360" w:lineRule="exact"/>
              <w:rPr>
                <w:rFonts w:ascii="仿宋" w:hAnsi="仿宋" w:eastAsia="仿宋"/>
                <w:bCs/>
                <w:sz w:val="28"/>
                <w:szCs w:val="28"/>
              </w:rPr>
            </w:pPr>
          </w:p>
        </w:tc>
        <w:tc>
          <w:tcPr>
            <w:tcW w:w="1132" w:type="dxa"/>
            <w:gridSpan w:val="2"/>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部 门</w:t>
            </w:r>
          </w:p>
        </w:tc>
        <w:tc>
          <w:tcPr>
            <w:tcW w:w="904" w:type="dxa"/>
            <w:vAlign w:val="center"/>
          </w:tcPr>
          <w:p>
            <w:pPr>
              <w:spacing w:line="360" w:lineRule="exact"/>
              <w:rPr>
                <w:rFonts w:ascii="仿宋" w:hAnsi="仿宋" w:eastAsia="仿宋"/>
                <w:bCs/>
                <w:sz w:val="28"/>
                <w:szCs w:val="28"/>
              </w:rPr>
            </w:pPr>
          </w:p>
        </w:tc>
        <w:tc>
          <w:tcPr>
            <w:tcW w:w="1367" w:type="dxa"/>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职 务</w:t>
            </w:r>
          </w:p>
        </w:tc>
        <w:tc>
          <w:tcPr>
            <w:tcW w:w="1185" w:type="dxa"/>
            <w:vAlign w:val="center"/>
          </w:tcPr>
          <w:p>
            <w:pPr>
              <w:spacing w:line="360" w:lineRule="exact"/>
              <w:rPr>
                <w:rFonts w:ascii="仿宋" w:hAnsi="仿宋" w:eastAsia="仿宋"/>
                <w:bCs/>
                <w:sz w:val="28"/>
                <w:szCs w:val="28"/>
              </w:rPr>
            </w:pPr>
          </w:p>
        </w:tc>
        <w:tc>
          <w:tcPr>
            <w:tcW w:w="1133" w:type="dxa"/>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手机</w:t>
            </w:r>
          </w:p>
        </w:tc>
        <w:tc>
          <w:tcPr>
            <w:tcW w:w="1859" w:type="dxa"/>
            <w:gridSpan w:val="2"/>
            <w:vAlign w:val="center"/>
          </w:tcPr>
          <w:p>
            <w:pPr>
              <w:spacing w:line="36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568" w:type="dxa"/>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电话/区号</w:t>
            </w:r>
          </w:p>
        </w:tc>
        <w:tc>
          <w:tcPr>
            <w:tcW w:w="3210" w:type="dxa"/>
            <w:gridSpan w:val="4"/>
            <w:vAlign w:val="center"/>
          </w:tcPr>
          <w:p>
            <w:pPr>
              <w:spacing w:line="360" w:lineRule="exact"/>
              <w:jc w:val="center"/>
              <w:rPr>
                <w:rFonts w:ascii="仿宋" w:hAnsi="仿宋" w:eastAsia="仿宋"/>
                <w:bCs/>
                <w:sz w:val="28"/>
                <w:szCs w:val="28"/>
              </w:rPr>
            </w:pPr>
          </w:p>
        </w:tc>
        <w:tc>
          <w:tcPr>
            <w:tcW w:w="1367" w:type="dxa"/>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传 真</w:t>
            </w:r>
          </w:p>
        </w:tc>
        <w:tc>
          <w:tcPr>
            <w:tcW w:w="1185" w:type="dxa"/>
            <w:vAlign w:val="center"/>
          </w:tcPr>
          <w:p>
            <w:pPr>
              <w:spacing w:line="360" w:lineRule="exact"/>
              <w:jc w:val="center"/>
              <w:rPr>
                <w:rFonts w:ascii="仿宋" w:hAnsi="仿宋" w:eastAsia="仿宋"/>
                <w:bCs/>
                <w:sz w:val="28"/>
                <w:szCs w:val="28"/>
              </w:rPr>
            </w:pPr>
          </w:p>
        </w:tc>
        <w:tc>
          <w:tcPr>
            <w:tcW w:w="1133" w:type="dxa"/>
            <w:vAlign w:val="center"/>
          </w:tcPr>
          <w:p>
            <w:pPr>
              <w:spacing w:line="360" w:lineRule="exact"/>
              <w:rPr>
                <w:rFonts w:ascii="仿宋" w:hAnsi="仿宋" w:eastAsia="仿宋"/>
                <w:bCs/>
                <w:sz w:val="28"/>
                <w:szCs w:val="28"/>
              </w:rPr>
            </w:pPr>
            <w:r>
              <w:rPr>
                <w:rFonts w:hint="eastAsia" w:ascii="仿宋" w:hAnsi="仿宋" w:eastAsia="仿宋"/>
                <w:bCs/>
                <w:sz w:val="28"/>
                <w:szCs w:val="28"/>
              </w:rPr>
              <w:t>E-mail</w:t>
            </w:r>
          </w:p>
        </w:tc>
        <w:tc>
          <w:tcPr>
            <w:tcW w:w="1859" w:type="dxa"/>
            <w:gridSpan w:val="2"/>
            <w:vAlign w:val="center"/>
          </w:tcPr>
          <w:p>
            <w:pPr>
              <w:spacing w:line="36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568" w:type="dxa"/>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姓  名</w:t>
            </w:r>
          </w:p>
        </w:tc>
        <w:tc>
          <w:tcPr>
            <w:tcW w:w="1186" w:type="dxa"/>
            <w:gridSpan w:val="2"/>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性 别</w:t>
            </w:r>
          </w:p>
        </w:tc>
        <w:tc>
          <w:tcPr>
            <w:tcW w:w="2024" w:type="dxa"/>
            <w:gridSpan w:val="2"/>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职务</w:t>
            </w:r>
          </w:p>
        </w:tc>
        <w:tc>
          <w:tcPr>
            <w:tcW w:w="3977" w:type="dxa"/>
            <w:gridSpan w:val="4"/>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联系电话</w:t>
            </w:r>
          </w:p>
        </w:tc>
        <w:tc>
          <w:tcPr>
            <w:tcW w:w="1567" w:type="dxa"/>
            <w:vAlign w:val="center"/>
          </w:tcPr>
          <w:p>
            <w:pPr>
              <w:spacing w:line="360" w:lineRule="exact"/>
              <w:jc w:val="center"/>
              <w:rPr>
                <w:rFonts w:ascii="仿宋" w:hAnsi="仿宋" w:eastAsia="仿宋"/>
                <w:bCs/>
                <w:color w:val="000000"/>
                <w:sz w:val="28"/>
                <w:szCs w:val="28"/>
              </w:rPr>
            </w:pPr>
            <w:r>
              <w:rPr>
                <w:rFonts w:hint="eastAsia" w:ascii="仿宋" w:hAnsi="仿宋" w:eastAsia="仿宋"/>
                <w:bCs/>
                <w:color w:val="000000"/>
                <w:sz w:val="28"/>
                <w:szCs w:val="28"/>
              </w:rPr>
              <w:t>备注/民族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568" w:type="dxa"/>
          </w:tcPr>
          <w:p>
            <w:pPr>
              <w:spacing w:line="360" w:lineRule="exact"/>
              <w:jc w:val="left"/>
              <w:rPr>
                <w:rFonts w:ascii="仿宋" w:hAnsi="仿宋" w:eastAsia="仿宋"/>
                <w:bCs/>
                <w:sz w:val="28"/>
                <w:szCs w:val="28"/>
              </w:rPr>
            </w:pPr>
          </w:p>
        </w:tc>
        <w:tc>
          <w:tcPr>
            <w:tcW w:w="1186" w:type="dxa"/>
            <w:gridSpan w:val="2"/>
          </w:tcPr>
          <w:p>
            <w:pPr>
              <w:spacing w:line="360" w:lineRule="exact"/>
              <w:jc w:val="left"/>
              <w:rPr>
                <w:rFonts w:ascii="仿宋" w:hAnsi="仿宋" w:eastAsia="仿宋"/>
                <w:bCs/>
                <w:sz w:val="28"/>
                <w:szCs w:val="28"/>
              </w:rPr>
            </w:pPr>
          </w:p>
        </w:tc>
        <w:tc>
          <w:tcPr>
            <w:tcW w:w="2024" w:type="dxa"/>
            <w:gridSpan w:val="2"/>
          </w:tcPr>
          <w:p>
            <w:pPr>
              <w:spacing w:line="360" w:lineRule="exact"/>
              <w:jc w:val="left"/>
              <w:rPr>
                <w:rFonts w:ascii="仿宋" w:hAnsi="仿宋" w:eastAsia="仿宋"/>
                <w:bCs/>
                <w:sz w:val="28"/>
                <w:szCs w:val="28"/>
              </w:rPr>
            </w:pPr>
          </w:p>
        </w:tc>
        <w:tc>
          <w:tcPr>
            <w:tcW w:w="3977" w:type="dxa"/>
            <w:gridSpan w:val="4"/>
          </w:tcPr>
          <w:p>
            <w:pPr>
              <w:spacing w:line="360" w:lineRule="exact"/>
              <w:jc w:val="left"/>
              <w:rPr>
                <w:rFonts w:ascii="仿宋" w:hAnsi="仿宋" w:eastAsia="仿宋"/>
                <w:bCs/>
                <w:sz w:val="28"/>
                <w:szCs w:val="28"/>
              </w:rPr>
            </w:pPr>
          </w:p>
        </w:tc>
        <w:tc>
          <w:tcPr>
            <w:tcW w:w="1567" w:type="dxa"/>
          </w:tcPr>
          <w:p>
            <w:pPr>
              <w:spacing w:line="360" w:lineRule="exact"/>
              <w:jc w:val="lef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68" w:type="dxa"/>
          </w:tcPr>
          <w:p>
            <w:pPr>
              <w:spacing w:line="360" w:lineRule="exact"/>
              <w:jc w:val="left"/>
              <w:rPr>
                <w:rFonts w:ascii="仿宋" w:hAnsi="仿宋" w:eastAsia="仿宋"/>
                <w:bCs/>
                <w:sz w:val="28"/>
                <w:szCs w:val="28"/>
              </w:rPr>
            </w:pPr>
          </w:p>
        </w:tc>
        <w:tc>
          <w:tcPr>
            <w:tcW w:w="1186" w:type="dxa"/>
            <w:gridSpan w:val="2"/>
          </w:tcPr>
          <w:p>
            <w:pPr>
              <w:spacing w:line="360" w:lineRule="exact"/>
              <w:jc w:val="left"/>
              <w:rPr>
                <w:rFonts w:ascii="仿宋" w:hAnsi="仿宋" w:eastAsia="仿宋"/>
                <w:bCs/>
                <w:sz w:val="28"/>
                <w:szCs w:val="28"/>
              </w:rPr>
            </w:pPr>
          </w:p>
        </w:tc>
        <w:tc>
          <w:tcPr>
            <w:tcW w:w="2024" w:type="dxa"/>
            <w:gridSpan w:val="2"/>
          </w:tcPr>
          <w:p>
            <w:pPr>
              <w:spacing w:line="360" w:lineRule="exact"/>
              <w:jc w:val="left"/>
              <w:rPr>
                <w:rFonts w:ascii="仿宋" w:hAnsi="仿宋" w:eastAsia="仿宋"/>
                <w:bCs/>
                <w:sz w:val="28"/>
                <w:szCs w:val="28"/>
              </w:rPr>
            </w:pPr>
          </w:p>
        </w:tc>
        <w:tc>
          <w:tcPr>
            <w:tcW w:w="3977" w:type="dxa"/>
            <w:gridSpan w:val="4"/>
          </w:tcPr>
          <w:p>
            <w:pPr>
              <w:spacing w:line="360" w:lineRule="exact"/>
              <w:jc w:val="left"/>
              <w:rPr>
                <w:rFonts w:ascii="仿宋" w:hAnsi="仿宋" w:eastAsia="仿宋"/>
                <w:bCs/>
                <w:sz w:val="28"/>
                <w:szCs w:val="28"/>
              </w:rPr>
            </w:pPr>
          </w:p>
        </w:tc>
        <w:tc>
          <w:tcPr>
            <w:tcW w:w="1567" w:type="dxa"/>
          </w:tcPr>
          <w:p>
            <w:pPr>
              <w:spacing w:line="360" w:lineRule="exact"/>
              <w:jc w:val="lef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68" w:type="dxa"/>
          </w:tcPr>
          <w:p>
            <w:pPr>
              <w:spacing w:line="360" w:lineRule="exact"/>
              <w:jc w:val="left"/>
              <w:rPr>
                <w:rFonts w:ascii="仿宋" w:hAnsi="仿宋" w:eastAsia="仿宋"/>
                <w:bCs/>
                <w:sz w:val="28"/>
                <w:szCs w:val="28"/>
              </w:rPr>
            </w:pPr>
          </w:p>
        </w:tc>
        <w:tc>
          <w:tcPr>
            <w:tcW w:w="1186" w:type="dxa"/>
            <w:gridSpan w:val="2"/>
          </w:tcPr>
          <w:p>
            <w:pPr>
              <w:spacing w:line="360" w:lineRule="exact"/>
              <w:jc w:val="left"/>
              <w:rPr>
                <w:rFonts w:ascii="仿宋" w:hAnsi="仿宋" w:eastAsia="仿宋"/>
                <w:bCs/>
                <w:sz w:val="28"/>
                <w:szCs w:val="28"/>
              </w:rPr>
            </w:pPr>
          </w:p>
        </w:tc>
        <w:tc>
          <w:tcPr>
            <w:tcW w:w="2024" w:type="dxa"/>
            <w:gridSpan w:val="2"/>
          </w:tcPr>
          <w:p>
            <w:pPr>
              <w:spacing w:line="360" w:lineRule="exact"/>
              <w:jc w:val="left"/>
              <w:rPr>
                <w:rFonts w:ascii="仿宋" w:hAnsi="仿宋" w:eastAsia="仿宋"/>
                <w:bCs/>
                <w:sz w:val="28"/>
                <w:szCs w:val="28"/>
              </w:rPr>
            </w:pPr>
          </w:p>
        </w:tc>
        <w:tc>
          <w:tcPr>
            <w:tcW w:w="3977" w:type="dxa"/>
            <w:gridSpan w:val="4"/>
          </w:tcPr>
          <w:p>
            <w:pPr>
              <w:spacing w:line="360" w:lineRule="exact"/>
              <w:jc w:val="left"/>
              <w:rPr>
                <w:rFonts w:ascii="仿宋" w:hAnsi="仿宋" w:eastAsia="仿宋"/>
                <w:bCs/>
                <w:sz w:val="28"/>
                <w:szCs w:val="28"/>
              </w:rPr>
            </w:pPr>
          </w:p>
        </w:tc>
        <w:tc>
          <w:tcPr>
            <w:tcW w:w="1567" w:type="dxa"/>
          </w:tcPr>
          <w:p>
            <w:pPr>
              <w:spacing w:line="360" w:lineRule="exact"/>
              <w:jc w:val="lef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68" w:type="dxa"/>
          </w:tcPr>
          <w:p>
            <w:pPr>
              <w:spacing w:line="360" w:lineRule="exact"/>
              <w:jc w:val="left"/>
              <w:rPr>
                <w:rFonts w:ascii="仿宋" w:hAnsi="仿宋" w:eastAsia="仿宋"/>
                <w:bCs/>
                <w:sz w:val="28"/>
                <w:szCs w:val="28"/>
              </w:rPr>
            </w:pPr>
          </w:p>
        </w:tc>
        <w:tc>
          <w:tcPr>
            <w:tcW w:w="1186" w:type="dxa"/>
            <w:gridSpan w:val="2"/>
          </w:tcPr>
          <w:p>
            <w:pPr>
              <w:spacing w:line="360" w:lineRule="exact"/>
              <w:jc w:val="left"/>
              <w:rPr>
                <w:rFonts w:ascii="仿宋" w:hAnsi="仿宋" w:eastAsia="仿宋"/>
                <w:bCs/>
                <w:sz w:val="28"/>
                <w:szCs w:val="28"/>
              </w:rPr>
            </w:pPr>
          </w:p>
        </w:tc>
        <w:tc>
          <w:tcPr>
            <w:tcW w:w="2024" w:type="dxa"/>
            <w:gridSpan w:val="2"/>
          </w:tcPr>
          <w:p>
            <w:pPr>
              <w:spacing w:line="360" w:lineRule="exact"/>
              <w:jc w:val="left"/>
              <w:rPr>
                <w:rFonts w:ascii="仿宋" w:hAnsi="仿宋" w:eastAsia="仿宋"/>
                <w:bCs/>
                <w:sz w:val="28"/>
                <w:szCs w:val="28"/>
              </w:rPr>
            </w:pPr>
          </w:p>
        </w:tc>
        <w:tc>
          <w:tcPr>
            <w:tcW w:w="3977" w:type="dxa"/>
            <w:gridSpan w:val="4"/>
          </w:tcPr>
          <w:p>
            <w:pPr>
              <w:spacing w:line="360" w:lineRule="exact"/>
              <w:jc w:val="left"/>
              <w:rPr>
                <w:rFonts w:ascii="仿宋" w:hAnsi="仿宋" w:eastAsia="仿宋"/>
                <w:bCs/>
                <w:sz w:val="28"/>
                <w:szCs w:val="28"/>
              </w:rPr>
            </w:pPr>
          </w:p>
        </w:tc>
        <w:tc>
          <w:tcPr>
            <w:tcW w:w="1567" w:type="dxa"/>
          </w:tcPr>
          <w:p>
            <w:pPr>
              <w:spacing w:line="360" w:lineRule="exact"/>
              <w:jc w:val="lef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68" w:type="dxa"/>
          </w:tcPr>
          <w:p>
            <w:pPr>
              <w:spacing w:line="360" w:lineRule="exact"/>
              <w:jc w:val="left"/>
              <w:rPr>
                <w:rFonts w:ascii="仿宋" w:hAnsi="仿宋" w:eastAsia="仿宋"/>
                <w:bCs/>
                <w:sz w:val="28"/>
                <w:szCs w:val="28"/>
              </w:rPr>
            </w:pPr>
          </w:p>
        </w:tc>
        <w:tc>
          <w:tcPr>
            <w:tcW w:w="1186" w:type="dxa"/>
            <w:gridSpan w:val="2"/>
          </w:tcPr>
          <w:p>
            <w:pPr>
              <w:spacing w:line="360" w:lineRule="exact"/>
              <w:jc w:val="left"/>
              <w:rPr>
                <w:rFonts w:ascii="仿宋" w:hAnsi="仿宋" w:eastAsia="仿宋"/>
                <w:bCs/>
                <w:sz w:val="28"/>
                <w:szCs w:val="28"/>
              </w:rPr>
            </w:pPr>
          </w:p>
        </w:tc>
        <w:tc>
          <w:tcPr>
            <w:tcW w:w="2024" w:type="dxa"/>
            <w:gridSpan w:val="2"/>
          </w:tcPr>
          <w:p>
            <w:pPr>
              <w:spacing w:line="360" w:lineRule="exact"/>
              <w:jc w:val="left"/>
              <w:rPr>
                <w:rFonts w:ascii="仿宋" w:hAnsi="仿宋" w:eastAsia="仿宋"/>
                <w:bCs/>
                <w:sz w:val="28"/>
                <w:szCs w:val="28"/>
              </w:rPr>
            </w:pPr>
          </w:p>
        </w:tc>
        <w:tc>
          <w:tcPr>
            <w:tcW w:w="3977" w:type="dxa"/>
            <w:gridSpan w:val="4"/>
          </w:tcPr>
          <w:p>
            <w:pPr>
              <w:spacing w:line="360" w:lineRule="exact"/>
              <w:jc w:val="left"/>
              <w:rPr>
                <w:rFonts w:ascii="仿宋" w:hAnsi="仿宋" w:eastAsia="仿宋"/>
                <w:bCs/>
                <w:sz w:val="28"/>
                <w:szCs w:val="28"/>
              </w:rPr>
            </w:pPr>
          </w:p>
        </w:tc>
        <w:tc>
          <w:tcPr>
            <w:tcW w:w="1567" w:type="dxa"/>
          </w:tcPr>
          <w:p>
            <w:pPr>
              <w:spacing w:line="360" w:lineRule="exact"/>
              <w:jc w:val="lef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568" w:type="dxa"/>
            <w:vAlign w:val="center"/>
          </w:tcPr>
          <w:p>
            <w:pPr>
              <w:spacing w:line="360" w:lineRule="exact"/>
              <w:rPr>
                <w:rFonts w:ascii="仿宋" w:hAnsi="仿宋" w:eastAsia="仿宋"/>
                <w:b/>
                <w:bCs/>
                <w:sz w:val="28"/>
                <w:szCs w:val="28"/>
              </w:rPr>
            </w:pPr>
            <w:r>
              <w:rPr>
                <w:rFonts w:hint="eastAsia" w:ascii="仿宋" w:hAnsi="仿宋" w:eastAsia="仿宋"/>
                <w:b/>
                <w:bCs/>
                <w:sz w:val="28"/>
                <w:szCs w:val="28"/>
              </w:rPr>
              <w:t>发票类别</w:t>
            </w:r>
          </w:p>
        </w:tc>
        <w:tc>
          <w:tcPr>
            <w:tcW w:w="8754" w:type="dxa"/>
            <w:gridSpan w:val="9"/>
          </w:tcPr>
          <w:p>
            <w:pPr>
              <w:spacing w:line="360" w:lineRule="exact"/>
              <w:rPr>
                <w:rFonts w:ascii="仿宋" w:hAnsi="仿宋" w:eastAsia="仿宋"/>
                <w:b/>
                <w:bCs/>
                <w:sz w:val="28"/>
                <w:szCs w:val="28"/>
              </w:rPr>
            </w:pPr>
            <w:r>
              <w:rPr>
                <w:rFonts w:hint="eastAsia" w:ascii="仿宋" w:hAnsi="仿宋" w:eastAsia="仿宋"/>
                <w:b/>
                <w:bCs/>
                <w:sz w:val="28"/>
                <w:szCs w:val="28"/>
              </w:rPr>
              <w:t>增值税（□普通□专用）发票,开票信息如下：</w:t>
            </w:r>
          </w:p>
          <w:p>
            <w:pPr>
              <w:spacing w:line="360" w:lineRule="exact"/>
              <w:rPr>
                <w:rFonts w:ascii="仿宋" w:hAnsi="仿宋" w:eastAsia="仿宋"/>
                <w:b/>
                <w:bCs/>
                <w:sz w:val="28"/>
                <w:szCs w:val="28"/>
              </w:rPr>
            </w:pPr>
            <w:r>
              <w:rPr>
                <w:rFonts w:hint="eastAsia" w:ascii="仿宋" w:hAnsi="仿宋" w:eastAsia="仿宋"/>
                <w:b/>
                <w:bCs/>
                <w:sz w:val="28"/>
                <w:szCs w:val="28"/>
              </w:rPr>
              <w:t>单 位 名 称：</w:t>
            </w:r>
          </w:p>
          <w:p>
            <w:pPr>
              <w:spacing w:line="360" w:lineRule="exact"/>
              <w:rPr>
                <w:rFonts w:ascii="仿宋" w:hAnsi="仿宋" w:eastAsia="仿宋"/>
                <w:b/>
                <w:bCs/>
                <w:sz w:val="28"/>
                <w:szCs w:val="28"/>
              </w:rPr>
            </w:pPr>
            <w:r>
              <w:rPr>
                <w:rFonts w:hint="eastAsia" w:ascii="仿宋" w:hAnsi="仿宋" w:eastAsia="仿宋"/>
                <w:b/>
                <w:bCs/>
                <w:sz w:val="28"/>
                <w:szCs w:val="28"/>
              </w:rPr>
              <w:t>税       号：</w:t>
            </w:r>
          </w:p>
          <w:p>
            <w:pPr>
              <w:spacing w:line="360" w:lineRule="exact"/>
              <w:rPr>
                <w:rFonts w:ascii="仿宋" w:hAnsi="仿宋" w:eastAsia="仿宋"/>
                <w:b/>
                <w:bCs/>
                <w:sz w:val="28"/>
                <w:szCs w:val="28"/>
              </w:rPr>
            </w:pPr>
            <w:r>
              <w:rPr>
                <w:rFonts w:hint="eastAsia" w:ascii="仿宋" w:hAnsi="仿宋" w:eastAsia="仿宋"/>
                <w:b/>
                <w:bCs/>
                <w:sz w:val="28"/>
                <w:szCs w:val="28"/>
              </w:rPr>
              <w:t>地址、 电话：</w:t>
            </w:r>
          </w:p>
          <w:p>
            <w:pPr>
              <w:spacing w:line="360" w:lineRule="exact"/>
              <w:rPr>
                <w:rFonts w:ascii="仿宋" w:hAnsi="仿宋" w:eastAsia="仿宋"/>
                <w:b/>
                <w:bCs/>
                <w:sz w:val="28"/>
                <w:szCs w:val="28"/>
              </w:rPr>
            </w:pPr>
            <w:r>
              <w:rPr>
                <w:rFonts w:hint="eastAsia" w:ascii="仿宋" w:hAnsi="仿宋" w:eastAsia="仿宋"/>
                <w:b/>
                <w:bCs/>
                <w:sz w:val="28"/>
                <w:szCs w:val="28"/>
              </w:rPr>
              <w:t>开户行、账号：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568" w:type="dxa"/>
            <w:vAlign w:val="center"/>
          </w:tcPr>
          <w:p>
            <w:pPr>
              <w:spacing w:line="360" w:lineRule="exact"/>
              <w:ind w:right="-107" w:rightChars="-51" w:firstLine="280" w:firstLineChars="100"/>
              <w:rPr>
                <w:rFonts w:ascii="仿宋" w:hAnsi="仿宋" w:eastAsia="仿宋"/>
                <w:bCs/>
                <w:sz w:val="28"/>
                <w:szCs w:val="28"/>
              </w:rPr>
            </w:pPr>
            <w:r>
              <w:rPr>
                <w:rFonts w:hint="eastAsia" w:ascii="仿宋" w:hAnsi="仿宋" w:eastAsia="仿宋"/>
                <w:bCs/>
                <w:sz w:val="28"/>
                <w:szCs w:val="28"/>
              </w:rPr>
              <w:t>住宿</w:t>
            </w:r>
          </w:p>
        </w:tc>
        <w:tc>
          <w:tcPr>
            <w:tcW w:w="3210" w:type="dxa"/>
            <w:gridSpan w:val="4"/>
            <w:vAlign w:val="center"/>
          </w:tcPr>
          <w:p>
            <w:pPr>
              <w:spacing w:line="360" w:lineRule="exact"/>
              <w:ind w:firstLine="280" w:firstLineChars="100"/>
              <w:rPr>
                <w:rFonts w:ascii="仿宋" w:hAnsi="仿宋" w:eastAsia="仿宋"/>
                <w:bCs/>
                <w:sz w:val="28"/>
                <w:szCs w:val="28"/>
              </w:rPr>
            </w:pPr>
            <w:r>
              <w:rPr>
                <w:rFonts w:hint="eastAsia" w:ascii="仿宋" w:hAnsi="仿宋" w:eastAsia="仿宋"/>
                <w:color w:val="000000"/>
                <w:sz w:val="28"/>
                <w:szCs w:val="28"/>
              </w:rPr>
              <w:t>□是       □否</w:t>
            </w:r>
          </w:p>
        </w:tc>
        <w:tc>
          <w:tcPr>
            <w:tcW w:w="1367" w:type="dxa"/>
            <w:vAlign w:val="center"/>
          </w:tcPr>
          <w:p>
            <w:pPr>
              <w:spacing w:line="360" w:lineRule="exact"/>
              <w:jc w:val="center"/>
              <w:rPr>
                <w:rFonts w:ascii="仿宋" w:hAnsi="仿宋" w:eastAsia="仿宋"/>
                <w:bCs/>
                <w:sz w:val="28"/>
                <w:szCs w:val="28"/>
              </w:rPr>
            </w:pPr>
            <w:r>
              <w:rPr>
                <w:rFonts w:hint="eastAsia" w:ascii="仿宋" w:hAnsi="仿宋" w:eastAsia="仿宋"/>
                <w:bCs/>
                <w:sz w:val="28"/>
                <w:szCs w:val="28"/>
              </w:rPr>
              <w:t>住宿要求</w:t>
            </w:r>
          </w:p>
        </w:tc>
        <w:tc>
          <w:tcPr>
            <w:tcW w:w="4177" w:type="dxa"/>
            <w:gridSpan w:val="4"/>
            <w:vAlign w:val="center"/>
          </w:tcPr>
          <w:p>
            <w:pPr>
              <w:spacing w:line="360" w:lineRule="exact"/>
              <w:jc w:val="center"/>
              <w:rPr>
                <w:rFonts w:ascii="仿宋" w:hAnsi="仿宋" w:eastAsia="仿宋"/>
                <w:bCs/>
                <w:sz w:val="28"/>
                <w:szCs w:val="28"/>
              </w:rPr>
            </w:pPr>
            <w:r>
              <w:rPr>
                <w:rFonts w:hint="eastAsia" w:ascii="仿宋" w:hAnsi="仿宋" w:eastAsia="仿宋"/>
                <w:color w:val="000000"/>
                <w:sz w:val="28"/>
                <w:szCs w:val="28"/>
              </w:rPr>
              <w:t>□单住       □合住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568" w:type="dxa"/>
            <w:vAlign w:val="center"/>
          </w:tcPr>
          <w:p>
            <w:pPr>
              <w:pStyle w:val="4"/>
              <w:spacing w:line="360" w:lineRule="exact"/>
              <w:rPr>
                <w:rFonts w:ascii="仿宋" w:hAnsi="仿宋" w:eastAsia="仿宋" w:cs="仿宋_GB2312"/>
                <w:kern w:val="2"/>
                <w:sz w:val="28"/>
                <w:szCs w:val="28"/>
              </w:rPr>
            </w:pPr>
            <w:r>
              <w:rPr>
                <w:rFonts w:hint="eastAsia" w:ascii="仿宋" w:hAnsi="仿宋" w:eastAsia="仿宋" w:cs="仿宋_GB2312"/>
                <w:kern w:val="2"/>
                <w:sz w:val="28"/>
                <w:szCs w:val="28"/>
              </w:rPr>
              <w:t>标准选项</w:t>
            </w:r>
          </w:p>
        </w:tc>
        <w:tc>
          <w:tcPr>
            <w:tcW w:w="3210" w:type="dxa"/>
            <w:gridSpan w:val="4"/>
            <w:vAlign w:val="center"/>
          </w:tcPr>
          <w:p>
            <w:pPr>
              <w:spacing w:line="360" w:lineRule="exact"/>
              <w:rPr>
                <w:rFonts w:ascii="仿宋" w:hAnsi="仿宋" w:eastAsia="仿宋" w:cs="仿宋_GB2312"/>
                <w:sz w:val="28"/>
                <w:szCs w:val="28"/>
              </w:rPr>
            </w:pPr>
            <w:r>
              <w:rPr>
                <w:rFonts w:hint="eastAsia" w:ascii="仿宋" w:hAnsi="仿宋" w:eastAsia="仿宋" w:cs="仿宋_GB2312"/>
                <w:sz w:val="28"/>
                <w:szCs w:val="28"/>
              </w:rPr>
              <w:t>A</w:t>
            </w:r>
            <w:r>
              <w:rPr>
                <w:rFonts w:hint="eastAsia" w:ascii="仿宋" w:hAnsi="仿宋" w:eastAsia="仿宋"/>
                <w:color w:val="000000"/>
                <w:sz w:val="28"/>
                <w:szCs w:val="28"/>
              </w:rPr>
              <w:sym w:font="Wingdings 2" w:char="00A3"/>
            </w:r>
            <w:r>
              <w:rPr>
                <w:rFonts w:hint="eastAsia" w:ascii="仿宋" w:hAnsi="仿宋" w:eastAsia="仿宋" w:cs="仿宋_GB2312"/>
                <w:sz w:val="28"/>
                <w:szCs w:val="28"/>
                <w:lang w:val="en-US" w:eastAsia="zh-CN"/>
              </w:rPr>
              <w:t>3600</w:t>
            </w:r>
            <w:r>
              <w:rPr>
                <w:rFonts w:hint="eastAsia" w:ascii="仿宋" w:hAnsi="仿宋" w:eastAsia="仿宋" w:cs="仿宋_GB2312"/>
                <w:sz w:val="28"/>
                <w:szCs w:val="28"/>
              </w:rPr>
              <w:t>元  B</w:t>
            </w:r>
            <w:r>
              <w:rPr>
                <w:rFonts w:hint="eastAsia" w:ascii="仿宋" w:hAnsi="仿宋" w:eastAsia="仿宋"/>
                <w:color w:val="000000"/>
                <w:sz w:val="28"/>
                <w:szCs w:val="28"/>
              </w:rPr>
              <w:t>□</w:t>
            </w:r>
            <w:r>
              <w:rPr>
                <w:rFonts w:hint="eastAsia" w:ascii="仿宋" w:hAnsi="仿宋" w:eastAsia="仿宋" w:cs="仿宋_GB2312"/>
                <w:sz w:val="28"/>
                <w:szCs w:val="28"/>
                <w:lang w:val="en-US" w:eastAsia="zh-CN"/>
              </w:rPr>
              <w:t>4600</w:t>
            </w:r>
            <w:r>
              <w:rPr>
                <w:rFonts w:hint="eastAsia" w:ascii="仿宋" w:hAnsi="仿宋" w:eastAsia="仿宋" w:cs="仿宋_GB2312"/>
                <w:sz w:val="28"/>
                <w:szCs w:val="28"/>
              </w:rPr>
              <w:t>元</w:t>
            </w:r>
          </w:p>
          <w:p>
            <w:pPr>
              <w:spacing w:line="360" w:lineRule="exact"/>
              <w:rPr>
                <w:rFonts w:ascii="仿宋" w:hAnsi="仿宋" w:eastAsia="仿宋" w:cs="仿宋_GB2312"/>
                <w:sz w:val="28"/>
                <w:szCs w:val="28"/>
              </w:rPr>
            </w:pPr>
            <w:r>
              <w:rPr>
                <w:rFonts w:hint="eastAsia" w:ascii="仿宋" w:hAnsi="仿宋" w:eastAsia="仿宋" w:cs="仿宋_GB2312"/>
                <w:sz w:val="28"/>
                <w:szCs w:val="28"/>
              </w:rPr>
              <w:t>C</w:t>
            </w:r>
            <w:r>
              <w:rPr>
                <w:rFonts w:hint="eastAsia" w:ascii="仿宋" w:hAnsi="仿宋" w:eastAsia="仿宋"/>
                <w:color w:val="000000"/>
                <w:sz w:val="28"/>
                <w:szCs w:val="28"/>
              </w:rPr>
              <w:t>□</w:t>
            </w:r>
            <w:r>
              <w:rPr>
                <w:rFonts w:hint="eastAsia" w:ascii="仿宋" w:hAnsi="仿宋" w:eastAsia="仿宋"/>
                <w:color w:val="000000"/>
                <w:sz w:val="28"/>
                <w:szCs w:val="28"/>
                <w:lang w:val="en-US" w:eastAsia="zh-CN"/>
              </w:rPr>
              <w:t>6980</w:t>
            </w:r>
            <w:r>
              <w:rPr>
                <w:rFonts w:hint="eastAsia" w:ascii="仿宋" w:hAnsi="仿宋" w:eastAsia="仿宋" w:cs="仿宋_GB2312"/>
                <w:sz w:val="28"/>
                <w:szCs w:val="28"/>
              </w:rPr>
              <w:t>元</w:t>
            </w:r>
          </w:p>
        </w:tc>
        <w:tc>
          <w:tcPr>
            <w:tcW w:w="1367" w:type="dxa"/>
            <w:vAlign w:val="center"/>
          </w:tcPr>
          <w:p>
            <w:pPr>
              <w:spacing w:line="360" w:lineRule="exact"/>
              <w:jc w:val="center"/>
              <w:rPr>
                <w:rFonts w:ascii="仿宋" w:hAnsi="仿宋" w:eastAsia="仿宋" w:cs="仿宋_GB2312"/>
                <w:sz w:val="28"/>
                <w:szCs w:val="28"/>
              </w:rPr>
            </w:pPr>
            <w:r>
              <w:rPr>
                <w:rFonts w:hint="eastAsia" w:ascii="仿宋" w:hAnsi="仿宋" w:eastAsia="仿宋" w:cs="仿宋_GB2312"/>
                <w:sz w:val="28"/>
                <w:szCs w:val="28"/>
              </w:rPr>
              <w:t>证书申报</w:t>
            </w:r>
          </w:p>
        </w:tc>
        <w:tc>
          <w:tcPr>
            <w:tcW w:w="4177" w:type="dxa"/>
            <w:gridSpan w:val="4"/>
            <w:vAlign w:val="center"/>
          </w:tcPr>
          <w:p>
            <w:pPr>
              <w:spacing w:line="360" w:lineRule="exact"/>
              <w:rPr>
                <w:rFonts w:ascii="仿宋" w:hAnsi="仿宋" w:eastAsia="仿宋" w:cs="仿宋_GB2312"/>
                <w:sz w:val="28"/>
                <w:szCs w:val="28"/>
              </w:rPr>
            </w:pPr>
            <w:r>
              <w:rPr>
                <w:rFonts w:hint="eastAsia" w:ascii="仿宋" w:hAnsi="仿宋" w:eastAsia="仿宋"/>
                <w:color w:val="000000"/>
                <w:sz w:val="28"/>
                <w:szCs w:val="28"/>
              </w:rPr>
              <w:t>□</w:t>
            </w:r>
            <w:r>
              <w:rPr>
                <w:rFonts w:hint="eastAsia" w:ascii="仿宋" w:hAnsi="仿宋" w:eastAsia="仿宋" w:cs="仿宋_GB2312"/>
                <w:sz w:val="28"/>
                <w:szCs w:val="28"/>
              </w:rPr>
              <w:t xml:space="preserve">合同经理        </w:t>
            </w:r>
            <w:r>
              <w:rPr>
                <w:rFonts w:hint="eastAsia" w:ascii="仿宋" w:hAnsi="仿宋" w:eastAsia="仿宋"/>
                <w:color w:val="000000"/>
                <w:sz w:val="28"/>
                <w:szCs w:val="28"/>
              </w:rPr>
              <w:t>□</w:t>
            </w:r>
            <w:r>
              <w:rPr>
                <w:rFonts w:hint="eastAsia" w:ascii="仿宋" w:hAnsi="仿宋" w:eastAsia="仿宋" w:cs="仿宋_GB2312"/>
                <w:sz w:val="28"/>
                <w:szCs w:val="28"/>
              </w:rPr>
              <w:t xml:space="preserve">商务经理 </w:t>
            </w:r>
          </w:p>
          <w:p>
            <w:pPr>
              <w:spacing w:line="360" w:lineRule="exact"/>
              <w:rPr>
                <w:rFonts w:ascii="仿宋" w:hAnsi="仿宋" w:eastAsia="仿宋" w:cs="仿宋_GB2312"/>
                <w:sz w:val="28"/>
                <w:szCs w:val="28"/>
              </w:rPr>
            </w:pPr>
            <w:r>
              <w:rPr>
                <w:rFonts w:hint="eastAsia" w:ascii="仿宋" w:hAnsi="仿宋" w:eastAsia="仿宋"/>
                <w:color w:val="000000"/>
                <w:sz w:val="28"/>
                <w:szCs w:val="28"/>
              </w:rPr>
              <w:t>□</w:t>
            </w:r>
            <w:r>
              <w:rPr>
                <w:rFonts w:hint="eastAsia" w:ascii="仿宋" w:hAnsi="仿宋" w:eastAsia="仿宋" w:cs="仿宋_GB2312"/>
                <w:sz w:val="28"/>
                <w:szCs w:val="28"/>
              </w:rPr>
              <w:t>工程总承包项目经理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568" w:type="dxa"/>
            <w:vAlign w:val="center"/>
          </w:tcPr>
          <w:p>
            <w:pPr>
              <w:pStyle w:val="4"/>
              <w:spacing w:line="360" w:lineRule="exact"/>
              <w:rPr>
                <w:rFonts w:ascii="仿宋" w:hAnsi="仿宋" w:eastAsia="仿宋" w:cs="仿宋_GB2312"/>
                <w:kern w:val="2"/>
                <w:sz w:val="28"/>
                <w:szCs w:val="28"/>
              </w:rPr>
            </w:pPr>
            <w:r>
              <w:rPr>
                <w:rFonts w:hint="eastAsia" w:ascii="仿宋" w:hAnsi="仿宋" w:eastAsia="仿宋" w:cs="仿宋_GB2312"/>
                <w:kern w:val="2"/>
                <w:sz w:val="28"/>
                <w:szCs w:val="28"/>
              </w:rPr>
              <w:t>参会地点</w:t>
            </w:r>
          </w:p>
        </w:tc>
        <w:tc>
          <w:tcPr>
            <w:tcW w:w="8754" w:type="dxa"/>
            <w:gridSpan w:val="9"/>
            <w:vAlign w:val="center"/>
          </w:tcPr>
          <w:p>
            <w:pPr>
              <w:spacing w:line="360" w:lineRule="exact"/>
              <w:jc w:val="center"/>
              <w:rPr>
                <w:rFonts w:hint="eastAsia" w:ascii="仿宋" w:hAnsi="仿宋" w:eastAsia="仿宋"/>
                <w:color w:val="000000"/>
                <w:sz w:val="28"/>
                <w:szCs w:val="28"/>
                <w:lang w:eastAsia="zh-CN"/>
              </w:rPr>
            </w:pPr>
            <w:r>
              <w:rPr>
                <w:rFonts w:hint="eastAsia" w:ascii="仿宋" w:hAnsi="仿宋" w:eastAsia="仿宋" w:cs="仿宋_GB2312"/>
                <w:sz w:val="28"/>
                <w:szCs w:val="28"/>
              </w:rPr>
              <w:sym w:font="Wingdings 2" w:char="00A3"/>
            </w:r>
            <w:r>
              <w:rPr>
                <w:rFonts w:hint="eastAsia" w:ascii="仿宋" w:hAnsi="仿宋" w:eastAsia="仿宋" w:cs="仿宋_GB2312"/>
                <w:sz w:val="28"/>
                <w:szCs w:val="28"/>
                <w:lang w:eastAsia="zh-CN"/>
              </w:rPr>
              <w:t>乌鲁木齐</w:t>
            </w:r>
            <w:r>
              <w:rPr>
                <w:rFonts w:hint="eastAsia" w:ascii="仿宋" w:hAnsi="仿宋" w:eastAsia="仿宋" w:cs="仿宋_GB2312"/>
                <w:sz w:val="28"/>
                <w:szCs w:val="28"/>
                <w:lang w:val="en-US" w:eastAsia="zh-CN"/>
              </w:rPr>
              <w:t>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1568" w:type="dxa"/>
            <w:vAlign w:val="center"/>
          </w:tcPr>
          <w:p>
            <w:pPr>
              <w:spacing w:line="360" w:lineRule="exact"/>
              <w:rPr>
                <w:rFonts w:ascii="仿宋" w:hAnsi="仿宋" w:eastAsia="仿宋"/>
                <w:bCs/>
                <w:sz w:val="28"/>
                <w:szCs w:val="28"/>
              </w:rPr>
            </w:pPr>
            <w:r>
              <w:rPr>
                <w:rFonts w:hint="eastAsia" w:ascii="仿宋" w:hAnsi="仿宋" w:eastAsia="仿宋"/>
                <w:b/>
                <w:bCs/>
                <w:sz w:val="28"/>
                <w:szCs w:val="28"/>
              </w:rPr>
              <w:t>指定收款账    户</w:t>
            </w:r>
          </w:p>
        </w:tc>
        <w:tc>
          <w:tcPr>
            <w:tcW w:w="8754" w:type="dxa"/>
            <w:gridSpan w:val="9"/>
            <w:vAlign w:val="center"/>
          </w:tcPr>
          <w:p>
            <w:pPr>
              <w:spacing w:line="360" w:lineRule="exact"/>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 xml:space="preserve">开户名称：北京中建科信信息咨询中心 </w:t>
            </w:r>
          </w:p>
          <w:p>
            <w:pPr>
              <w:spacing w:line="360" w:lineRule="exact"/>
              <w:rPr>
                <w:rFonts w:hint="eastAsia" w:ascii="仿宋" w:hAnsi="仿宋" w:eastAsia="仿宋" w:cs="Times New Roman"/>
                <w:color w:val="000000"/>
                <w:sz w:val="28"/>
                <w:szCs w:val="28"/>
                <w:lang w:eastAsia="zh-CN"/>
              </w:rPr>
            </w:pPr>
            <w:r>
              <w:rPr>
                <w:rFonts w:hint="eastAsia" w:ascii="仿宋" w:hAnsi="仿宋" w:eastAsia="仿宋" w:cs="Times New Roman"/>
                <w:color w:val="000000"/>
                <w:sz w:val="28"/>
                <w:szCs w:val="28"/>
              </w:rPr>
              <w:t>开户银行：北京农村商业银行</w:t>
            </w:r>
            <w:r>
              <w:rPr>
                <w:rFonts w:hint="eastAsia" w:ascii="仿宋" w:hAnsi="仿宋" w:eastAsia="仿宋" w:cs="Times New Roman"/>
                <w:color w:val="000000"/>
                <w:sz w:val="28"/>
                <w:szCs w:val="28"/>
                <w:lang w:eastAsia="zh-CN"/>
              </w:rPr>
              <w:t>海淀支行</w:t>
            </w:r>
          </w:p>
          <w:p>
            <w:pPr>
              <w:spacing w:line="360" w:lineRule="exact"/>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帐    号：0405 0401 0300 0007 362</w:t>
            </w:r>
          </w:p>
          <w:p>
            <w:pPr>
              <w:spacing w:line="360" w:lineRule="exact"/>
              <w:rPr>
                <w:rFonts w:hint="eastAsia" w:ascii="仿宋" w:hAnsi="仿宋" w:eastAsia="仿宋"/>
                <w:b w:val="0"/>
                <w:bCs w:val="0"/>
                <w:sz w:val="28"/>
                <w:szCs w:val="28"/>
              </w:rPr>
            </w:pPr>
            <w:r>
              <w:rPr>
                <w:rFonts w:hint="eastAsia" w:ascii="仿宋" w:hAnsi="仿宋" w:eastAsia="仿宋" w:cs="Times New Roman"/>
                <w:color w:val="000000"/>
                <w:sz w:val="28"/>
                <w:szCs w:val="28"/>
              </w:rPr>
              <w:t>行    号：40210000</w:t>
            </w:r>
            <w:r>
              <w:rPr>
                <w:rFonts w:hint="eastAsia" w:ascii="仿宋" w:hAnsi="仿宋" w:eastAsia="仿宋" w:cs="Times New Roman"/>
                <w:color w:val="000000"/>
                <w:sz w:val="28"/>
                <w:szCs w:val="28"/>
                <w:lang w:val="en-US" w:eastAsia="zh-CN"/>
              </w:rPr>
              <w:t>2136</w:t>
            </w:r>
          </w:p>
        </w:tc>
      </w:tr>
    </w:tbl>
    <w:p>
      <w:pPr>
        <w:spacing w:line="360" w:lineRule="exact"/>
        <w:rPr>
          <w:rFonts w:ascii="仿宋" w:hAnsi="仿宋" w:eastAsia="仿宋"/>
          <w:bCs/>
          <w:sz w:val="28"/>
          <w:szCs w:val="28"/>
        </w:rPr>
      </w:pPr>
      <w:r>
        <w:rPr>
          <w:rFonts w:hint="eastAsia" w:ascii="仿宋" w:hAnsi="仿宋" w:eastAsia="仿宋"/>
          <w:bCs/>
          <w:sz w:val="28"/>
          <w:szCs w:val="28"/>
        </w:rPr>
        <w:t>备注： 1、欢迎参会代表携带相关资料、案例赴会与专家交流学习。</w:t>
      </w:r>
    </w:p>
    <w:p>
      <w:pPr>
        <w:spacing w:line="360" w:lineRule="exact"/>
        <w:ind w:firstLine="1400" w:firstLineChars="500"/>
        <w:rPr>
          <w:rFonts w:hint="eastAsia" w:ascii="仿宋" w:hAnsi="仿宋" w:eastAsia="仿宋"/>
          <w:bCs/>
          <w:sz w:val="28"/>
          <w:szCs w:val="28"/>
        </w:rPr>
      </w:pPr>
      <w:r>
        <w:rPr>
          <w:rFonts w:hint="eastAsia" w:ascii="仿宋" w:hAnsi="仿宋" w:eastAsia="仿宋"/>
          <w:bCs/>
          <w:sz w:val="28"/>
          <w:szCs w:val="28"/>
        </w:rPr>
        <w:t xml:space="preserve">报名负责人：聂红军 主任18211071700（微信）   </w:t>
      </w:r>
    </w:p>
    <w:p>
      <w:pPr>
        <w:spacing w:line="360" w:lineRule="exact"/>
        <w:ind w:firstLine="1400" w:firstLineChars="500"/>
        <w:rPr>
          <w:rFonts w:hint="eastAsia" w:ascii="仿宋" w:hAnsi="仿宋" w:eastAsia="仿宋"/>
          <w:bCs/>
          <w:sz w:val="28"/>
          <w:szCs w:val="28"/>
        </w:rPr>
      </w:pPr>
      <w:r>
        <w:rPr>
          <w:rFonts w:hint="eastAsia" w:ascii="仿宋" w:hAnsi="仿宋" w:eastAsia="仿宋"/>
          <w:bCs/>
          <w:sz w:val="28"/>
          <w:szCs w:val="28"/>
        </w:rPr>
        <w:t xml:space="preserve">电  话：010-87697580      邮    箱：zqgphwz@126.com  </w:t>
      </w:r>
    </w:p>
    <w:p>
      <w:pPr>
        <w:spacing w:line="360" w:lineRule="exact"/>
        <w:ind w:firstLine="1400" w:firstLineChars="500"/>
        <w:rPr>
          <w:rFonts w:hint="eastAsia" w:ascii="仿宋" w:hAnsi="仿宋" w:eastAsia="仿宋"/>
          <w:bCs/>
          <w:sz w:val="28"/>
          <w:szCs w:val="28"/>
        </w:rPr>
      </w:pPr>
      <w:r>
        <w:rPr>
          <w:rFonts w:hint="eastAsia" w:ascii="仿宋" w:hAnsi="仿宋" w:eastAsia="仿宋"/>
          <w:bCs/>
          <w:sz w:val="28"/>
          <w:szCs w:val="28"/>
        </w:rPr>
        <w:t xml:space="preserve">qq咨询：3177524020  </w:t>
      </w:r>
      <w:bookmarkStart w:id="0" w:name="_GoBack"/>
      <w:bookmarkEnd w:id="0"/>
      <w:r>
        <w:rPr>
          <w:rFonts w:hint="eastAsia" w:ascii="仿宋" w:hAnsi="仿宋" w:eastAsia="仿宋"/>
          <w:bCs/>
          <w:sz w:val="28"/>
          <w:szCs w:val="28"/>
        </w:rPr>
        <w:t xml:space="preserve"> 网址查询：http://www.zqgpchina.cn/ </w:t>
      </w: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39"/>
    <w:rsid w:val="00027639"/>
    <w:rsid w:val="000513B4"/>
    <w:rsid w:val="002239AD"/>
    <w:rsid w:val="004F7BCB"/>
    <w:rsid w:val="00601C67"/>
    <w:rsid w:val="006C0AF0"/>
    <w:rsid w:val="006C5735"/>
    <w:rsid w:val="00843CF0"/>
    <w:rsid w:val="00852A43"/>
    <w:rsid w:val="00893A6E"/>
    <w:rsid w:val="008F5B4C"/>
    <w:rsid w:val="00C11E2C"/>
    <w:rsid w:val="00DD5753"/>
    <w:rsid w:val="02246087"/>
    <w:rsid w:val="02283D27"/>
    <w:rsid w:val="02E736C5"/>
    <w:rsid w:val="02EC7B2B"/>
    <w:rsid w:val="04B540F9"/>
    <w:rsid w:val="059A1535"/>
    <w:rsid w:val="05CB627D"/>
    <w:rsid w:val="06D1078B"/>
    <w:rsid w:val="070257B1"/>
    <w:rsid w:val="07103229"/>
    <w:rsid w:val="07107623"/>
    <w:rsid w:val="075A03B2"/>
    <w:rsid w:val="09CB1100"/>
    <w:rsid w:val="0A7210C7"/>
    <w:rsid w:val="0A737B86"/>
    <w:rsid w:val="0A946EB5"/>
    <w:rsid w:val="0C5A58C0"/>
    <w:rsid w:val="0F25330D"/>
    <w:rsid w:val="13B93AA7"/>
    <w:rsid w:val="13F353AF"/>
    <w:rsid w:val="15962717"/>
    <w:rsid w:val="16C819B2"/>
    <w:rsid w:val="17405949"/>
    <w:rsid w:val="1839071D"/>
    <w:rsid w:val="1C5D7946"/>
    <w:rsid w:val="1C6B75F8"/>
    <w:rsid w:val="1D807902"/>
    <w:rsid w:val="1F9B0676"/>
    <w:rsid w:val="20E1336C"/>
    <w:rsid w:val="21D34E85"/>
    <w:rsid w:val="22146EA2"/>
    <w:rsid w:val="22205588"/>
    <w:rsid w:val="22B13BF7"/>
    <w:rsid w:val="22DE0403"/>
    <w:rsid w:val="25894AE9"/>
    <w:rsid w:val="25CF331C"/>
    <w:rsid w:val="263B316A"/>
    <w:rsid w:val="272A3D8F"/>
    <w:rsid w:val="281D624C"/>
    <w:rsid w:val="284A2E8F"/>
    <w:rsid w:val="29E54625"/>
    <w:rsid w:val="2B1617BA"/>
    <w:rsid w:val="2C1B3710"/>
    <w:rsid w:val="2FEB6BAD"/>
    <w:rsid w:val="30786424"/>
    <w:rsid w:val="31331269"/>
    <w:rsid w:val="318560F5"/>
    <w:rsid w:val="32237D73"/>
    <w:rsid w:val="32C42970"/>
    <w:rsid w:val="33D95DD0"/>
    <w:rsid w:val="33FB534F"/>
    <w:rsid w:val="34E84457"/>
    <w:rsid w:val="3504664F"/>
    <w:rsid w:val="35D00C4E"/>
    <w:rsid w:val="35EC51ED"/>
    <w:rsid w:val="3655075B"/>
    <w:rsid w:val="377C07F6"/>
    <w:rsid w:val="38F31DD6"/>
    <w:rsid w:val="392B10FE"/>
    <w:rsid w:val="39E64B64"/>
    <w:rsid w:val="3A5B6E57"/>
    <w:rsid w:val="3C322776"/>
    <w:rsid w:val="3CE734E8"/>
    <w:rsid w:val="3DEC596B"/>
    <w:rsid w:val="3E2E5006"/>
    <w:rsid w:val="3E5945DA"/>
    <w:rsid w:val="41140FA4"/>
    <w:rsid w:val="414D55BF"/>
    <w:rsid w:val="415365F3"/>
    <w:rsid w:val="445428A5"/>
    <w:rsid w:val="44F31B62"/>
    <w:rsid w:val="45A21D6F"/>
    <w:rsid w:val="46C85908"/>
    <w:rsid w:val="4740023F"/>
    <w:rsid w:val="485A43AD"/>
    <w:rsid w:val="49100BEF"/>
    <w:rsid w:val="4C3F71EA"/>
    <w:rsid w:val="501E0B2E"/>
    <w:rsid w:val="508227B1"/>
    <w:rsid w:val="50843749"/>
    <w:rsid w:val="51072E29"/>
    <w:rsid w:val="514A0CA9"/>
    <w:rsid w:val="51B613A2"/>
    <w:rsid w:val="520C2832"/>
    <w:rsid w:val="5259180E"/>
    <w:rsid w:val="53632BF3"/>
    <w:rsid w:val="53672652"/>
    <w:rsid w:val="53B575D1"/>
    <w:rsid w:val="54BD30D7"/>
    <w:rsid w:val="55581709"/>
    <w:rsid w:val="57C85650"/>
    <w:rsid w:val="581A2C5C"/>
    <w:rsid w:val="586907CF"/>
    <w:rsid w:val="59183369"/>
    <w:rsid w:val="5B8B1239"/>
    <w:rsid w:val="5C485A8F"/>
    <w:rsid w:val="5CDF5916"/>
    <w:rsid w:val="5D1A2BD1"/>
    <w:rsid w:val="5D5E3558"/>
    <w:rsid w:val="5D8B205D"/>
    <w:rsid w:val="5DC14469"/>
    <w:rsid w:val="5FDE1567"/>
    <w:rsid w:val="61F90E67"/>
    <w:rsid w:val="63010E7F"/>
    <w:rsid w:val="64F6629B"/>
    <w:rsid w:val="65005A5A"/>
    <w:rsid w:val="652F01FE"/>
    <w:rsid w:val="677245A4"/>
    <w:rsid w:val="67CC4360"/>
    <w:rsid w:val="6A272DD0"/>
    <w:rsid w:val="6AAD6029"/>
    <w:rsid w:val="6ADA3941"/>
    <w:rsid w:val="6F0D5D08"/>
    <w:rsid w:val="6F214980"/>
    <w:rsid w:val="6FAC2319"/>
    <w:rsid w:val="70A616C3"/>
    <w:rsid w:val="70E54759"/>
    <w:rsid w:val="72185BDB"/>
    <w:rsid w:val="72471157"/>
    <w:rsid w:val="72BE604F"/>
    <w:rsid w:val="72F36177"/>
    <w:rsid w:val="734B771E"/>
    <w:rsid w:val="7389364F"/>
    <w:rsid w:val="74325BC2"/>
    <w:rsid w:val="74B943A6"/>
    <w:rsid w:val="74D10463"/>
    <w:rsid w:val="77203594"/>
    <w:rsid w:val="77402BC1"/>
    <w:rsid w:val="77C53F91"/>
    <w:rsid w:val="77E02FA1"/>
    <w:rsid w:val="785A0282"/>
    <w:rsid w:val="789B48A7"/>
    <w:rsid w:val="78CF5E67"/>
    <w:rsid w:val="795C6A1C"/>
    <w:rsid w:val="7B5B0882"/>
    <w:rsid w:val="7C6C3019"/>
    <w:rsid w:val="7C84619E"/>
    <w:rsid w:val="7CE253F0"/>
    <w:rsid w:val="7E962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2"/>
    <w:basedOn w:val="1"/>
    <w:qFormat/>
    <w:uiPriority w:val="0"/>
    <w:rPr>
      <w:kern w:val="0"/>
      <w:sz w:val="24"/>
      <w:szCs w:val="24"/>
    </w:rPr>
  </w:style>
  <w:style w:type="paragraph" w:customStyle="1" w:styleId="7">
    <w:name w:val="列出段落1"/>
    <w:basedOn w:val="1"/>
    <w:qFormat/>
    <w:uiPriority w:val="34"/>
    <w:pPr>
      <w:ind w:left="480" w:leftChars="200"/>
    </w:p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417</Words>
  <Characters>2379</Characters>
  <Lines>19</Lines>
  <Paragraphs>5</Paragraphs>
  <TotalTime>2</TotalTime>
  <ScaleCrop>false</ScaleCrop>
  <LinksUpToDate>false</LinksUpToDate>
  <CharactersWithSpaces>2791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2021-06-16T09:47:43Z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D6BC116A4BCF4363A17111F7A869E91F</vt:lpwstr>
  </property>
</Properties>
</file>