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hint="eastAsia" w:ascii="宋体" w:hAnsi="宋体"/>
          <w:bCs/>
          <w:color w:val="FF0000"/>
          <w:spacing w:val="-36"/>
          <w:w w:val="80"/>
          <w:sz w:val="84"/>
          <w:szCs w:val="84"/>
        </w:rPr>
      </w:pPr>
    </w:p>
    <w:p>
      <w:pPr>
        <w:ind w:right="600"/>
        <w:jc w:val="center"/>
        <w:rPr>
          <w:rFonts w:ascii="宋体" w:hAnsi="宋体"/>
          <w:bCs/>
          <w:color w:val="FF0000"/>
          <w:spacing w:val="-36"/>
          <w:w w:val="80"/>
          <w:sz w:val="84"/>
          <w:szCs w:val="84"/>
        </w:rPr>
      </w:pPr>
      <w:r>
        <w:rPr>
          <w:rFonts w:hint="eastAsia" w:ascii="宋体" w:hAnsi="宋体"/>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spacing w:val="-12"/>
          <w:sz w:val="28"/>
          <w:szCs w:val="28"/>
        </w:rPr>
      </w:pPr>
    </w:p>
    <w:p>
      <w:pPr>
        <w:adjustRightInd w:val="0"/>
        <w:snapToGrid w:val="0"/>
        <w:jc w:val="center"/>
        <w:rPr>
          <w:rFonts w:ascii="仿宋" w:hAnsi="仿宋" w:eastAsia="仿宋" w:cs="仿宋_GB2312"/>
          <w:color w:val="000000"/>
          <w:spacing w:val="-12"/>
          <w:sz w:val="28"/>
          <w:szCs w:val="28"/>
        </w:rPr>
      </w:pPr>
    </w:p>
    <w:p>
      <w:pPr>
        <w:adjustRightInd w:val="0"/>
        <w:snapToGrid w:val="0"/>
        <w:spacing w:line="300" w:lineRule="exact"/>
        <w:jc w:val="center"/>
        <w:rPr>
          <w:rFonts w:ascii="仿宋_GB2312" w:hAnsi="Calibri" w:eastAsia="仿宋_GB2312" w:cs="Times New Roman"/>
          <w:sz w:val="30"/>
          <w:szCs w:val="30"/>
        </w:rPr>
      </w:pPr>
      <w:r>
        <w:rPr>
          <w:rFonts w:hint="eastAsia" w:ascii="仿宋" w:hAnsi="仿宋" w:eastAsia="仿宋" w:cs="仿宋_GB2312"/>
          <w:color w:val="000000"/>
          <w:spacing w:val="-12"/>
          <w:sz w:val="28"/>
          <w:szCs w:val="28"/>
          <w:lang w:val="en-US" w:eastAsia="zh-CN"/>
        </w:rPr>
        <w:t>国咨协</w:t>
      </w:r>
      <w:r>
        <w:rPr>
          <w:rFonts w:hint="eastAsia" w:ascii="仿宋" w:hAnsi="仿宋" w:eastAsia="仿宋" w:cs="仿宋_GB2312"/>
          <w:color w:val="000000"/>
          <w:spacing w:val="-12"/>
          <w:sz w:val="28"/>
          <w:szCs w:val="28"/>
        </w:rPr>
        <w:t>〔2021〕</w:t>
      </w:r>
      <w:r>
        <w:rPr>
          <w:rFonts w:hint="eastAsia" w:ascii="仿宋" w:hAnsi="仿宋" w:eastAsia="仿宋" w:cs="仿宋_GB2312"/>
          <w:color w:val="000000"/>
          <w:spacing w:val="-12"/>
          <w:sz w:val="28"/>
          <w:szCs w:val="28"/>
          <w:lang w:val="en-US" w:eastAsia="zh-CN"/>
        </w:rPr>
        <w:t>076</w:t>
      </w:r>
      <w:r>
        <w:rPr>
          <w:rFonts w:hint="eastAsia" w:ascii="仿宋" w:hAnsi="仿宋" w:eastAsia="仿宋" w:cs="仿宋_GB2312"/>
          <w:color w:val="000000"/>
          <w:spacing w:val="-12"/>
          <w:sz w:val="28"/>
          <w:szCs w:val="28"/>
        </w:rPr>
        <w:t>号</w:t>
      </w:r>
    </w:p>
    <w:p>
      <w:pPr>
        <w:jc w:val="center"/>
        <w:rPr>
          <w:rFonts w:ascii="仿宋" w:hAnsi="仿宋" w:eastAsia="仿宋" w:cs="Times New Roman"/>
        </w:rPr>
      </w:pPr>
      <w:r>
        <w:rPr>
          <w:rFonts w:ascii="仿宋" w:hAnsi="仿宋" w:eastAsia="仿宋" w:cs="Times New Roman"/>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1"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IKFeNYA&#10;AAAIAQAADwAAAAAAAAABACAAAAAiAAAAZHJzL2Rvd25yZXYueG1sUEsBAhQAFAAAAAgAh07iQGho&#10;MnjoAQAApwMAAA4AAAAAAAAAAQAgAAAAJQEAAGRycy9lMm9Eb2MueG1sUEsFBgAAAAAGAAYAWQEA&#10;AH8FAAAAAA==&#10;">
                <v:fill on="f" focussize="0,0"/>
                <v:stroke weight="1.5pt" color="#FF0000" joinstyle="round"/>
                <v:imagedata o:title=""/>
                <o:lock v:ext="edit" aspectratio="f"/>
              </v:line>
            </w:pict>
          </mc:Fallback>
        </mc:AlternateContent>
      </w: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r>
        <w:rPr>
          <w:rFonts w:asciiTheme="majorEastAsia" w:hAnsiTheme="majorEastAsia" w:eastAsiaTheme="majorEastAsia"/>
          <w:sz w:val="44"/>
          <w:szCs w:val="44"/>
        </w:rPr>
        <w:t>关于举办建设项目“危大”工程安全管理</w:t>
      </w:r>
    </w:p>
    <w:p>
      <w:pPr>
        <w:jc w:val="center"/>
        <w:rPr>
          <w:rFonts w:cs="黑体" w:asciiTheme="majorEastAsia" w:hAnsiTheme="majorEastAsia" w:eastAsiaTheme="majorEastAsia"/>
          <w:sz w:val="44"/>
          <w:szCs w:val="44"/>
        </w:rPr>
      </w:pPr>
      <w:r>
        <w:rPr>
          <w:rFonts w:hint="eastAsia" w:asciiTheme="majorEastAsia" w:hAnsiTheme="majorEastAsia" w:eastAsiaTheme="majorEastAsia"/>
          <w:sz w:val="44"/>
          <w:szCs w:val="44"/>
        </w:rPr>
        <w:t>与文明施工</w:t>
      </w:r>
      <w:r>
        <w:rPr>
          <w:rFonts w:asciiTheme="majorEastAsia" w:hAnsiTheme="majorEastAsia" w:eastAsiaTheme="majorEastAsia"/>
          <w:sz w:val="44"/>
          <w:szCs w:val="44"/>
        </w:rPr>
        <w:t>专题培训班的通知</w:t>
      </w:r>
    </w:p>
    <w:p>
      <w:pPr>
        <w:spacing w:line="320" w:lineRule="exact"/>
        <w:jc w:val="left"/>
        <w:rPr>
          <w:rFonts w:hint="eastAsia" w:ascii="仿宋" w:hAnsi="仿宋" w:eastAsia="仿宋" w:cs="仿宋_GB2312"/>
          <w:bCs/>
          <w:color w:val="000000"/>
          <w:sz w:val="28"/>
          <w:szCs w:val="28"/>
        </w:rPr>
      </w:pPr>
    </w:p>
    <w:p>
      <w:pPr>
        <w:jc w:val="left"/>
        <w:rPr>
          <w:rFonts w:ascii="仿宋" w:hAnsi="仿宋" w:eastAsia="仿宋" w:cs="仿宋_GB2312"/>
          <w:bCs/>
          <w:color w:val="000000"/>
          <w:sz w:val="32"/>
          <w:szCs w:val="32"/>
        </w:rPr>
      </w:pPr>
      <w:r>
        <w:rPr>
          <w:rFonts w:hint="eastAsia" w:ascii="仿宋" w:hAnsi="仿宋" w:eastAsia="仿宋" w:cs="仿宋_GB2312"/>
          <w:bCs/>
          <w:color w:val="000000"/>
          <w:sz w:val="32"/>
          <w:szCs w:val="32"/>
        </w:rPr>
        <w:t>各有关单位</w:t>
      </w:r>
      <w:r>
        <w:rPr>
          <w:rFonts w:ascii="仿宋" w:hAnsi="仿宋" w:eastAsia="仿宋" w:cs="仿宋_GB2312"/>
          <w:bCs/>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贯彻落实《国务院办公厅关于促进建筑业持续健康发展的意见》（国办发〔2017〕19号）和《国务院办公厅转发住房城乡建设部关于完善质量保障体系提升建筑工程品质指导意见的通知》（国办函〔2019〕92号）文件精神，依法界定并严格落实建设单位工程质量首要责任。2020年9月11日住房和城乡建设部关于《落实建设单位工程质量首要责任的通知》（建质规〔2020〕9号）进一步细化了建设单位质量责任要求，建设单位应加强对工程建设全过程的质量管理，严格履行法定程序和落实项目法人责任制，保证合理工期和造价，不得违法发包工程。特别是通过建立工程质量信息公示制度，要求建设单位主动公开工程竣工验收等关键质量信息，有效解决信息不对称问题，督促建设单位认真履行质量承诺。建设单位作为工程建设活动的总牵头单位，承担着重要的工程质量管理职责，对保障工程质量具有主导作用。各地要充分认识严格落实建设单位工程质量首要责任的必要性和重要性，进一步建立健全工程质量责任体系，推动工程质量提升，保障人民群众生命财产安全，不断满足人民群众对高品质工程和美好生活的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为帮助相关单位学习和掌握最新建设领域安全政策，提高工程项目建设中安全意识、责任意识、法律意识和防范意识，落实建设项目安全要求，保障生命安全，我会决定举办“建设项目“危大”工程安全管理与文明施工专题培训班”。本次培训班由中国国际工程咨询协会主办，北京中建科信信息咨询中心承办。请各单位积极组织本单位及相关人员参加。现将有关事宜通知如下：</w:t>
      </w:r>
    </w:p>
    <w:p>
      <w:pPr>
        <w:keepNext w:val="0"/>
        <w:keepLines w:val="0"/>
        <w:pageBreakBefore w:val="0"/>
        <w:tabs>
          <w:tab w:val="left" w:pos="567"/>
          <w:tab w:val="left" w:pos="709"/>
        </w:tabs>
        <w:kinsoku/>
        <w:wordWrap/>
        <w:overflowPunct/>
        <w:topLinePunct w:val="0"/>
        <w:autoSpaceDE/>
        <w:autoSpaceDN/>
        <w:bidi w:val="0"/>
        <w:adjustRightInd/>
        <w:snapToGrid/>
        <w:spacing w:line="560" w:lineRule="exact"/>
        <w:ind w:firstLine="640" w:firstLineChars="200"/>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一、培训内容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（一）相关政策解读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1.《危险性较大的分部分项工程安全管理规定》（住建部令第37号）解读；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2.《国务院办公厅转发住房城乡建设部关于完善质量保障体系提升建筑工程品质指导意见的通知》（国办函〔2019〕92号）解读；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rPr>
          <w:rFonts w:ascii="仿宋" w:hAnsi="仿宋" w:eastAsia="仿宋"/>
          <w:b/>
          <w:sz w:val="32"/>
          <w:szCs w:val="32"/>
        </w:rPr>
      </w:pPr>
      <w:r>
        <w:rPr>
          <w:rFonts w:hint="eastAsia" w:ascii="仿宋" w:hAnsi="仿宋" w:eastAsia="仿宋" w:cs="仿宋_GB2312"/>
          <w:color w:val="000000"/>
          <w:kern w:val="2"/>
          <w:sz w:val="32"/>
          <w:szCs w:val="32"/>
        </w:rPr>
        <w:t>3.《住房和城乡建设部关于落实建设单位工程质量首要责任的通知》（建质规〔2020〕9号）解读。</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(二)危大工程安全管理实务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1.建设工程超过一定规模的危险性较大的分部分项范围；</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2.危大工程专项施工方案编制、审核、实施及验收中存在的疑点、难点问题解析；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3.建设各方工程技术风险的控制职责及各阶段的风险控制要点深度解析；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4.危大工程安全违法行为查处、事故问责与刑事责任追究；</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5.安全事故预防与安全管控措施，经验交流等；</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6.大型工程勘察、设计、施工各阶段的风险控制要点；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7.大型工程技术风险评估报告、总结报告、工作月报等格式要求与要点。</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（三）建设项目安全生产管理实务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1</w:t>
      </w:r>
      <w:r>
        <w:rPr>
          <w:rFonts w:hint="eastAsia" w:ascii="仿宋" w:hAnsi="仿宋" w:eastAsia="仿宋" w:cs="仿宋_GB2312"/>
          <w:color w:val="000000"/>
          <w:kern w:val="2"/>
          <w:sz w:val="32"/>
          <w:szCs w:val="32"/>
        </w:rPr>
        <w:t>.项目安全生产管理计划应满足事故预防的管理要求，并应符合的规定；</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bookmarkStart w:id="0" w:name="_Toc419217405"/>
      <w:r>
        <w:rPr>
          <w:rFonts w:ascii="仿宋" w:hAnsi="仿宋" w:eastAsia="仿宋" w:cs="仿宋_GB2312"/>
          <w:color w:val="000000"/>
          <w:kern w:val="2"/>
          <w:sz w:val="32"/>
          <w:szCs w:val="32"/>
        </w:rPr>
        <w:t>2</w:t>
      </w:r>
      <w:r>
        <w:rPr>
          <w:rFonts w:hint="eastAsia" w:ascii="仿宋" w:hAnsi="仿宋" w:eastAsia="仿宋" w:cs="仿宋_GB2312"/>
          <w:color w:val="000000"/>
          <w:kern w:val="2"/>
          <w:sz w:val="32"/>
          <w:szCs w:val="32"/>
        </w:rPr>
        <w:t>.施工现场的安全生产管理应符合的要求；</w:t>
      </w:r>
    </w:p>
    <w:bookmarkEnd w:id="0"/>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3</w:t>
      </w:r>
      <w:r>
        <w:rPr>
          <w:rFonts w:hint="eastAsia" w:ascii="仿宋" w:hAnsi="仿宋" w:eastAsia="仿宋" w:cs="仿宋_GB2312"/>
          <w:color w:val="000000"/>
          <w:kern w:val="2"/>
          <w:sz w:val="32"/>
          <w:szCs w:val="32"/>
        </w:rPr>
        <w:t>.项目管理机构应急准备与响应预案应包括的内容；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4</w:t>
      </w:r>
      <w:r>
        <w:rPr>
          <w:rFonts w:hint="eastAsia" w:ascii="仿宋" w:hAnsi="仿宋" w:eastAsia="仿宋" w:cs="仿宋_GB2312"/>
          <w:color w:val="000000"/>
          <w:kern w:val="2"/>
          <w:sz w:val="32"/>
          <w:szCs w:val="32"/>
        </w:rPr>
        <w:t>.组织应按相关规定实施项目安全生产管理评价，评估项目安全生产能力满足规定要求的程度；</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5</w:t>
      </w:r>
      <w:r>
        <w:rPr>
          <w:rFonts w:hint="eastAsia" w:ascii="仿宋" w:hAnsi="仿宋" w:eastAsia="仿宋" w:cs="仿宋_GB2312"/>
          <w:color w:val="000000"/>
          <w:kern w:val="2"/>
          <w:sz w:val="32"/>
          <w:szCs w:val="32"/>
        </w:rPr>
        <w:t>.安全生产管理检查与评价的程序、方法、标准、评价人员应执行的相关规定；</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ascii="仿宋" w:hAnsi="仿宋" w:eastAsia="仿宋" w:cs="仿宋_GB2312"/>
          <w:color w:val="000000"/>
          <w:kern w:val="2"/>
          <w:sz w:val="32"/>
          <w:szCs w:val="32"/>
        </w:rPr>
        <w:t>6</w:t>
      </w:r>
      <w:r>
        <w:rPr>
          <w:rFonts w:hint="eastAsia" w:ascii="仿宋" w:hAnsi="仿宋" w:eastAsia="仿宋" w:cs="仿宋_GB2312"/>
          <w:color w:val="000000"/>
          <w:kern w:val="2"/>
          <w:sz w:val="32"/>
          <w:szCs w:val="32"/>
        </w:rPr>
        <w:t>.项目管理机构实施项目安全管理标准化工作，开展安全文明工地建设活动的</w:t>
      </w:r>
      <w:r>
        <w:rPr>
          <w:rFonts w:ascii="仿宋" w:hAnsi="仿宋" w:eastAsia="仿宋" w:cs="仿宋_GB2312"/>
          <w:color w:val="000000"/>
          <w:kern w:val="2"/>
          <w:sz w:val="32"/>
          <w:szCs w:val="32"/>
        </w:rPr>
        <w:t>有关要求</w:t>
      </w:r>
      <w:r>
        <w:rPr>
          <w:rFonts w:hint="eastAsia" w:ascii="仿宋" w:hAnsi="仿宋" w:eastAsia="仿宋" w:cs="仿宋_GB2312"/>
          <w:color w:val="000000"/>
          <w:kern w:val="2"/>
          <w:sz w:val="32"/>
          <w:szCs w:val="32"/>
        </w:rPr>
        <w:t>。</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ascii="楷体" w:hAnsi="楷体" w:eastAsia="楷体" w:cs="仿宋_GB2312"/>
          <w:color w:val="000000"/>
          <w:kern w:val="2"/>
          <w:sz w:val="32"/>
          <w:szCs w:val="32"/>
        </w:rPr>
        <w:t>(</w:t>
      </w:r>
      <w:r>
        <w:rPr>
          <w:rFonts w:hint="eastAsia" w:ascii="楷体" w:hAnsi="楷体" w:eastAsia="楷体" w:cs="仿宋_GB2312"/>
          <w:color w:val="000000"/>
          <w:kern w:val="2"/>
          <w:sz w:val="32"/>
          <w:szCs w:val="32"/>
        </w:rPr>
        <w:t>四</w:t>
      </w:r>
      <w:r>
        <w:rPr>
          <w:rFonts w:ascii="楷体" w:hAnsi="楷体" w:eastAsia="楷体" w:cs="仿宋_GB2312"/>
          <w:color w:val="000000"/>
          <w:kern w:val="2"/>
          <w:sz w:val="32"/>
          <w:szCs w:val="32"/>
        </w:rPr>
        <w:t>)</w:t>
      </w:r>
      <w:r>
        <w:rPr>
          <w:rFonts w:hint="eastAsia" w:ascii="楷体" w:hAnsi="楷体" w:eastAsia="楷体" w:cs="仿宋_GB2312"/>
          <w:color w:val="000000"/>
          <w:kern w:val="2"/>
          <w:sz w:val="32"/>
          <w:szCs w:val="32"/>
        </w:rPr>
        <w:t>建设工程</w:t>
      </w:r>
      <w:r>
        <w:rPr>
          <w:rFonts w:ascii="楷体" w:hAnsi="楷体" w:eastAsia="楷体" w:cs="仿宋_GB2312"/>
          <w:color w:val="000000"/>
          <w:kern w:val="2"/>
          <w:sz w:val="32"/>
          <w:szCs w:val="32"/>
        </w:rPr>
        <w:t>安全风险分级管控与关键技术实务操作</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1.深基坑工程设计施工中的安全问题与管控；</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（1）深基坑工程的特点及重点；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（2）深基坑工程的概念设计；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（3）深基坑工程的施工方法；</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（4）基坑支护结构设计与施工；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（5）深基坑设计及施工安全问题与管控案例及分析。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2.建筑施工脚手架安全技术标准及案例分析；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（1）专项施工方案及论证；</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（2）安全技术标准及监管要点；</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3.建筑施工高处作业吊篮安全管理的标准及案例分析；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（1）高处作业吊篮施工安全监管现状；</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（2）高处作业吊篮相关标准解读；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（3）高处作业吊篮事故案例分析；</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（4）模板支架应用技术。</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(五)建设施工过程中安全隐患排查治理</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1.住建部及各地对于建筑施工安全隐患排查与治理的规范性文件解读；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2.建设施工工程中安全隐患种类划分；</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3.建设项目安全隐患排查的常用方法；</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4.建设施工过程中安全隐患排查治理的技术应用与创新。</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（六）安全管理信息化建设项目解决方案</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1.建筑施工安全信息化管理现状；</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2.基于网络及数据的安全管理信息系统；</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3.隐患排查标准不统一；</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4.隐患整改跟进落实不到位；</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5.安全教育培训管理易疏漏。</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（七）如何规避安全事故引起的法律风险</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1.企业主要负责人和安全生产管理人员安全生产方面的基本职责；</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2.企业主要负责人和安全生产管理人员常见的刑事法律风险；</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3.典型的安全事故追责案件辩护实录及精解；</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4.刑辩律师视角下看企业主要负责人和安全生产管理人员应如何规避安全事故引发的刑事法律风险；</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5.工程行业相关法律法规综合解读（建筑法和建筑工程安全管理条例）；</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（1）建设单位的法定安全职责和法律责任；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（2）监理单位的法定安全职责和法律责任；</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（3）施工单位的法定安全职责和法律责任。</w:t>
      </w:r>
    </w:p>
    <w:p>
      <w:pPr>
        <w:pStyle w:val="5"/>
        <w:widowControl/>
        <w:shd w:val="clear" w:color="auto" w:fill="FFFFFF"/>
        <w:spacing w:before="0" w:beforeAutospacing="0" w:after="0" w:afterAutospacing="0" w:line="520" w:lineRule="exact"/>
        <w:ind w:firstLine="640" w:firstLineChars="200"/>
        <w:rPr>
          <w:rFonts w:ascii="楷体" w:hAnsi="楷体" w:eastAsia="楷体" w:cs="仿宋_GB2312"/>
          <w:color w:val="000000"/>
          <w:kern w:val="2"/>
          <w:sz w:val="32"/>
          <w:szCs w:val="32"/>
        </w:rPr>
      </w:pPr>
      <w:r>
        <w:rPr>
          <w:rFonts w:hint="eastAsia" w:ascii="楷体" w:hAnsi="楷体" w:eastAsia="楷体" w:cs="仿宋_GB2312"/>
          <w:color w:val="000000"/>
          <w:kern w:val="2"/>
          <w:sz w:val="32"/>
          <w:szCs w:val="32"/>
        </w:rPr>
        <w:t>（八）建筑工程安全文明施工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1.建筑施工现场基础设施安全布置；</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2.建筑工程常用设备安全文明操作；</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3.基础工程安全文明施工；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4.钢筋混凝土工程安全文明施工；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5.砌筑工程安全文明施工；</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6.施工现场安全文明用电；</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7.攀登与悬空作业安全文明操作；</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8.安全文明施工管理。</w:t>
      </w:r>
    </w:p>
    <w:p>
      <w:pPr>
        <w:tabs>
          <w:tab w:val="left" w:pos="567"/>
          <w:tab w:val="left" w:pos="709"/>
        </w:tabs>
        <w:spacing w:line="520" w:lineRule="exact"/>
        <w:ind w:firstLine="640" w:firstLineChars="200"/>
        <w:jc w:val="left"/>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二、</w:t>
      </w:r>
      <w:r>
        <w:rPr>
          <w:rFonts w:cs="仿宋_GB2312" w:asciiTheme="majorEastAsia" w:hAnsiTheme="majorEastAsia" w:eastAsiaTheme="majorEastAsia"/>
          <w:bCs/>
          <w:color w:val="000000"/>
          <w:sz w:val="32"/>
          <w:szCs w:val="32"/>
        </w:rPr>
        <w:t>培训对象</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各建设工程质量安全监督主管领导和有关人员，各建设单位、施工单位主要安全负责人，各公司技术、安全、法务、相关部门负责人员、专职安全生产管理人员，监理单位项目总监和安全监理工程师，各房地产开发企业、建筑机械租赁、安拆单位质量安全技术负责人及项目负责人，设计院总工程师；院技术、安全、法务负责人等。</w:t>
      </w:r>
    </w:p>
    <w:p>
      <w:pPr>
        <w:tabs>
          <w:tab w:val="left" w:pos="567"/>
          <w:tab w:val="left" w:pos="709"/>
        </w:tabs>
        <w:spacing w:line="520" w:lineRule="exact"/>
        <w:ind w:firstLine="640" w:firstLineChars="200"/>
        <w:jc w:val="left"/>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三、授课师资</w:t>
      </w:r>
    </w:p>
    <w:p>
      <w:pPr>
        <w:pStyle w:val="5"/>
        <w:widowControl/>
        <w:shd w:val="clear" w:color="auto" w:fill="FFFFFF"/>
        <w:spacing w:before="0" w:beforeAutospacing="0" w:after="0" w:afterAutospacing="0" w:line="52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届时将邀请住建部有关部门、北京建筑大学、建设工程质量监督站等有关部门具有丰富实践经验的专家授课。培训将结合经典案例分析，进行现场答疑和互动交流。</w:t>
      </w:r>
    </w:p>
    <w:p>
      <w:pPr>
        <w:tabs>
          <w:tab w:val="left" w:pos="567"/>
          <w:tab w:val="left" w:pos="709"/>
        </w:tabs>
        <w:spacing w:line="520" w:lineRule="exact"/>
        <w:ind w:firstLine="640" w:firstLineChars="200"/>
        <w:textAlignment w:val="baseline"/>
        <w:outlineLvl w:val="0"/>
        <w:rPr>
          <w:rFonts w:hint="eastAsia" w:cs="仿宋_GB2312" w:asciiTheme="majorEastAsia" w:hAnsiTheme="majorEastAsia" w:eastAsiaTheme="majorEastAsia"/>
          <w:bCs/>
          <w:color w:val="000000"/>
          <w:sz w:val="32"/>
          <w:szCs w:val="32"/>
        </w:rPr>
      </w:pPr>
    </w:p>
    <w:p>
      <w:pPr>
        <w:tabs>
          <w:tab w:val="left" w:pos="567"/>
          <w:tab w:val="left" w:pos="709"/>
        </w:tabs>
        <w:spacing w:line="520" w:lineRule="exact"/>
        <w:ind w:firstLine="640" w:firstLineChars="200"/>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四、培训时间与地点</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2021年09月2</w:t>
      </w:r>
      <w:r>
        <w:rPr>
          <w:rFonts w:hint="eastAsia" w:ascii="仿宋" w:hAnsi="仿宋" w:eastAsia="仿宋" w:cs="仿宋"/>
          <w:sz w:val="32"/>
          <w:szCs w:val="32"/>
          <w:lang w:val="en-US" w:eastAsia="zh-CN"/>
        </w:rPr>
        <w:t>4</w:t>
      </w:r>
      <w:r>
        <w:rPr>
          <w:rFonts w:hint="eastAsia" w:ascii="仿宋" w:hAnsi="仿宋" w:eastAsia="仿宋" w:cs="仿宋"/>
          <w:sz w:val="32"/>
          <w:szCs w:val="32"/>
        </w:rPr>
        <w:t>日-09月2</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日 </w:t>
      </w:r>
      <w:r>
        <w:rPr>
          <w:rFonts w:hint="eastAsia" w:ascii="仿宋" w:hAnsi="仿宋" w:eastAsia="仿宋" w:cs="仿宋"/>
          <w:sz w:val="32"/>
          <w:szCs w:val="32"/>
          <w:lang w:eastAsia="zh-CN"/>
        </w:rPr>
        <w:t>成都</w:t>
      </w:r>
      <w:r>
        <w:rPr>
          <w:rFonts w:hint="eastAsia" w:ascii="仿宋" w:hAnsi="仿宋" w:eastAsia="仿宋" w:cs="仿宋"/>
          <w:sz w:val="32"/>
          <w:szCs w:val="32"/>
        </w:rPr>
        <w:t>市（2</w:t>
      </w:r>
      <w:r>
        <w:rPr>
          <w:rFonts w:hint="eastAsia" w:ascii="仿宋" w:hAnsi="仿宋" w:eastAsia="仿宋" w:cs="仿宋"/>
          <w:sz w:val="32"/>
          <w:szCs w:val="32"/>
          <w:lang w:val="en-US" w:eastAsia="zh-CN"/>
        </w:rPr>
        <w:t>4</w:t>
      </w:r>
      <w:r>
        <w:rPr>
          <w:rFonts w:hint="eastAsia" w:ascii="仿宋" w:hAnsi="仿宋" w:eastAsia="仿宋" w:cs="仿宋"/>
          <w:sz w:val="32"/>
          <w:szCs w:val="32"/>
        </w:rPr>
        <w:t>日全天报到）</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2021年10月22日-10月26日 西安市（22日全天报到）</w:t>
      </w:r>
    </w:p>
    <w:p>
      <w:pPr>
        <w:tabs>
          <w:tab w:val="left" w:pos="567"/>
          <w:tab w:val="left" w:pos="709"/>
        </w:tabs>
        <w:spacing w:line="520" w:lineRule="exact"/>
        <w:ind w:firstLine="640" w:firstLineChars="200"/>
        <w:jc w:val="left"/>
        <w:textAlignment w:val="baseline"/>
        <w:outlineLvl w:val="0"/>
        <w:rPr>
          <w:rFonts w:hint="eastAsia" w:ascii="仿宋" w:hAnsi="仿宋" w:eastAsia="仿宋" w:cs="仿宋"/>
          <w:sz w:val="32"/>
          <w:szCs w:val="32"/>
        </w:rPr>
      </w:pPr>
      <w:r>
        <w:rPr>
          <w:rFonts w:hint="eastAsia" w:ascii="仿宋" w:hAnsi="仿宋" w:eastAsia="仿宋" w:cs="仿宋"/>
          <w:sz w:val="32"/>
          <w:szCs w:val="32"/>
        </w:rPr>
        <w:t>2021年11月26日-11月30日 长沙市（26日全天报到）</w:t>
      </w:r>
    </w:p>
    <w:p>
      <w:pPr>
        <w:tabs>
          <w:tab w:val="left" w:pos="567"/>
          <w:tab w:val="left" w:pos="709"/>
        </w:tabs>
        <w:spacing w:line="520" w:lineRule="exact"/>
        <w:ind w:firstLine="640" w:firstLineChars="200"/>
        <w:jc w:val="left"/>
        <w:textAlignment w:val="baseline"/>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2021年12月24日-12月28日 海口市（24日全天报到）</w:t>
      </w:r>
    </w:p>
    <w:p>
      <w:pPr>
        <w:tabs>
          <w:tab w:val="left" w:pos="567"/>
          <w:tab w:val="left" w:pos="709"/>
        </w:tabs>
        <w:spacing w:line="520" w:lineRule="exact"/>
        <w:ind w:firstLine="640" w:firstLineChars="200"/>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五、收费标准</w:t>
      </w:r>
    </w:p>
    <w:p>
      <w:pPr>
        <w:spacing w:line="520" w:lineRule="exact"/>
        <w:ind w:firstLine="640" w:firstLineChars="200"/>
        <w:jc w:val="left"/>
        <w:textAlignment w:val="baseline"/>
        <w:rPr>
          <w:rFonts w:ascii="仿宋" w:hAnsi="仿宋" w:eastAsia="仿宋"/>
          <w:bCs/>
          <w:snapToGrid w:val="0"/>
          <w:color w:val="000000"/>
          <w:kern w:val="20"/>
          <w:position w:val="-4"/>
          <w:sz w:val="32"/>
          <w:szCs w:val="32"/>
        </w:rPr>
      </w:pPr>
      <w:r>
        <w:rPr>
          <w:rFonts w:hint="eastAsia" w:ascii="仿宋" w:hAnsi="仿宋" w:eastAsia="仿宋"/>
          <w:bCs/>
          <w:snapToGrid w:val="0"/>
          <w:color w:val="000000"/>
          <w:kern w:val="20"/>
          <w:position w:val="-4"/>
          <w:sz w:val="32"/>
          <w:szCs w:val="32"/>
        </w:rPr>
        <w:t>A.2980元/人（含培训费、资料费、电子课件、场地、会议期间午餐），住宿统一安排，费用自理。</w:t>
      </w:r>
    </w:p>
    <w:p>
      <w:pPr>
        <w:spacing w:line="520" w:lineRule="exact"/>
        <w:ind w:firstLine="640" w:firstLineChars="200"/>
        <w:jc w:val="left"/>
        <w:textAlignment w:val="baseline"/>
        <w:rPr>
          <w:rFonts w:ascii="仿宋" w:hAnsi="仿宋" w:eastAsia="仿宋"/>
          <w:bCs/>
          <w:snapToGrid w:val="0"/>
          <w:color w:val="000000"/>
          <w:kern w:val="20"/>
          <w:position w:val="-4"/>
          <w:sz w:val="32"/>
          <w:szCs w:val="32"/>
        </w:rPr>
      </w:pPr>
      <w:r>
        <w:rPr>
          <w:rFonts w:hint="eastAsia" w:ascii="仿宋" w:hAnsi="仿宋" w:eastAsia="仿宋"/>
          <w:bCs/>
          <w:snapToGrid w:val="0"/>
          <w:color w:val="000000"/>
          <w:kern w:val="20"/>
          <w:position w:val="-4"/>
          <w:sz w:val="32"/>
          <w:szCs w:val="32"/>
        </w:rPr>
        <w:t>B.3980元/人（含证书、培训费、资料费、电子课件、场地、会议期间午餐），住宿统一安排，费用自理。</w:t>
      </w:r>
    </w:p>
    <w:p>
      <w:pPr>
        <w:spacing w:line="520" w:lineRule="exact"/>
        <w:ind w:firstLine="640" w:firstLineChars="200"/>
        <w:jc w:val="left"/>
        <w:textAlignment w:val="baseline"/>
        <w:rPr>
          <w:rFonts w:ascii="仿宋" w:hAnsi="仿宋" w:eastAsia="仿宋"/>
          <w:bCs/>
          <w:snapToGrid w:val="0"/>
          <w:color w:val="000000"/>
          <w:kern w:val="20"/>
          <w:position w:val="-4"/>
          <w:sz w:val="32"/>
          <w:szCs w:val="32"/>
        </w:rPr>
      </w:pPr>
      <w:r>
        <w:rPr>
          <w:rFonts w:hint="eastAsia" w:ascii="仿宋" w:hAnsi="仿宋" w:eastAsia="仿宋"/>
          <w:bCs/>
          <w:snapToGrid w:val="0"/>
          <w:color w:val="000000"/>
          <w:kern w:val="20"/>
          <w:position w:val="-4"/>
          <w:sz w:val="32"/>
          <w:szCs w:val="32"/>
        </w:rPr>
        <w:t>C.5980元/人（含证书、培训费、资料费、电子课件、场地、会议期间食宿、交流等）。</w:t>
      </w:r>
    </w:p>
    <w:p>
      <w:pPr>
        <w:spacing w:line="520" w:lineRule="exact"/>
        <w:ind w:firstLine="640" w:firstLineChars="200"/>
        <w:jc w:val="left"/>
        <w:textAlignment w:val="baseline"/>
        <w:rPr>
          <w:rFonts w:hint="eastAsia" w:cs="仿宋_GB2312" w:asciiTheme="majorEastAsia" w:hAnsiTheme="majorEastAsia" w:eastAsiaTheme="majorEastAsia"/>
          <w:bCs/>
          <w:color w:val="000000"/>
          <w:sz w:val="32"/>
          <w:szCs w:val="32"/>
        </w:rPr>
      </w:pPr>
      <w:r>
        <w:rPr>
          <w:rFonts w:hint="eastAsia" w:ascii="仿宋" w:hAnsi="仿宋" w:eastAsia="仿宋"/>
          <w:bCs/>
          <w:snapToGrid w:val="0"/>
          <w:color w:val="000000"/>
          <w:kern w:val="20"/>
          <w:position w:val="-4"/>
          <w:sz w:val="32"/>
          <w:szCs w:val="32"/>
        </w:rPr>
        <w:t>备注：1.不参加线下培训，单独参加线上培训，考试成绩合格发</w:t>
      </w:r>
      <w:r>
        <w:rPr>
          <w:rFonts w:hint="eastAsia" w:ascii="仿宋" w:hAnsi="仿宋" w:eastAsia="仿宋" w:cs="仿宋_GB2312"/>
          <w:bCs/>
          <w:color w:val="000000"/>
          <w:sz w:val="32"/>
          <w:szCs w:val="32"/>
        </w:rPr>
        <w:t>《安全总监》、《安全管理工程师》</w:t>
      </w:r>
      <w:r>
        <w:rPr>
          <w:rFonts w:hint="eastAsia" w:ascii="仿宋" w:hAnsi="仿宋" w:eastAsia="仿宋"/>
          <w:bCs/>
          <w:snapToGrid w:val="0"/>
          <w:color w:val="000000"/>
          <w:kern w:val="20"/>
          <w:position w:val="-4"/>
          <w:sz w:val="32"/>
          <w:szCs w:val="32"/>
        </w:rPr>
        <w:t>证书，2800元/人。2.企业事业单位内训、顾问咨询事宜可随时与我们联系</w:t>
      </w:r>
    </w:p>
    <w:p>
      <w:pPr>
        <w:tabs>
          <w:tab w:val="left" w:pos="567"/>
          <w:tab w:val="left" w:pos="709"/>
        </w:tabs>
        <w:spacing w:line="520" w:lineRule="exact"/>
        <w:ind w:firstLine="640" w:firstLineChars="200"/>
        <w:jc w:val="left"/>
        <w:textAlignment w:val="baseline"/>
        <w:outlineLvl w:val="0"/>
        <w:rPr>
          <w:rFonts w:cs="仿宋_GB2312" w:asciiTheme="majorEastAsia" w:hAnsiTheme="majorEastAsia" w:eastAsiaTheme="majorEastAsia"/>
          <w:bCs/>
          <w:color w:val="000000"/>
          <w:sz w:val="32"/>
          <w:szCs w:val="32"/>
        </w:rPr>
      </w:pPr>
      <w:r>
        <w:rPr>
          <w:rFonts w:hint="eastAsia" w:cs="仿宋_GB2312" w:asciiTheme="majorEastAsia" w:hAnsiTheme="majorEastAsia" w:eastAsiaTheme="majorEastAsia"/>
          <w:bCs/>
          <w:color w:val="000000"/>
          <w:sz w:val="32"/>
          <w:szCs w:val="32"/>
        </w:rPr>
        <w:t>六、报名办法</w:t>
      </w:r>
    </w:p>
    <w:p>
      <w:pPr>
        <w:spacing w:line="520" w:lineRule="exact"/>
        <w:jc w:val="left"/>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spacing w:line="520" w:lineRule="exact"/>
        <w:jc w:val="left"/>
        <w:rPr>
          <w:rFonts w:hint="eastAsia" w:ascii="仿宋" w:hAnsi="仿宋" w:eastAsia="仿宋"/>
          <w:sz w:val="32"/>
          <w:szCs w:val="32"/>
        </w:rPr>
      </w:pPr>
      <w:r>
        <w:rPr>
          <w:rFonts w:hint="eastAsia" w:ascii="仿宋" w:hAnsi="仿宋" w:eastAsia="仿宋"/>
          <w:sz w:val="32"/>
          <w:szCs w:val="32"/>
        </w:rPr>
        <w:t xml:space="preserve">电  话：010-87697580     邮    箱：zqgphwz@126.com  </w:t>
      </w:r>
    </w:p>
    <w:p>
      <w:pPr>
        <w:spacing w:line="520" w:lineRule="exact"/>
        <w:jc w:val="left"/>
        <w:rPr>
          <w:rFonts w:ascii="仿宋" w:hAnsi="仿宋" w:eastAsia="仿宋" w:cs="仿宋_GB2312"/>
          <w:bCs/>
          <w:color w:val="000000"/>
          <w:sz w:val="32"/>
          <w:szCs w:val="32"/>
        </w:rPr>
      </w:pPr>
      <w:r>
        <w:rPr>
          <w:rFonts w:hint="eastAsia" w:ascii="仿宋" w:hAnsi="仿宋" w:eastAsia="仿宋"/>
          <w:sz w:val="32"/>
          <w:szCs w:val="32"/>
        </w:rPr>
        <w:t>qq咨询：3177524020 网址查询：http://www.zqgpchina.cn/</w:t>
      </w:r>
    </w:p>
    <w:p>
      <w:pPr>
        <w:tabs>
          <w:tab w:val="left" w:pos="567"/>
          <w:tab w:val="left" w:pos="709"/>
        </w:tabs>
        <w:ind w:firstLine="640" w:firstLineChars="200"/>
        <w:jc w:val="left"/>
        <w:textAlignment w:val="baseline"/>
        <w:outlineLvl w:val="0"/>
        <w:rPr>
          <w:rFonts w:ascii="仿宋" w:hAnsi="仿宋" w:eastAsia="仿宋"/>
          <w:bCs/>
          <w:color w:val="000000"/>
          <w:sz w:val="32"/>
          <w:szCs w:val="32"/>
        </w:rPr>
      </w:pPr>
      <w:r>
        <w:rPr>
          <w:rFonts w:hint="eastAsia" w:ascii="仿宋" w:hAnsi="仿宋" w:eastAsia="仿宋"/>
          <w:bCs/>
          <w:color w:val="000000"/>
          <w:sz w:val="32"/>
          <w:szCs w:val="32"/>
        </w:rPr>
        <w:t>附件：建设项目“危大”工程安全管理与工程质量责任体系建设与风险防范专题培训班报名回执表</w:t>
      </w:r>
    </w:p>
    <w:p>
      <w:pPr>
        <w:tabs>
          <w:tab w:val="left" w:pos="567"/>
          <w:tab w:val="left" w:pos="709"/>
        </w:tabs>
        <w:spacing w:line="310" w:lineRule="exact"/>
        <w:ind w:firstLine="6163" w:firstLineChars="2200"/>
        <w:textAlignment w:val="baseline"/>
        <w:outlineLvl w:val="0"/>
        <w:rPr>
          <w:rFonts w:ascii="仿宋" w:hAnsi="仿宋" w:eastAsia="仿宋" w:cs="仿宋_GB2312"/>
          <w:bCs/>
          <w:color w:val="000000"/>
          <w:sz w:val="28"/>
          <w:szCs w:val="28"/>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3148965</wp:posOffset>
            </wp:positionH>
            <wp:positionV relativeFrom="paragraph">
              <wp:posOffset>1905</wp:posOffset>
            </wp:positionV>
            <wp:extent cx="1452245" cy="1442720"/>
            <wp:effectExtent l="0" t="0" r="0"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spacing w:line="400" w:lineRule="exact"/>
        <w:ind w:firstLine="4676" w:firstLineChars="167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中国国际工程咨询协会</w:t>
      </w:r>
    </w:p>
    <w:p>
      <w:pPr>
        <w:spacing w:line="400" w:lineRule="exact"/>
        <w:ind w:firstLine="4961" w:firstLineChars="1772"/>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2021年</w:t>
      </w:r>
      <w:r>
        <w:rPr>
          <w:rFonts w:hint="eastAsia" w:ascii="仿宋" w:hAnsi="仿宋" w:eastAsia="仿宋" w:cs="仿宋_GB2312"/>
          <w:bCs/>
          <w:color w:val="000000"/>
          <w:sz w:val="28"/>
          <w:szCs w:val="28"/>
          <w:lang w:val="en-US" w:eastAsia="zh-CN"/>
        </w:rPr>
        <w:t>8</w:t>
      </w:r>
      <w:r>
        <w:rPr>
          <w:rFonts w:hint="eastAsia" w:ascii="仿宋" w:hAnsi="仿宋" w:eastAsia="仿宋" w:cs="仿宋_GB2312"/>
          <w:bCs/>
          <w:color w:val="000000"/>
          <w:sz w:val="28"/>
          <w:szCs w:val="28"/>
        </w:rPr>
        <w:t>月2</w:t>
      </w:r>
      <w:r>
        <w:rPr>
          <w:rFonts w:hint="eastAsia" w:ascii="仿宋" w:hAnsi="仿宋" w:eastAsia="仿宋" w:cs="仿宋_GB2312"/>
          <w:bCs/>
          <w:color w:val="000000"/>
          <w:sz w:val="28"/>
          <w:szCs w:val="28"/>
          <w:lang w:val="en-US" w:eastAsia="zh-CN"/>
        </w:rPr>
        <w:t>0</w:t>
      </w:r>
      <w:r>
        <w:rPr>
          <w:rFonts w:hint="eastAsia" w:ascii="仿宋" w:hAnsi="仿宋" w:eastAsia="仿宋" w:cs="仿宋_GB2312"/>
          <w:bCs/>
          <w:color w:val="000000"/>
          <w:sz w:val="28"/>
          <w:szCs w:val="28"/>
        </w:rPr>
        <w:t>日</w:t>
      </w: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r>
        <w:rPr>
          <w:rFonts w:ascii="仿宋" w:hAnsi="仿宋" w:eastAsia="仿宋" w:cs="仿宋_GB2312"/>
          <w:b/>
          <w:bCs/>
          <w:color w:val="000000"/>
          <w:sz w:val="32"/>
          <w:szCs w:val="32"/>
        </w:rPr>
        <w:br w:type="page"/>
      </w:r>
    </w:p>
    <w:p>
      <w:pPr>
        <w:tabs>
          <w:tab w:val="left" w:pos="567"/>
          <w:tab w:val="left" w:pos="709"/>
        </w:tabs>
        <w:spacing w:line="320" w:lineRule="exact"/>
        <w:jc w:val="left"/>
        <w:textAlignment w:val="baseline"/>
        <w:outlineLvl w:val="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附件</w:t>
      </w:r>
    </w:p>
    <w:p>
      <w:pPr>
        <w:jc w:val="center"/>
        <w:rPr>
          <w:rFonts w:cs="仿宋_GB2312" w:asciiTheme="majorEastAsia" w:hAnsiTheme="majorEastAsia" w:eastAsiaTheme="majorEastAsia"/>
          <w:bCs/>
          <w:color w:val="000000"/>
          <w:spacing w:val="-24"/>
          <w:w w:val="80"/>
          <w:sz w:val="44"/>
          <w:szCs w:val="44"/>
        </w:rPr>
      </w:pPr>
      <w:r>
        <w:rPr>
          <w:rFonts w:asciiTheme="majorEastAsia" w:hAnsiTheme="majorEastAsia" w:eastAsiaTheme="majorEastAsia"/>
          <w:sz w:val="44"/>
          <w:szCs w:val="44"/>
        </w:rPr>
        <w:t>建设项目“危大”工程安全管理</w:t>
      </w:r>
      <w:r>
        <w:rPr>
          <w:rFonts w:hint="eastAsia" w:asciiTheme="majorEastAsia" w:hAnsiTheme="majorEastAsia" w:eastAsiaTheme="majorEastAsia"/>
          <w:sz w:val="44"/>
          <w:szCs w:val="44"/>
        </w:rPr>
        <w:t>与文明施工</w:t>
      </w:r>
      <w:r>
        <w:rPr>
          <w:rFonts w:asciiTheme="majorEastAsia" w:hAnsiTheme="majorEastAsia" w:eastAsiaTheme="majorEastAsia"/>
          <w:sz w:val="44"/>
          <w:szCs w:val="44"/>
        </w:rPr>
        <w:t>专题培训班</w:t>
      </w:r>
      <w:r>
        <w:rPr>
          <w:rFonts w:hint="eastAsia" w:asciiTheme="majorEastAsia" w:hAnsiTheme="majorEastAsia" w:eastAsiaTheme="majorEastAsia"/>
          <w:sz w:val="44"/>
          <w:szCs w:val="44"/>
        </w:rPr>
        <w:t>报名回执表</w:t>
      </w:r>
    </w:p>
    <w:tbl>
      <w:tblPr>
        <w:tblStyle w:val="6"/>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2158"/>
        <w:gridCol w:w="274"/>
        <w:gridCol w:w="419"/>
        <w:gridCol w:w="6"/>
        <w:gridCol w:w="306"/>
        <w:gridCol w:w="545"/>
        <w:gridCol w:w="296"/>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单位名称</w:t>
            </w:r>
          </w:p>
        </w:tc>
        <w:tc>
          <w:tcPr>
            <w:tcW w:w="4998"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7" w:type="dxa"/>
            <w:gridSpan w:val="3"/>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邮编</w:t>
            </w:r>
          </w:p>
        </w:tc>
        <w:tc>
          <w:tcPr>
            <w:tcW w:w="2304"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单位地址</w:t>
            </w:r>
          </w:p>
        </w:tc>
        <w:tc>
          <w:tcPr>
            <w:tcW w:w="8159" w:type="dxa"/>
            <w:gridSpan w:val="10"/>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联系人</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职位/岗位</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办公电话</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手    机</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传   真</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电子信箱</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参加培训人员</w:t>
            </w: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性别</w:t>
            </w: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职务</w:t>
            </w: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电话</w:t>
            </w: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手机</w:t>
            </w: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1572" w:type="dxa"/>
            <w:gridSpan w:val="5"/>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00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是否住宿</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是□    否□</w:t>
            </w: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住宿标准</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w:t>
            </w:r>
            <w:r>
              <w:rPr>
                <w:rFonts w:hint="eastAsia" w:ascii="仿宋" w:hAnsi="仿宋" w:eastAsia="仿宋" w:cs="仿宋_GB2312"/>
                <w:bCs/>
                <w:color w:val="000000"/>
                <w:szCs w:val="21"/>
              </w:rPr>
              <w:t xml:space="preserve">单住(需另补床位费)     </w:t>
            </w:r>
            <w:r>
              <w:rPr>
                <w:rFonts w:ascii="仿宋" w:hAnsi="仿宋" w:eastAsia="仿宋" w:cs="仿宋_GB2312"/>
                <w:bCs/>
                <w:color w:val="000000"/>
                <w:szCs w:val="21"/>
              </w:rPr>
              <w:t>□</w:t>
            </w:r>
            <w:r>
              <w:rPr>
                <w:rFonts w:hint="eastAsia" w:ascii="仿宋" w:hAnsi="仿宋" w:eastAsia="仿宋" w:cs="仿宋_GB2312"/>
                <w:bCs/>
                <w:color w:val="000000"/>
                <w:szCs w:val="21"/>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地点选择</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p>
        </w:tc>
        <w:tc>
          <w:tcPr>
            <w:tcW w:w="2432" w:type="dxa"/>
            <w:gridSpan w:val="2"/>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证书申报</w:t>
            </w:r>
          </w:p>
        </w:tc>
        <w:tc>
          <w:tcPr>
            <w:tcW w:w="3580"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 xml:space="preserve">安全总监□ </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 xml:space="preserve">安全管理工程师□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标准选项</w:t>
            </w:r>
            <w:r>
              <w:rPr>
                <w:rFonts w:hint="eastAsia" w:ascii="仿宋" w:hAnsi="仿宋" w:eastAsia="仿宋" w:cs="仿宋_GB2312"/>
                <w:bCs/>
                <w:color w:val="000000"/>
                <w:szCs w:val="21"/>
              </w:rPr>
              <w:tab/>
            </w:r>
            <w:r>
              <w:rPr>
                <w:rFonts w:hint="eastAsia" w:ascii="仿宋" w:hAnsi="仿宋" w:eastAsia="仿宋" w:cs="仿宋_GB2312"/>
                <w:bCs/>
                <w:color w:val="000000"/>
                <w:szCs w:val="21"/>
              </w:rPr>
              <w:t xml:space="preserve"> </w:t>
            </w:r>
          </w:p>
        </w:tc>
        <w:tc>
          <w:tcPr>
            <w:tcW w:w="8159" w:type="dxa"/>
            <w:gridSpan w:val="10"/>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付款方式</w:t>
            </w:r>
          </w:p>
        </w:tc>
        <w:tc>
          <w:tcPr>
            <w:tcW w:w="4305" w:type="dxa"/>
            <w:gridSpan w:val="3"/>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 xml:space="preserve">□通过银行     □通过网银 </w:t>
            </w:r>
          </w:p>
        </w:tc>
        <w:tc>
          <w:tcPr>
            <w:tcW w:w="1005" w:type="dxa"/>
            <w:gridSpan w:val="4"/>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金额</w:t>
            </w:r>
          </w:p>
        </w:tc>
        <w:tc>
          <w:tcPr>
            <w:tcW w:w="2849" w:type="dxa"/>
            <w:gridSpan w:val="3"/>
          </w:tcPr>
          <w:p>
            <w:pPr>
              <w:tabs>
                <w:tab w:val="left" w:pos="567"/>
                <w:tab w:val="left" w:pos="709"/>
              </w:tabs>
              <w:spacing w:line="300" w:lineRule="exact"/>
              <w:textAlignment w:val="baseline"/>
              <w:outlineLvl w:val="0"/>
              <w:rPr>
                <w:rFonts w:ascii="仿宋" w:hAnsi="仿宋" w:eastAsia="仿宋"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678" w:type="dxa"/>
          </w:tcPr>
          <w:p>
            <w:pPr>
              <w:tabs>
                <w:tab w:val="left" w:pos="567"/>
                <w:tab w:val="left" w:pos="709"/>
              </w:tabs>
              <w:spacing w:line="300" w:lineRule="exact"/>
              <w:textAlignment w:val="baseline"/>
              <w:outlineLvl w:val="0"/>
              <w:rPr>
                <w:rFonts w:ascii="仿宋" w:hAnsi="仿宋" w:eastAsia="仿宋" w:cs="仿宋_GB2312"/>
                <w:bCs/>
                <w:color w:val="000000"/>
                <w:szCs w:val="21"/>
              </w:rPr>
            </w:pP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汇款方式</w:t>
            </w:r>
          </w:p>
        </w:tc>
        <w:tc>
          <w:tcPr>
            <w:tcW w:w="8159" w:type="dxa"/>
            <w:gridSpan w:val="10"/>
          </w:tcPr>
          <w:p>
            <w:pPr>
              <w:spacing w:line="300" w:lineRule="exact"/>
              <w:rPr>
                <w:rFonts w:ascii="仿宋" w:hAnsi="仿宋" w:eastAsia="仿宋" w:cs="仿宋"/>
                <w:szCs w:val="21"/>
              </w:rPr>
            </w:pPr>
            <w:r>
              <w:rPr>
                <w:rFonts w:hint="eastAsia" w:ascii="仿宋" w:hAnsi="仿宋" w:eastAsia="仿宋" w:cs="仿宋"/>
                <w:szCs w:val="21"/>
              </w:rPr>
              <w:t xml:space="preserve">单位名称：北京中建科信信息咨询中心 </w:t>
            </w:r>
          </w:p>
          <w:p>
            <w:pPr>
              <w:spacing w:line="300" w:lineRule="exact"/>
              <w:rPr>
                <w:rFonts w:ascii="仿宋" w:hAnsi="仿宋" w:eastAsia="仿宋" w:cs="仿宋"/>
                <w:szCs w:val="21"/>
              </w:rPr>
            </w:pPr>
            <w:r>
              <w:rPr>
                <w:rFonts w:hint="eastAsia" w:ascii="仿宋" w:hAnsi="仿宋" w:eastAsia="仿宋" w:cs="仿宋"/>
                <w:szCs w:val="21"/>
              </w:rPr>
              <w:t>开 户 行：</w:t>
            </w:r>
            <w:r>
              <w:rPr>
                <w:rFonts w:hint="eastAsia" w:ascii="宋体" w:hAnsi="宋体" w:eastAsia="宋体" w:cs="宋体"/>
                <w:color w:val="000000"/>
                <w:kern w:val="0"/>
                <w:sz w:val="22"/>
              </w:rPr>
              <w:t>北京农村商业银行</w:t>
            </w:r>
            <w:r>
              <w:rPr>
                <w:rFonts w:hint="eastAsia" w:ascii="宋体" w:hAnsi="宋体" w:eastAsia="宋体" w:cs="宋体"/>
                <w:color w:val="000000"/>
                <w:kern w:val="0"/>
                <w:sz w:val="22"/>
                <w:lang w:eastAsia="zh-CN"/>
              </w:rPr>
              <w:t>海淀支行</w:t>
            </w:r>
            <w:r>
              <w:rPr>
                <w:rFonts w:hint="eastAsia" w:ascii="仿宋" w:hAnsi="仿宋" w:eastAsia="仿宋" w:cs="仿宋"/>
                <w:szCs w:val="21"/>
              </w:rPr>
              <w:t xml:space="preserve"> </w:t>
            </w:r>
          </w:p>
          <w:p>
            <w:pPr>
              <w:tabs>
                <w:tab w:val="left" w:pos="567"/>
                <w:tab w:val="left" w:pos="709"/>
              </w:tabs>
              <w:spacing w:line="300" w:lineRule="exact"/>
              <w:textAlignment w:val="baseline"/>
              <w:outlineLvl w:val="0"/>
              <w:rPr>
                <w:rFonts w:hint="eastAsia" w:ascii="仿宋" w:hAnsi="仿宋" w:eastAsia="仿宋" w:cs="仿宋"/>
                <w:szCs w:val="21"/>
              </w:rPr>
            </w:pPr>
            <w:r>
              <w:rPr>
                <w:rFonts w:hint="eastAsia" w:ascii="仿宋" w:hAnsi="仿宋" w:eastAsia="仿宋" w:cs="仿宋"/>
                <w:szCs w:val="21"/>
              </w:rPr>
              <w:t>账    号：0405 0401 0300 0007 362</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宋体" w:hAnsi="宋体"/>
                <w:color w:val="000000"/>
                <w:kern w:val="0"/>
                <w:szCs w:val="21"/>
              </w:rPr>
              <w:t>行    号：40210000</w:t>
            </w:r>
            <w:r>
              <w:rPr>
                <w:rFonts w:hint="eastAsia" w:ascii="宋体" w:hAnsi="宋体"/>
                <w:color w:val="000000"/>
                <w:kern w:val="0"/>
                <w:szCs w:val="21"/>
                <w:lang w:val="en-US" w:eastAsia="zh-CN"/>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发票类别</w:t>
            </w:r>
          </w:p>
        </w:tc>
        <w:tc>
          <w:tcPr>
            <w:tcW w:w="8159" w:type="dxa"/>
            <w:gridSpan w:val="10"/>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增值税（□普通□专用）发票,开票信息如下：</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单 位 名 称：</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税       号：</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地址、 电话：</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备注</w:t>
            </w:r>
          </w:p>
        </w:tc>
        <w:tc>
          <w:tcPr>
            <w:tcW w:w="5004" w:type="dxa"/>
            <w:gridSpan w:val="6"/>
            <w:vAlign w:val="center"/>
          </w:tcPr>
          <w:p>
            <w:pPr>
              <w:tabs>
                <w:tab w:val="left" w:pos="567"/>
                <w:tab w:val="left" w:pos="709"/>
              </w:tabs>
              <w:spacing w:line="300" w:lineRule="exact"/>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ab/>
            </w:r>
            <w:r>
              <w:rPr>
                <w:rFonts w:ascii="仿宋" w:hAnsi="仿宋" w:eastAsia="仿宋" w:cs="仿宋_GB2312"/>
                <w:bCs/>
                <w:color w:val="000000"/>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155" w:type="dxa"/>
            <w:gridSpan w:val="4"/>
            <w:vAlign w:val="center"/>
          </w:tcPr>
          <w:p>
            <w:pPr>
              <w:tabs>
                <w:tab w:val="left" w:pos="567"/>
                <w:tab w:val="left" w:pos="709"/>
              </w:tabs>
              <w:spacing w:line="300" w:lineRule="exact"/>
              <w:ind w:firstLine="420" w:firstLineChars="200"/>
              <w:textAlignment w:val="baseline"/>
              <w:outlineLvl w:val="0"/>
              <w:rPr>
                <w:rFonts w:ascii="仿宋" w:hAnsi="仿宋" w:eastAsia="仿宋" w:cs="仿宋_GB2312"/>
                <w:bCs/>
                <w:color w:val="000000"/>
                <w:szCs w:val="21"/>
              </w:rPr>
            </w:pPr>
            <w:r>
              <w:rPr>
                <w:rFonts w:ascii="仿宋" w:hAnsi="仿宋" w:eastAsia="仿宋" w:cs="仿宋_GB2312"/>
                <w:bCs/>
                <w:color w:val="000000"/>
                <w:szCs w:val="21"/>
              </w:rPr>
              <w:t>单位印章</w:t>
            </w:r>
          </w:p>
          <w:p>
            <w:pPr>
              <w:tabs>
                <w:tab w:val="left" w:pos="567"/>
                <w:tab w:val="left" w:pos="709"/>
              </w:tabs>
              <w:spacing w:line="300" w:lineRule="exact"/>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2021</w:t>
            </w:r>
            <w:r>
              <w:rPr>
                <w:rFonts w:ascii="仿宋" w:hAnsi="仿宋" w:eastAsia="仿宋" w:cs="仿宋_GB2312"/>
                <w:bCs/>
                <w:color w:val="000000"/>
                <w:szCs w:val="21"/>
              </w:rPr>
              <w:t>年  月  日</w:t>
            </w:r>
          </w:p>
        </w:tc>
      </w:tr>
    </w:tbl>
    <w:p>
      <w:pPr>
        <w:tabs>
          <w:tab w:val="left" w:pos="567"/>
          <w:tab w:val="left" w:pos="709"/>
        </w:tabs>
        <w:spacing w:line="300" w:lineRule="exact"/>
        <w:ind w:firstLine="560" w:firstLineChars="200"/>
        <w:textAlignment w:val="baseline"/>
        <w:outlineLvl w:val="0"/>
        <w:rPr>
          <w:rFonts w:hint="eastAsia" w:ascii="仿宋" w:hAnsi="仿宋" w:eastAsia="仿宋" w:cs="仿宋_GB2312"/>
          <w:bCs/>
          <w:color w:val="000000"/>
          <w:sz w:val="28"/>
          <w:szCs w:val="28"/>
        </w:rPr>
      </w:pPr>
    </w:p>
    <w:p>
      <w:pPr>
        <w:tabs>
          <w:tab w:val="left" w:pos="567"/>
          <w:tab w:val="left" w:pos="709"/>
        </w:tabs>
        <w:spacing w:line="300" w:lineRule="exact"/>
        <w:ind w:firstLine="560" w:firstLineChars="20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备注：培训班名额有限,请尽早报名，额满为止</w:t>
      </w:r>
    </w:p>
    <w:p>
      <w:pPr>
        <w:spacing w:line="300" w:lineRule="exact"/>
        <w:ind w:firstLine="560" w:firstLineChars="200"/>
        <w:rPr>
          <w:rFonts w:hint="eastAsia" w:ascii="仿宋" w:hAnsi="仿宋" w:eastAsia="仿宋"/>
          <w:sz w:val="28"/>
          <w:szCs w:val="28"/>
        </w:rPr>
      </w:pPr>
    </w:p>
    <w:p>
      <w:pPr>
        <w:spacing w:line="300" w:lineRule="exact"/>
        <w:ind w:firstLine="560" w:firstLineChars="200"/>
        <w:rPr>
          <w:rFonts w:hint="eastAsia" w:ascii="仿宋" w:hAnsi="仿宋" w:eastAsia="仿宋"/>
          <w:sz w:val="28"/>
          <w:szCs w:val="28"/>
        </w:rPr>
      </w:pPr>
      <w:bookmarkStart w:id="1" w:name="_GoBack"/>
      <w:bookmarkEnd w:id="1"/>
      <w:r>
        <w:rPr>
          <w:rFonts w:hint="eastAsia" w:ascii="仿宋" w:hAnsi="仿宋" w:eastAsia="仿宋"/>
          <w:sz w:val="28"/>
          <w:szCs w:val="28"/>
        </w:rPr>
        <w:t xml:space="preserve">报名负责人：聂红军 主任18211071700（微信）   </w:t>
      </w:r>
    </w:p>
    <w:p>
      <w:pPr>
        <w:spacing w:line="300" w:lineRule="exact"/>
        <w:ind w:firstLine="560" w:firstLineChars="20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00" w:lineRule="exact"/>
        <w:ind w:firstLine="560" w:firstLineChars="200"/>
        <w:rPr>
          <w:rFonts w:ascii="仿宋" w:hAnsi="仿宋" w:eastAsia="仿宋" w:cs="仿宋_GB2312"/>
          <w:bCs/>
          <w:color w:val="000000"/>
          <w:sz w:val="28"/>
          <w:szCs w:val="28"/>
        </w:rPr>
      </w:pPr>
      <w:r>
        <w:rPr>
          <w:rFonts w:hint="eastAsia" w:ascii="仿宋" w:hAnsi="仿宋" w:eastAsia="仿宋"/>
          <w:sz w:val="28"/>
          <w:szCs w:val="28"/>
        </w:rPr>
        <w:t>qq咨询：3177524020        网址查询：http://www.zqgpchina.cn/</w:t>
      </w:r>
      <w:r>
        <w:rPr>
          <w:rFonts w:hint="eastAsia" w:ascii="仿宋" w:hAnsi="仿宋" w:eastAsia="仿宋" w:cs="仿宋_GB2312"/>
          <w:bCs/>
          <w:color w:val="000000"/>
          <w:sz w:val="28"/>
          <w:szCs w:val="28"/>
        </w:rPr>
        <w:t xml:space="preserve"> </w:t>
      </w:r>
    </w:p>
    <w:sectPr>
      <w:footerReference r:id="rId3" w:type="default"/>
      <w:footerReference r:id="rId4" w:type="even"/>
      <w:pgSz w:w="11906" w:h="16838"/>
      <w:pgMar w:top="1270" w:right="1293" w:bottom="127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098678336"/>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47"/>
    <w:rsid w:val="000429A6"/>
    <w:rsid w:val="000635BD"/>
    <w:rsid w:val="00065752"/>
    <w:rsid w:val="00066FC8"/>
    <w:rsid w:val="0006701D"/>
    <w:rsid w:val="00086FD1"/>
    <w:rsid w:val="000D623B"/>
    <w:rsid w:val="00101876"/>
    <w:rsid w:val="00252A19"/>
    <w:rsid w:val="00262547"/>
    <w:rsid w:val="00277DD1"/>
    <w:rsid w:val="002F0B09"/>
    <w:rsid w:val="002F6C5F"/>
    <w:rsid w:val="003A6EAE"/>
    <w:rsid w:val="00407F16"/>
    <w:rsid w:val="0041689D"/>
    <w:rsid w:val="00442A90"/>
    <w:rsid w:val="004B3B4B"/>
    <w:rsid w:val="004E5835"/>
    <w:rsid w:val="00503116"/>
    <w:rsid w:val="00625061"/>
    <w:rsid w:val="00734CF6"/>
    <w:rsid w:val="007921F3"/>
    <w:rsid w:val="007A06B4"/>
    <w:rsid w:val="007E5692"/>
    <w:rsid w:val="00861FC2"/>
    <w:rsid w:val="008752EC"/>
    <w:rsid w:val="009E2C08"/>
    <w:rsid w:val="00A07D70"/>
    <w:rsid w:val="00A53612"/>
    <w:rsid w:val="00B55B6B"/>
    <w:rsid w:val="00B66847"/>
    <w:rsid w:val="00B97CF5"/>
    <w:rsid w:val="00BE182B"/>
    <w:rsid w:val="00C32D98"/>
    <w:rsid w:val="00C57CC7"/>
    <w:rsid w:val="00C82A2D"/>
    <w:rsid w:val="00CB2F51"/>
    <w:rsid w:val="00CC29D9"/>
    <w:rsid w:val="00D35C76"/>
    <w:rsid w:val="00D36F84"/>
    <w:rsid w:val="00D870D9"/>
    <w:rsid w:val="00DA7144"/>
    <w:rsid w:val="00DE1821"/>
    <w:rsid w:val="00E14F97"/>
    <w:rsid w:val="00E23DA6"/>
    <w:rsid w:val="00EC7C83"/>
    <w:rsid w:val="00F20FDA"/>
    <w:rsid w:val="00F820DE"/>
    <w:rsid w:val="00F93EFC"/>
    <w:rsid w:val="01AD00E1"/>
    <w:rsid w:val="03D72B66"/>
    <w:rsid w:val="057164AD"/>
    <w:rsid w:val="0A8D4924"/>
    <w:rsid w:val="0A971D96"/>
    <w:rsid w:val="0B30198C"/>
    <w:rsid w:val="1149633E"/>
    <w:rsid w:val="14AE254B"/>
    <w:rsid w:val="173533D7"/>
    <w:rsid w:val="1B831671"/>
    <w:rsid w:val="24DD06F4"/>
    <w:rsid w:val="26FC0EF3"/>
    <w:rsid w:val="27F96D69"/>
    <w:rsid w:val="281612B4"/>
    <w:rsid w:val="2A5634F0"/>
    <w:rsid w:val="2D07650E"/>
    <w:rsid w:val="2F6C2DF5"/>
    <w:rsid w:val="357B0FAE"/>
    <w:rsid w:val="37610C7D"/>
    <w:rsid w:val="3A2B124D"/>
    <w:rsid w:val="3D2A7B71"/>
    <w:rsid w:val="4022204B"/>
    <w:rsid w:val="407A568E"/>
    <w:rsid w:val="460D2589"/>
    <w:rsid w:val="47415467"/>
    <w:rsid w:val="48F34974"/>
    <w:rsid w:val="4A3D4759"/>
    <w:rsid w:val="4B8359A5"/>
    <w:rsid w:val="4BB442F6"/>
    <w:rsid w:val="4BE0656F"/>
    <w:rsid w:val="4CCE693E"/>
    <w:rsid w:val="50957218"/>
    <w:rsid w:val="5236594B"/>
    <w:rsid w:val="527F2630"/>
    <w:rsid w:val="5453405A"/>
    <w:rsid w:val="54683335"/>
    <w:rsid w:val="54C1051F"/>
    <w:rsid w:val="5BB741DE"/>
    <w:rsid w:val="5BDF1AF2"/>
    <w:rsid w:val="5C3816D7"/>
    <w:rsid w:val="5FB47DE5"/>
    <w:rsid w:val="638A686D"/>
    <w:rsid w:val="648D71A0"/>
    <w:rsid w:val="68DB306A"/>
    <w:rsid w:val="699279AE"/>
    <w:rsid w:val="6F1719CF"/>
    <w:rsid w:val="7102558A"/>
    <w:rsid w:val="76942748"/>
    <w:rsid w:val="76C03B43"/>
    <w:rsid w:val="76DF6BA1"/>
    <w:rsid w:val="78382598"/>
    <w:rsid w:val="78CC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kern w:val="0"/>
      <w:sz w:val="24"/>
    </w:rPr>
  </w:style>
  <w:style w:type="character" w:styleId="8">
    <w:name w:val="Strong"/>
    <w:basedOn w:val="7"/>
    <w:qFormat/>
    <w:uiPriority w:val="22"/>
    <w:rPr>
      <w:rFonts w:cs="Times New Roman"/>
      <w:b/>
      <w:bCs/>
    </w:rPr>
  </w:style>
  <w:style w:type="character" w:styleId="9">
    <w:name w:val="Emphasis"/>
    <w:basedOn w:val="7"/>
    <w:qFormat/>
    <w:uiPriority w:val="20"/>
    <w:rPr>
      <w:i/>
      <w:iCs/>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0"/>
    <w:rPr>
      <w:rFonts w:cs="宋体"/>
      <w:kern w:val="2"/>
      <w:sz w:val="18"/>
      <w:szCs w:val="18"/>
    </w:rPr>
  </w:style>
  <w:style w:type="character" w:customStyle="1" w:styleId="13">
    <w:name w:val="页脚 Char"/>
    <w:basedOn w:val="7"/>
    <w:link w:val="3"/>
    <w:qFormat/>
    <w:uiPriority w:val="99"/>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F8E9E-B6B4-428E-8405-DFBDBD5EA8AA}">
  <ds:schemaRefs/>
</ds:datastoreItem>
</file>

<file path=docProps/app.xml><?xml version="1.0" encoding="utf-8"?>
<Properties xmlns="http://schemas.openxmlformats.org/officeDocument/2006/extended-properties" xmlns:vt="http://schemas.openxmlformats.org/officeDocument/2006/docPropsVTypes">
  <Template>Normal</Template>
  <Pages>8</Pages>
  <Words>552</Words>
  <Characters>3152</Characters>
  <Lines>26</Lines>
  <Paragraphs>7</Paragraphs>
  <TotalTime>9</TotalTime>
  <ScaleCrop>false</ScaleCrop>
  <LinksUpToDate>false</LinksUpToDate>
  <CharactersWithSpaces>3697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Administrator</cp:lastModifiedBy>
  <dcterms:modified xsi:type="dcterms:W3CDTF">2021-08-24T01:11:29Z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2B09B6FBAB764C2E883CA2D13C736BA5</vt:lpwstr>
  </property>
</Properties>
</file>