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20" w:type="dxa"/>
        <w:jc w:val="center"/>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4" w:hRule="atLeast"/>
          <w:jc w:val="center"/>
        </w:trPr>
        <w:tc>
          <w:tcPr>
            <w:tcW w:w="10120" w:type="dxa"/>
            <w:noWrap/>
            <w:vAlign w:val="center"/>
          </w:tcPr>
          <w:p>
            <w:pPr>
              <w:jc w:val="distribute"/>
              <w:rPr>
                <w:rFonts w:cs="宋体"/>
                <w:color w:val="FF0000"/>
                <w:sz w:val="70"/>
                <w:szCs w:val="70"/>
              </w:rPr>
            </w:pPr>
            <w:r>
              <w:rPr>
                <w:rFonts w:cs="宋体"/>
                <w:color w:val="FF0000"/>
                <w:sz w:val="70"/>
                <w:szCs w:val="70"/>
              </w:rPr>
              <w:t>中 国 投 资 协 会</w:t>
            </w:r>
          </w:p>
          <w:p>
            <w:pPr>
              <w:jc w:val="distribute"/>
              <w:rPr>
                <w:rFonts w:cs="宋体"/>
                <w:color w:val="FF0000"/>
                <w:sz w:val="70"/>
                <w:szCs w:val="70"/>
              </w:rPr>
            </w:pPr>
            <w:r>
              <w:rPr>
                <w:rFonts w:cs="宋体"/>
                <w:color w:val="FF0000"/>
                <w:sz w:val="70"/>
                <w:szCs w:val="70"/>
              </w:rPr>
              <w:t>项目投融资专业委员会文件</w:t>
            </w:r>
          </w:p>
          <w:p>
            <w:pPr>
              <w:ind w:left="420" w:hanging="420"/>
              <w:jc w:val="center"/>
              <w:rPr>
                <w:rFonts w:ascii="仿宋" w:hAnsi="仿宋" w:eastAsia="仿宋"/>
                <w:color w:val="000000"/>
                <w:sz w:val="32"/>
                <w:szCs w:val="32"/>
              </w:rPr>
            </w:pPr>
            <w:r>
              <w:rPr>
                <w:rFonts w:ascii="仿宋" w:hAnsi="仿宋" w:eastAsia="仿宋" w:cs="宋体"/>
                <w:sz w:val="32"/>
                <w:szCs w:val="32"/>
              </w:rPr>
              <w:t>投融培〔202</w:t>
            </w: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号</w:t>
            </w:r>
          </w:p>
        </w:tc>
      </w:tr>
    </w:tbl>
    <w:p>
      <w:pPr>
        <w:spacing w:line="420" w:lineRule="exact"/>
        <w:rPr>
          <w:rFonts w:ascii="宋体" w:hAnsi="宋体" w:cs="宋体"/>
          <w:b/>
          <w:bCs/>
          <w:sz w:val="36"/>
          <w:szCs w:val="36"/>
        </w:rPr>
      </w:pPr>
    </w:p>
    <w:p>
      <w:pPr>
        <w:spacing w:line="440" w:lineRule="exact"/>
        <w:jc w:val="center"/>
        <w:rPr>
          <w:rFonts w:ascii="宋体" w:hAnsi="宋体" w:cs="宋体"/>
          <w:b/>
          <w:bCs/>
          <w:sz w:val="36"/>
          <w:szCs w:val="36"/>
        </w:rPr>
      </w:pPr>
      <w:r>
        <w:rPr>
          <w:rFonts w:hint="eastAsia" w:ascii="宋体" w:hAnsi="宋体" w:cs="宋体"/>
          <w:b/>
          <w:bCs/>
          <w:sz w:val="36"/>
          <w:szCs w:val="36"/>
        </w:rPr>
        <w:t>关于举办新版《工程总承包合同（示范文本）》下EPC</w:t>
      </w:r>
    </w:p>
    <w:p>
      <w:pPr>
        <w:spacing w:line="440" w:lineRule="exact"/>
        <w:jc w:val="center"/>
        <w:rPr>
          <w:rFonts w:ascii="宋体" w:hAnsi="宋体" w:cs="宋体"/>
          <w:b/>
          <w:bCs/>
          <w:sz w:val="36"/>
          <w:szCs w:val="36"/>
        </w:rPr>
      </w:pPr>
      <w:r>
        <w:rPr>
          <w:rFonts w:hint="eastAsia" w:ascii="宋体" w:hAnsi="宋体" w:cs="宋体"/>
          <w:b/>
          <w:bCs/>
          <w:sz w:val="36"/>
          <w:szCs w:val="36"/>
        </w:rPr>
        <w:t>工程总承包项目全过程管理实践 计价管理与业主方</w:t>
      </w:r>
    </w:p>
    <w:p>
      <w:pPr>
        <w:spacing w:line="440" w:lineRule="exact"/>
        <w:jc w:val="center"/>
        <w:rPr>
          <w:b/>
        </w:rPr>
      </w:pPr>
      <w:r>
        <w:rPr>
          <w:rFonts w:hint="eastAsia" w:ascii="宋体" w:hAnsi="宋体" w:cs="宋体"/>
          <w:b/>
          <w:bCs/>
          <w:sz w:val="36"/>
          <w:szCs w:val="36"/>
        </w:rPr>
        <w:t>建设项目管理 工程现场管理实务高级培训班的通知</w:t>
      </w:r>
    </w:p>
    <w:p>
      <w:pPr>
        <w:spacing w:line="360" w:lineRule="exact"/>
        <w:rPr>
          <w:rFonts w:ascii="仿宋" w:hAnsi="仿宋" w:eastAsia="仿宋" w:cs="宋体"/>
          <w:b/>
          <w:color w:val="000000"/>
          <w:sz w:val="28"/>
          <w:szCs w:val="28"/>
        </w:rPr>
      </w:pPr>
    </w:p>
    <w:p>
      <w:pPr>
        <w:spacing w:line="360" w:lineRule="exact"/>
        <w:rPr>
          <w:rFonts w:ascii="仿宋" w:hAnsi="仿宋" w:eastAsia="仿宋" w:cs="仿宋"/>
          <w:bCs/>
          <w:color w:val="000000"/>
          <w:sz w:val="32"/>
          <w:szCs w:val="32"/>
        </w:rPr>
      </w:pPr>
      <w:r>
        <w:rPr>
          <w:rFonts w:hint="eastAsia" w:ascii="仿宋" w:hAnsi="仿宋" w:eastAsia="仿宋" w:cs="仿宋"/>
          <w:bCs/>
          <w:color w:val="000000"/>
          <w:sz w:val="32"/>
          <w:szCs w:val="32"/>
        </w:rPr>
        <w:t>各有关单位：</w:t>
      </w:r>
    </w:p>
    <w:p>
      <w:pPr>
        <w:spacing w:line="360" w:lineRule="exact"/>
        <w:ind w:firstLine="640" w:firstLineChars="200"/>
        <w:jc w:val="left"/>
        <w:rPr>
          <w:rFonts w:ascii="仿宋" w:hAnsi="仿宋" w:eastAsia="仿宋" w:cs="仿宋"/>
          <w:bCs/>
          <w:color w:val="000000"/>
          <w:sz w:val="32"/>
          <w:szCs w:val="32"/>
        </w:rPr>
      </w:pPr>
      <w:r>
        <w:rPr>
          <w:rFonts w:hint="eastAsia" w:ascii="仿宋" w:hAnsi="仿宋" w:eastAsia="仿宋" w:cs="仿宋"/>
          <w:bCs/>
          <w:color w:val="000000"/>
          <w:sz w:val="32"/>
          <w:szCs w:val="32"/>
        </w:rPr>
        <w:t>为促进建设项目工程总承包健康发展，维护工程总承包合同当事人的合法权益，住房和城乡建设部、市场监管总局制定了《建设项目工程总承包合同（示范文本）》（GF-2020-0216），自2021年1月1日起执行。2020年初，住房和城乡建设部、国家发展改革委印发了《房屋建筑和市政基础设施项目工程总承包管理办法》（建市规〔2019〕12号），用以规范房屋建筑和市政基础设施项目工程总承包活动，提升工程建设质量和效益。为贯彻落实工程总承包相关政策，学习掌握住房和城乡建设部关于工程总承包(EPC)计价计量规范的基本要求，解决工程建设各相关方在推行工程总承包过程中面临的法律法规、操作实施问题和管理技术难点，中国投资协会项目投融资专业委员会会同北京众合至诚咨询有限公司举办</w:t>
      </w:r>
      <w:r>
        <w:rPr>
          <w:rFonts w:hint="eastAsia" w:ascii="仿宋" w:hAnsi="仿宋" w:eastAsia="仿宋" w:cs="仿宋"/>
          <w:b/>
          <w:color w:val="000000"/>
          <w:sz w:val="32"/>
          <w:szCs w:val="32"/>
        </w:rPr>
        <w:t>“新版《工程总承包合同（示范文本）》下EPC工程总承包项目全过程管理实践、计价管理与业主方建设项目管理、工程现场管理实务高级培训班”</w:t>
      </w:r>
      <w:r>
        <w:rPr>
          <w:rFonts w:hint="eastAsia" w:ascii="仿宋" w:hAnsi="仿宋" w:eastAsia="仿宋" w:cs="仿宋"/>
          <w:bCs/>
          <w:color w:val="000000"/>
          <w:sz w:val="32"/>
          <w:szCs w:val="32"/>
        </w:rPr>
        <w:t>。</w:t>
      </w:r>
    </w:p>
    <w:p>
      <w:pPr>
        <w:spacing w:line="360" w:lineRule="exact"/>
        <w:ind w:firstLine="640" w:firstLineChars="200"/>
        <w:jc w:val="left"/>
        <w:rPr>
          <w:rFonts w:ascii="仿宋" w:hAnsi="仿宋" w:eastAsia="仿宋" w:cs="仿宋"/>
          <w:bCs/>
          <w:color w:val="000000"/>
          <w:sz w:val="32"/>
          <w:szCs w:val="32"/>
        </w:rPr>
      </w:pPr>
      <w:r>
        <w:rPr>
          <w:rFonts w:hint="eastAsia" w:ascii="仿宋" w:hAnsi="仿宋" w:eastAsia="仿宋" w:cs="仿宋"/>
          <w:bCs/>
          <w:color w:val="000000"/>
          <w:sz w:val="32"/>
          <w:szCs w:val="32"/>
        </w:rPr>
        <w:t>本次培训旨在</w:t>
      </w:r>
      <w:r>
        <w:rPr>
          <w:rFonts w:hint="eastAsia" w:ascii="仿宋" w:hAnsi="仿宋" w:eastAsia="仿宋" w:cs="宋体"/>
          <w:color w:val="000000"/>
          <w:sz w:val="32"/>
          <w:szCs w:val="32"/>
        </w:rPr>
        <w:t>帮助政府有关部门、建设单位、设计单位、施工单位、监理单位等相关人员学习理解</w:t>
      </w:r>
      <w:r>
        <w:rPr>
          <w:rFonts w:hint="eastAsia" w:ascii="仿宋" w:hAnsi="仿宋" w:eastAsia="仿宋" w:cs="仿宋"/>
          <w:bCs/>
          <w:color w:val="000000"/>
          <w:sz w:val="32"/>
          <w:szCs w:val="32"/>
        </w:rPr>
        <w:t>EPC工程总承包政策法规、行业规范、合同文本和管理方法，分享工程总承包先进理念与实践经验，掌握合理确定EPC总承包计价与计量、结算方法及各种合同条款应用实务,完善工程项目建设管理制度，</w:t>
      </w:r>
      <w:r>
        <w:rPr>
          <w:rFonts w:hint="eastAsia" w:ascii="仿宋" w:hAnsi="仿宋" w:eastAsia="仿宋" w:cs="宋体"/>
          <w:color w:val="000000"/>
          <w:sz w:val="32"/>
          <w:szCs w:val="32"/>
        </w:rPr>
        <w:t>全面提高项目管理水平，</w:t>
      </w:r>
      <w:r>
        <w:rPr>
          <w:rFonts w:hint="eastAsia" w:ascii="仿宋" w:hAnsi="仿宋" w:eastAsia="仿宋" w:cs="仿宋"/>
          <w:bCs/>
          <w:color w:val="000000"/>
          <w:sz w:val="32"/>
          <w:szCs w:val="32"/>
        </w:rPr>
        <w:t>抓好在建项目现场管理，有效防范风险，促进工程建设管理高质量发展。现将有关事项通知如下：</w:t>
      </w:r>
    </w:p>
    <w:p>
      <w:pPr>
        <w:spacing w:line="3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一、组织机构</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主办单位：中国投资协会项目投融资专业委员会</w:t>
      </w:r>
    </w:p>
    <w:p>
      <w:pPr>
        <w:spacing w:line="360" w:lineRule="exact"/>
        <w:ind w:right="-147" w:rightChars="-70"/>
        <w:rPr>
          <w:rFonts w:ascii="仿宋" w:hAnsi="仿宋" w:eastAsia="仿宋" w:cstheme="minorEastAsia"/>
          <w:b/>
          <w:bCs/>
          <w:sz w:val="24"/>
        </w:rPr>
      </w:pPr>
      <w:r>
        <w:rPr>
          <w:rFonts w:hint="eastAsia" w:ascii="仿宋" w:hAnsi="仿宋" w:eastAsia="仿宋"/>
          <w:sz w:val="32"/>
          <w:szCs w:val="32"/>
          <w:lang w:val="en-US" w:eastAsia="zh-CN"/>
        </w:rPr>
        <w:t xml:space="preserve">    </w:t>
      </w:r>
      <w:r>
        <w:rPr>
          <w:rFonts w:hint="eastAsia" w:ascii="仿宋" w:hAnsi="仿宋" w:eastAsia="仿宋"/>
          <w:sz w:val="32"/>
          <w:szCs w:val="32"/>
        </w:rPr>
        <w:t>承办单位：北京</w:t>
      </w:r>
      <w:r>
        <w:rPr>
          <w:rFonts w:hint="eastAsia" w:ascii="仿宋" w:hAnsi="仿宋" w:eastAsia="仿宋"/>
          <w:sz w:val="32"/>
          <w:szCs w:val="32"/>
          <w:lang w:eastAsia="zh-CN"/>
        </w:rPr>
        <w:t>中科领航教育咨询有限公司</w:t>
      </w:r>
    </w:p>
    <w:p>
      <w:pPr>
        <w:spacing w:line="360" w:lineRule="exact"/>
        <w:ind w:firstLine="640" w:firstLineChars="200"/>
        <w:rPr>
          <w:rFonts w:ascii="仿宋_GB2312" w:hAnsi="仿宋_GB2312" w:eastAsia="仿宋_GB2312" w:cs="仿宋_GB2312"/>
          <w:bCs/>
          <w:color w:val="000000"/>
          <w:sz w:val="32"/>
          <w:szCs w:val="32"/>
        </w:rPr>
      </w:pPr>
    </w:p>
    <w:p>
      <w:pPr>
        <w:spacing w:line="360" w:lineRule="exact"/>
        <w:ind w:firstLine="640" w:firstLineChars="200"/>
        <w:rPr>
          <w:rFonts w:ascii="楷体" w:hAnsi="楷体" w:eastAsia="楷体" w:cs="楷体"/>
          <w:sz w:val="32"/>
          <w:szCs w:val="32"/>
        </w:rPr>
      </w:pPr>
      <w:r>
        <w:rPr>
          <w:rFonts w:hint="eastAsia" w:ascii="黑体" w:hAnsi="黑体" w:eastAsia="黑体" w:cs="黑体"/>
          <w:sz w:val="32"/>
          <w:szCs w:val="32"/>
        </w:rPr>
        <w:t>二、培训内容</w:t>
      </w:r>
      <w:r>
        <w:rPr>
          <w:rFonts w:hint="eastAsia" w:ascii="楷体" w:hAnsi="楷体" w:eastAsia="楷体" w:cs="楷体"/>
          <w:sz w:val="32"/>
          <w:szCs w:val="32"/>
        </w:rPr>
        <w:t>（详细内容见附件）</w:t>
      </w:r>
    </w:p>
    <w:p>
      <w:pPr>
        <w:spacing w:line="360" w:lineRule="exact"/>
        <w:ind w:firstLine="960" w:firstLineChars="300"/>
        <w:rPr>
          <w:rFonts w:ascii="仿宋" w:hAnsi="仿宋" w:eastAsia="仿宋"/>
          <w:sz w:val="32"/>
          <w:szCs w:val="32"/>
          <w:lang w:val="zh-CN"/>
        </w:rPr>
      </w:pPr>
      <w:r>
        <w:rPr>
          <w:rFonts w:hint="eastAsia" w:ascii="楷体" w:hAnsi="楷体" w:eastAsia="楷体"/>
          <w:sz w:val="32"/>
          <w:szCs w:val="32"/>
        </w:rPr>
        <w:t>1.</w:t>
      </w:r>
      <w:r>
        <w:rPr>
          <w:rFonts w:hint="eastAsia" w:ascii="仿宋" w:hAnsi="仿宋" w:eastAsia="仿宋"/>
          <w:sz w:val="32"/>
          <w:szCs w:val="32"/>
          <w:lang w:val="zh-CN"/>
        </w:rPr>
        <w:t>新形势下EPC工程总承包项目全过程管控实践</w:t>
      </w:r>
    </w:p>
    <w:p>
      <w:pPr>
        <w:spacing w:line="360" w:lineRule="exact"/>
        <w:ind w:firstLine="960" w:firstLineChars="300"/>
        <w:rPr>
          <w:rFonts w:ascii="仿宋" w:hAnsi="仿宋" w:eastAsia="仿宋"/>
          <w:sz w:val="32"/>
          <w:szCs w:val="32"/>
          <w:lang w:val="zh-CN"/>
        </w:rPr>
      </w:pPr>
      <w:r>
        <w:rPr>
          <w:rFonts w:hint="eastAsia" w:ascii="仿宋" w:hAnsi="仿宋" w:eastAsia="仿宋"/>
          <w:sz w:val="32"/>
          <w:szCs w:val="32"/>
        </w:rPr>
        <w:t>2.</w:t>
      </w:r>
      <w:r>
        <w:rPr>
          <w:rFonts w:hint="eastAsia" w:ascii="仿宋" w:hAnsi="仿宋" w:eastAsia="仿宋"/>
          <w:sz w:val="32"/>
          <w:szCs w:val="32"/>
          <w:lang w:val="zh-CN"/>
        </w:rPr>
        <w:t>EPC工程投资控制、合同定价与结算管理实务</w:t>
      </w:r>
    </w:p>
    <w:p>
      <w:pPr>
        <w:spacing w:line="360" w:lineRule="exact"/>
        <w:ind w:firstLine="960" w:firstLineChars="300"/>
        <w:rPr>
          <w:rFonts w:ascii="仿宋" w:hAnsi="仿宋" w:eastAsia="仿宋"/>
          <w:sz w:val="32"/>
          <w:szCs w:val="32"/>
          <w:lang w:val="zh-CN"/>
        </w:rPr>
      </w:pPr>
      <w:r>
        <w:rPr>
          <w:rFonts w:hint="eastAsia" w:ascii="仿宋" w:hAnsi="仿宋" w:eastAsia="仿宋"/>
          <w:sz w:val="32"/>
          <w:szCs w:val="32"/>
        </w:rPr>
        <w:t>3.</w:t>
      </w:r>
      <w:r>
        <w:rPr>
          <w:rFonts w:hint="eastAsia" w:ascii="仿宋" w:hAnsi="仿宋" w:eastAsia="仿宋"/>
          <w:sz w:val="32"/>
          <w:szCs w:val="32"/>
          <w:lang w:val="zh-CN"/>
        </w:rPr>
        <w:t>新时期业主方工程现场管理与建设项目管理实务</w:t>
      </w:r>
    </w:p>
    <w:p>
      <w:pPr>
        <w:spacing w:line="360" w:lineRule="exact"/>
        <w:ind w:firstLine="640" w:firstLineChars="200"/>
        <w:rPr>
          <w:rFonts w:ascii="黑体" w:hAnsi="黑体" w:eastAsia="黑体" w:cs="黑体"/>
          <w:sz w:val="32"/>
          <w:szCs w:val="32"/>
        </w:rPr>
      </w:pPr>
      <w:r>
        <w:rPr>
          <w:rFonts w:hint="eastAsia" w:ascii="黑体" w:hAnsi="黑体" w:eastAsia="黑体" w:cs="黑体"/>
          <w:sz w:val="32"/>
          <w:szCs w:val="32"/>
        </w:rPr>
        <w:t>三、培训对象</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各地方政府建设管理、城市规划、工程设计、工程施工、工程监理、工程造价、工程咨询、计划财务等单位以及相关行业协会负责人。</w:t>
      </w:r>
    </w:p>
    <w:p>
      <w:pPr>
        <w:spacing w:line="360" w:lineRule="exact"/>
        <w:ind w:firstLine="640" w:firstLineChars="200"/>
        <w:rPr>
          <w:rFonts w:ascii="仿宋" w:hAnsi="仿宋" w:eastAsia="仿宋"/>
          <w:sz w:val="32"/>
          <w:szCs w:val="32"/>
        </w:rPr>
      </w:pPr>
      <w:r>
        <w:rPr>
          <w:rFonts w:hint="eastAsia" w:ascii="黑体" w:hAnsi="黑体" w:eastAsia="黑体" w:cs="黑体"/>
          <w:sz w:val="32"/>
          <w:szCs w:val="32"/>
        </w:rPr>
        <w:t>四、授课专家</w:t>
      </w:r>
    </w:p>
    <w:p>
      <w:pPr>
        <w:spacing w:line="360" w:lineRule="exact"/>
        <w:ind w:firstLine="640" w:firstLineChars="200"/>
        <w:rPr>
          <w:rFonts w:ascii="仿宋" w:hAnsi="仿宋" w:eastAsia="仿宋"/>
          <w:sz w:val="32"/>
          <w:szCs w:val="32"/>
        </w:rPr>
      </w:pPr>
      <w:r>
        <w:rPr>
          <w:rFonts w:hint="eastAsia" w:ascii="仿宋" w:hAnsi="仿宋" w:eastAsia="仿宋"/>
          <w:sz w:val="32"/>
          <w:szCs w:val="32"/>
          <w:lang w:val="zh-CN"/>
        </w:rPr>
        <w:t>拟聘请国家发改委、住建部、行业协会等参与文件编写的有关专家学者授课，结合经典实例分析，并进行现场答疑和互动交流。</w:t>
      </w:r>
    </w:p>
    <w:p>
      <w:pPr>
        <w:spacing w:line="360" w:lineRule="exact"/>
        <w:ind w:firstLine="640" w:firstLineChars="200"/>
        <w:rPr>
          <w:rFonts w:ascii="仿宋" w:hAnsi="仿宋" w:eastAsia="仿宋"/>
          <w:sz w:val="32"/>
          <w:szCs w:val="32"/>
        </w:rPr>
      </w:pPr>
      <w:r>
        <w:rPr>
          <w:rFonts w:hint="eastAsia" w:ascii="黑体" w:hAnsi="黑体" w:eastAsia="黑体" w:cs="黑体"/>
          <w:sz w:val="32"/>
          <w:szCs w:val="32"/>
        </w:rPr>
        <w:t>五、时间地点</w:t>
      </w:r>
      <w:r>
        <w:rPr>
          <w:rFonts w:hint="eastAsia" w:ascii="仿宋" w:hAnsi="仿宋" w:eastAsia="仿宋"/>
          <w:sz w:val="32"/>
          <w:szCs w:val="32"/>
          <w:lang w:val="zh-CN"/>
        </w:rPr>
        <w:t xml:space="preserve">     </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 xml:space="preserve">2021年10月21日—26日（21日报到）   地点：海口市 </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2021年11月11日—16日（11日报到）   地点：西安市</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2021年11月25日—30日（25日报到）   地点：南宁市</w:t>
      </w:r>
    </w:p>
    <w:p>
      <w:pPr>
        <w:spacing w:line="360" w:lineRule="exact"/>
        <w:ind w:firstLine="640" w:firstLineChars="200"/>
        <w:rPr>
          <w:rFonts w:hint="eastAsia" w:ascii="仿宋" w:hAnsi="仿宋" w:eastAsia="仿宋"/>
          <w:sz w:val="32"/>
          <w:szCs w:val="32"/>
          <w:lang w:val="zh-CN"/>
        </w:rPr>
      </w:pPr>
      <w:r>
        <w:rPr>
          <w:rFonts w:hint="eastAsia" w:ascii="仿宋" w:hAnsi="仿宋" w:eastAsia="仿宋"/>
          <w:sz w:val="32"/>
          <w:szCs w:val="32"/>
          <w:lang w:val="zh-CN"/>
        </w:rPr>
        <w:t>2021年12月16日—21日（16日报到）   地点：重庆市</w:t>
      </w:r>
    </w:p>
    <w:p>
      <w:pPr>
        <w:spacing w:line="360" w:lineRule="exact"/>
        <w:ind w:firstLine="640" w:firstLineChars="200"/>
        <w:rPr>
          <w:rFonts w:hint="eastAsia" w:ascii="仿宋" w:hAnsi="仿宋" w:eastAsia="仿宋"/>
          <w:sz w:val="32"/>
          <w:szCs w:val="32"/>
          <w:lang w:val="zh-CN"/>
        </w:rPr>
      </w:pPr>
      <w:r>
        <w:rPr>
          <w:rFonts w:hint="eastAsia" w:ascii="仿宋" w:hAnsi="仿宋" w:eastAsia="仿宋"/>
          <w:sz w:val="32"/>
          <w:szCs w:val="32"/>
          <w:lang w:val="zh-CN"/>
        </w:rPr>
        <w:t>2022年01月06日—11日（06日报到）   地点：成都市</w:t>
      </w:r>
    </w:p>
    <w:p>
      <w:pPr>
        <w:spacing w:line="360" w:lineRule="exact"/>
        <w:ind w:firstLine="640" w:firstLineChars="200"/>
        <w:rPr>
          <w:rFonts w:ascii="黑体" w:hAnsi="黑体" w:eastAsia="黑体" w:cs="黑体"/>
          <w:sz w:val="32"/>
          <w:szCs w:val="32"/>
        </w:rPr>
      </w:pPr>
      <w:r>
        <w:rPr>
          <w:rFonts w:hint="eastAsia" w:ascii="黑体" w:hAnsi="黑体" w:eastAsia="黑体" w:cs="黑体"/>
          <w:sz w:val="32"/>
          <w:szCs w:val="32"/>
        </w:rPr>
        <w:t>六、相关事宜</w:t>
      </w:r>
    </w:p>
    <w:p>
      <w:pPr>
        <w:numPr>
          <w:ilvl w:val="0"/>
          <w:numId w:val="1"/>
        </w:numPr>
        <w:spacing w:line="360" w:lineRule="exact"/>
        <w:ind w:left="420" w:leftChars="200"/>
        <w:rPr>
          <w:rFonts w:ascii="楷体" w:hAnsi="楷体" w:eastAsia="楷体" w:cs="楷体"/>
          <w:bCs/>
          <w:color w:val="000000"/>
          <w:sz w:val="32"/>
          <w:szCs w:val="32"/>
        </w:rPr>
      </w:pPr>
      <w:r>
        <w:rPr>
          <w:rFonts w:hint="eastAsia" w:ascii="楷体" w:hAnsi="楷体" w:eastAsia="楷体" w:cs="楷体"/>
          <w:bCs/>
          <w:color w:val="000000"/>
          <w:sz w:val="32"/>
          <w:szCs w:val="32"/>
        </w:rPr>
        <w:t>会务费：</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A.2980元/人（含培训、资料、课件、场地费用及午餐费），住宿统一安排，费用自理。</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B.4980元/人（含培训、资料、课件、场地费用及餐费、双人间住宿费）。如单人住宿双人间，按双人间交住宿费。</w:t>
      </w:r>
    </w:p>
    <w:p>
      <w:pPr>
        <w:numPr>
          <w:ilvl w:val="0"/>
          <w:numId w:val="1"/>
        </w:numPr>
        <w:spacing w:line="360" w:lineRule="exact"/>
        <w:ind w:left="420" w:leftChars="200"/>
        <w:rPr>
          <w:rFonts w:ascii="楷体" w:hAnsi="楷体" w:eastAsia="楷体" w:cs="楷体"/>
          <w:bCs/>
          <w:color w:val="000000"/>
          <w:sz w:val="32"/>
          <w:szCs w:val="32"/>
        </w:rPr>
      </w:pPr>
      <w:r>
        <w:rPr>
          <w:rFonts w:hint="eastAsia" w:ascii="楷体" w:hAnsi="楷体" w:eastAsia="楷体" w:cs="楷体"/>
          <w:bCs/>
          <w:color w:val="000000"/>
          <w:sz w:val="32"/>
          <w:szCs w:val="32"/>
        </w:rPr>
        <w:t>联系方式：</w:t>
      </w:r>
    </w:p>
    <w:p>
      <w:pPr>
        <w:spacing w:line="380" w:lineRule="exact"/>
        <w:ind w:firstLine="640" w:firstLineChars="200"/>
        <w:rPr>
          <w:rFonts w:hint="eastAsia" w:ascii="仿宋_GB2312" w:hAnsi="仿宋_GB2312" w:eastAsia="仿宋_GB2312" w:cs="仿宋_GB2312"/>
          <w:bCs/>
          <w:color w:val="000000"/>
          <w:kern w:val="0"/>
          <w:sz w:val="32"/>
          <w:szCs w:val="32"/>
          <w:lang w:val="zh-CN" w:bidi="zh-CN"/>
        </w:rPr>
      </w:pPr>
      <w:r>
        <w:rPr>
          <w:rFonts w:hint="eastAsia" w:ascii="仿宋_GB2312" w:hAnsi="仿宋_GB2312" w:eastAsia="仿宋_GB2312" w:cs="仿宋_GB2312"/>
          <w:bCs/>
          <w:color w:val="000000"/>
          <w:kern w:val="0"/>
          <w:sz w:val="32"/>
          <w:szCs w:val="32"/>
          <w:lang w:val="zh-CN" w:bidi="zh-CN"/>
        </w:rPr>
        <w:t xml:space="preserve">报名负责人：聂红军 主任18211071700（微信）   </w:t>
      </w:r>
    </w:p>
    <w:p>
      <w:pPr>
        <w:spacing w:line="380" w:lineRule="exact"/>
        <w:ind w:firstLine="640" w:firstLineChars="200"/>
        <w:rPr>
          <w:rFonts w:hint="eastAsia" w:ascii="仿宋_GB2312" w:hAnsi="仿宋_GB2312" w:eastAsia="仿宋_GB2312" w:cs="仿宋_GB2312"/>
          <w:bCs/>
          <w:color w:val="000000"/>
          <w:kern w:val="0"/>
          <w:sz w:val="32"/>
          <w:szCs w:val="32"/>
          <w:lang w:val="zh-CN" w:bidi="zh-CN"/>
        </w:rPr>
      </w:pPr>
      <w:r>
        <w:rPr>
          <w:rFonts w:hint="eastAsia" w:ascii="仿宋_GB2312" w:hAnsi="仿宋_GB2312" w:eastAsia="仿宋_GB2312" w:cs="仿宋_GB2312"/>
          <w:bCs/>
          <w:color w:val="000000"/>
          <w:kern w:val="0"/>
          <w:sz w:val="32"/>
          <w:szCs w:val="32"/>
          <w:lang w:val="zh-CN" w:bidi="zh-CN"/>
        </w:rPr>
        <w:t xml:space="preserve">电  话：010-87697580      邮    箱：zqgphwz@126.com  </w:t>
      </w:r>
    </w:p>
    <w:p>
      <w:pPr>
        <w:spacing w:line="380" w:lineRule="exact"/>
        <w:ind w:firstLine="640" w:firstLineChars="200"/>
        <w:rPr>
          <w:rFonts w:ascii="仿宋" w:hAnsi="仿宋" w:eastAsia="仿宋"/>
          <w:sz w:val="32"/>
          <w:szCs w:val="32"/>
          <w:lang w:val="zh-CN"/>
        </w:rPr>
      </w:pPr>
      <w:r>
        <w:rPr>
          <w:rFonts w:hint="eastAsia" w:ascii="仿宋_GB2312" w:hAnsi="仿宋_GB2312" w:eastAsia="仿宋_GB2312" w:cs="仿宋_GB2312"/>
          <w:bCs/>
          <w:color w:val="000000"/>
          <w:kern w:val="0"/>
          <w:sz w:val="32"/>
          <w:szCs w:val="32"/>
          <w:lang w:val="zh-CN" w:bidi="zh-CN"/>
        </w:rPr>
        <w:t>qq咨询：3177524020 网址查询：http://www.zqgpchina.cn/</w:t>
      </w:r>
    </w:p>
    <w:p>
      <w:pPr>
        <w:spacing w:line="380" w:lineRule="exact"/>
        <w:ind w:firstLine="560" w:firstLineChars="200"/>
        <w:rPr>
          <w:rFonts w:ascii="仿宋" w:hAnsi="仿宋" w:eastAsia="仿宋"/>
          <w:color w:val="000000"/>
          <w:sz w:val="32"/>
          <w:szCs w:val="32"/>
        </w:rPr>
      </w:pPr>
      <w:r>
        <w:rPr>
          <w:rFonts w:hint="eastAsia" w:ascii="黑体" w:hAnsi="黑体" w:eastAsia="黑体" w:cs="黑体"/>
          <w:color w:val="000000"/>
          <w:sz w:val="28"/>
          <w:szCs w:val="28"/>
        </w:rPr>
        <w:drawing>
          <wp:anchor distT="0" distB="0" distL="114300" distR="114300" simplePos="0" relativeHeight="251659264" behindDoc="1" locked="0" layoutInCell="1" allowOverlap="1">
            <wp:simplePos x="0" y="0"/>
            <wp:positionH relativeFrom="column">
              <wp:posOffset>2266950</wp:posOffset>
            </wp:positionH>
            <wp:positionV relativeFrom="paragraph">
              <wp:posOffset>74295</wp:posOffset>
            </wp:positionV>
            <wp:extent cx="3448685" cy="1529715"/>
            <wp:effectExtent l="0" t="0" r="18415" b="13335"/>
            <wp:wrapNone/>
            <wp:docPr id="1" name="图片 1" descr="2021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407"/>
                    <pic:cNvPicPr>
                      <a:picLocks noChangeAspect="1"/>
                    </pic:cNvPicPr>
                  </pic:nvPicPr>
                  <pic:blipFill>
                    <a:blip r:embed="rId6">
                      <a:lum contrast="18000"/>
                    </a:blip>
                    <a:stretch>
                      <a:fillRect/>
                    </a:stretch>
                  </pic:blipFill>
                  <pic:spPr>
                    <a:xfrm>
                      <a:off x="0" y="0"/>
                      <a:ext cx="3448685" cy="1529715"/>
                    </a:xfrm>
                    <a:prstGeom prst="rect">
                      <a:avLst/>
                    </a:prstGeom>
                  </pic:spPr>
                </pic:pic>
              </a:graphicData>
            </a:graphic>
          </wp:anchor>
        </w:drawing>
      </w:r>
      <w:r>
        <w:rPr>
          <w:rFonts w:hint="eastAsia" w:ascii="黑体" w:hAnsi="黑体" w:eastAsia="黑体" w:cs="黑体"/>
          <w:bCs/>
          <w:color w:val="000000"/>
          <w:sz w:val="32"/>
          <w:szCs w:val="32"/>
        </w:rPr>
        <w:t>附件：</w:t>
      </w:r>
      <w:r>
        <w:rPr>
          <w:rFonts w:hint="eastAsia" w:ascii="仿宋" w:hAnsi="仿宋" w:eastAsia="仿宋"/>
          <w:color w:val="000000"/>
          <w:sz w:val="32"/>
          <w:szCs w:val="32"/>
        </w:rPr>
        <w:t>1.培训内容</w:t>
      </w:r>
    </w:p>
    <w:p>
      <w:pPr>
        <w:tabs>
          <w:tab w:val="left" w:pos="567"/>
          <w:tab w:val="left" w:pos="709"/>
        </w:tabs>
        <w:spacing w:line="380" w:lineRule="exact"/>
        <w:ind w:firstLine="1478" w:firstLineChars="462"/>
        <w:textAlignment w:val="baseline"/>
        <w:outlineLvl w:val="0"/>
        <w:rPr>
          <w:rFonts w:ascii="仿宋_GB2312" w:hAnsi="仿宋_GB2312" w:eastAsia="仿宋_GB2312" w:cs="仿宋_GB2312"/>
          <w:bCs/>
          <w:color w:val="000000"/>
          <w:sz w:val="32"/>
          <w:szCs w:val="32"/>
        </w:rPr>
      </w:pPr>
      <w:r>
        <w:rPr>
          <w:rFonts w:hint="eastAsia" w:ascii="仿宋" w:hAnsi="仿宋" w:eastAsia="仿宋"/>
          <w:color w:val="000000"/>
          <w:sz w:val="32"/>
          <w:szCs w:val="32"/>
        </w:rPr>
        <w:t>2.报名回执表</w:t>
      </w:r>
    </w:p>
    <w:p>
      <w:pPr>
        <w:tabs>
          <w:tab w:val="left" w:pos="567"/>
          <w:tab w:val="left" w:pos="709"/>
        </w:tabs>
        <w:spacing w:line="380" w:lineRule="exact"/>
        <w:textAlignment w:val="baseline"/>
        <w:outlineLvl w:val="0"/>
        <w:rPr>
          <w:rFonts w:ascii="仿宋_GB2312" w:hAnsi="仿宋_GB2312" w:eastAsia="仿宋_GB2312" w:cs="仿宋_GB2312"/>
          <w:bCs/>
          <w:color w:val="000000"/>
          <w:sz w:val="32"/>
          <w:szCs w:val="32"/>
        </w:rPr>
      </w:pPr>
    </w:p>
    <w:p>
      <w:pPr>
        <w:widowControl/>
        <w:spacing w:line="398" w:lineRule="exact"/>
        <w:jc w:val="left"/>
        <w:rPr>
          <w:rFonts w:ascii="黑体" w:hAnsi="黑体" w:eastAsia="黑体" w:cs="黑体"/>
          <w:color w:val="000000"/>
          <w:sz w:val="28"/>
          <w:szCs w:val="28"/>
        </w:rPr>
      </w:pPr>
    </w:p>
    <w:p>
      <w:pPr>
        <w:widowControl/>
        <w:spacing w:line="398" w:lineRule="exact"/>
        <w:jc w:val="left"/>
        <w:rPr>
          <w:rFonts w:ascii="黑体" w:hAnsi="黑体" w:eastAsia="黑体" w:cs="黑体"/>
          <w:color w:val="000000"/>
          <w:sz w:val="28"/>
          <w:szCs w:val="28"/>
        </w:rPr>
      </w:pPr>
    </w:p>
    <w:p>
      <w:pPr>
        <w:widowControl/>
        <w:spacing w:line="398" w:lineRule="exact"/>
        <w:jc w:val="left"/>
        <w:rPr>
          <w:rFonts w:ascii="黑体" w:hAnsi="黑体" w:eastAsia="黑体" w:cs="黑体"/>
          <w:color w:val="000000"/>
          <w:sz w:val="28"/>
          <w:szCs w:val="28"/>
        </w:rPr>
      </w:pPr>
    </w:p>
    <w:p>
      <w:pPr>
        <w:widowControl/>
        <w:spacing w:line="398" w:lineRule="exact"/>
        <w:jc w:val="left"/>
        <w:rPr>
          <w:rFonts w:hint="eastAsia" w:ascii="黑体" w:hAnsi="黑体" w:eastAsia="黑体" w:cs="黑体"/>
          <w:color w:val="000000"/>
          <w:sz w:val="28"/>
          <w:szCs w:val="28"/>
        </w:rPr>
      </w:pPr>
    </w:p>
    <w:p>
      <w:pPr>
        <w:widowControl/>
        <w:spacing w:line="398" w:lineRule="exact"/>
        <w:jc w:val="left"/>
        <w:rPr>
          <w:rFonts w:hint="eastAsia" w:ascii="黑体" w:hAnsi="黑体" w:eastAsia="黑体" w:cs="黑体"/>
          <w:color w:val="000000"/>
          <w:sz w:val="28"/>
          <w:szCs w:val="28"/>
        </w:rPr>
      </w:pPr>
    </w:p>
    <w:p>
      <w:pPr>
        <w:widowControl/>
        <w:spacing w:line="398" w:lineRule="exact"/>
        <w:jc w:val="left"/>
        <w:rPr>
          <w:rFonts w:ascii="黑体" w:hAnsi="黑体" w:eastAsia="黑体" w:cs="黑体"/>
          <w:color w:val="000000"/>
          <w:sz w:val="28"/>
          <w:szCs w:val="28"/>
        </w:rPr>
      </w:pPr>
      <w:r>
        <w:rPr>
          <w:rFonts w:hint="eastAsia" w:ascii="黑体" w:hAnsi="黑体" w:eastAsia="黑体" w:cs="黑体"/>
          <w:color w:val="000000"/>
          <w:sz w:val="28"/>
          <w:szCs w:val="28"/>
        </w:rPr>
        <w:t>附件一：</w:t>
      </w:r>
    </w:p>
    <w:p>
      <w:pPr>
        <w:widowControl/>
        <w:spacing w:line="398" w:lineRule="exact"/>
        <w:jc w:val="center"/>
        <w:rPr>
          <w:rFonts w:cs="黑体" w:asciiTheme="majorEastAsia" w:hAnsiTheme="majorEastAsia" w:eastAsiaTheme="majorEastAsia"/>
          <w:b/>
          <w:bCs/>
          <w:color w:val="000000" w:themeColor="text1"/>
          <w:sz w:val="32"/>
          <w:szCs w:val="32"/>
          <w:lang w:bidi="zh-CN"/>
          <w14:textFill>
            <w14:solidFill>
              <w14:schemeClr w14:val="tx1"/>
            </w14:solidFill>
          </w14:textFill>
        </w:rPr>
      </w:pPr>
    </w:p>
    <w:p>
      <w:pPr>
        <w:widowControl/>
        <w:spacing w:line="398" w:lineRule="exact"/>
        <w:jc w:val="center"/>
        <w:rPr>
          <w:rFonts w:ascii="仿宋" w:hAnsi="仿宋" w:eastAsia="仿宋" w:cs="宋体"/>
          <w:b/>
          <w:bCs/>
          <w:color w:val="000000"/>
          <w:sz w:val="32"/>
          <w:szCs w:val="32"/>
        </w:rPr>
      </w:pPr>
      <w:r>
        <w:rPr>
          <w:rFonts w:cs="黑体" w:asciiTheme="majorEastAsia" w:hAnsiTheme="majorEastAsia" w:eastAsiaTheme="majorEastAsia"/>
          <w:b/>
          <w:bCs/>
          <w:color w:val="000000" w:themeColor="text1"/>
          <w:sz w:val="32"/>
          <w:szCs w:val="32"/>
          <w:lang w:bidi="zh-CN"/>
          <w14:textFill>
            <w14:solidFill>
              <w14:schemeClr w14:val="tx1"/>
            </w14:solidFill>
          </w14:textFill>
        </w:rPr>
        <w:t>培 训 内 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rPr>
        <w:t>一、新形势下EPC工程总承包项目全过程管控实践</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（一）新版《建设项目工程总承包合同（示范文本）》条款解读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1.修订背景和原则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2.修订核心亮点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3.重点条款解读</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（二）相关政策解读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1.《房屋建筑和市政基础设施项目工程总承包管理办法》解读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2.国标《建设工程项目管理规范》（GB/T50326-2017）及《建设项目工程总承包管理规范》GB/T50358-2017）介绍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3.《房屋建筑和市政基础设施项目工程总承包计价计量规范》（征求意见稿）介绍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4.“新基建”项目实施+工程总承包模式法律问题解析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5.《民法典》实施对建设工程各方实体权利的调整</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（三）EPC工程总承包项目管理全流程实践</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1.国内外EPC总承包项目管理发展趋势</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2.工程总承包主要模式适用的项目类型及特点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3.项目各相关方职责与工作界面</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4.项目管理流程及管控要点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5.决策阶段的管理（包括招标管理）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6.项目启动、策划阶段管控要点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7.项目勘察设计阶段管控要点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8.项目采购阶段管控要点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9.项目施工、试运行阶段管控要点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10.项目收尾及关闭、移交阶段的管理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11联合体实施工程总承包的风险应对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12.相关问题解答</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（四）EPC总承包项目招投标策划与风险防范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1.项目管理风险特点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2.招投标方案策划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3.可行性研究与招标文件策划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4.EPC总承包与施工总承包项目招标文件编制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5.合同包干模式招标策划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6.EPC总承包与施工总承包项目合同可调模式招标策划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7.项目核心要求招标指标与系统招标要求的策划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8.EPC总承包与施工总承包评标标准的方法研究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9.投标文件的策划与编制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10.必须招标项目采用EPC总承包可否直接发包</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（五）EPC工程总承包合同核心风险识别与防范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1.合同风险分配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2.合同及联合体合同的起草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3.合同条件的适用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4.合同策划与重点条款的设置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6.工程设计项目管理的难点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7.招标与投标、中标后开工前合同条款审核</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8.合同谈判策略及风险关注要点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9.发包、专业发包、分包阶段合同风险识别防范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10.EPC履约工期风险和风险控制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11.工程变更、索赔技巧与风险控制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12.税务风险及防范措施</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13.合同实施典型案例分析</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（六）BIM及数字化交付介绍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1.BIM与数字化交付基本知识介绍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2.大力推进BIM对于工程总承包的意义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3.BIM与工程总承包数字化交付项目应用实例</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rPr>
        <w:t>二、EPC工程投资控制、合同定价与结算管理实务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（一）EPC工程范围确定依据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1.“估算控概算、概算控预算”原则在EPC项目中的适用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2.估算价、预算价、概算价、拦标价、中标价、合同价、结算价、决算价在EPC合同体系中的作用与效力</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3.EPC合同工程范围条款约定不明结算规则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4.竣工图中未反映的工程变更确定方式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5.EPC合同工程范围之外工程确定原则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6.EPC项目结算超概算部分合法性认定原则及救济方式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7.业主单位防范EPC总包超概算措施安排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8.EPC合同终止工程范围、内容界定方式与救济</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（二）EPC合同定价与结算管理实务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1.投资控制现状与配套条件分析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2.合同价格的费用构成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3.招标清单编制及案例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4.招标控制价编制及案例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5.招标定价机制与合同价格形式：“总价包干”/“费率下浮”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6.招标“发包人要求”编制与计价风险承担</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7.投标报价与评标定价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8.优化设计与合同价格执行</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9.“发包人变更”的确认与计价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10.物价波动下的调价机制与方法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11.结算支付管理要点与实例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12.营改增后EPC工程计税问题解析及案例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13.总分包计价与结算</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14.审计实践与争议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15.EPC计价的国际借鉴——“EPC计价的中国方案”</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16.造价审计的重点内容与方法</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（三）EPC工程结算计量实务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1.竣工图与合同清单冲突结算依据的认定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2.竣工图与工程现场实物不同结算依据认定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3.工程签证单代签法律效力的认定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4.工程签证单拒签的救济方法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5.工程量确认法律性文件梳理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6.工程量变更突破概算应对方式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7.工程变更与违约行为的区别</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8.承包商拒绝工程变更法律安排</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（四）EPC工程索赔重点与难点应对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1.工程索赔的合法性基础</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2.工程索赔与概算控制机制安排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3.可能引发索赔的十五个亮点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4.十六项能够佐证索赔事件发生的证据固定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5.构成索赔证据链关键要素</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6.突发性索赔谈判“敞口”的运用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7.预案索赔设计构思</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8.索赔额在工程结算中的运用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9.索赔过程中反索赔的防范关键点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rPr>
        <w:t>三、新时期业主方工程现场管理与建设项目管理实务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（一）建设单位工程项目现场管理及风险防范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1.策划及其风险考虑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2.目标及控制流程的识别与确定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3.不同管理模式的选择方法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4.招标投标策划与方案选择</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5.规划与项目配套策划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6.招标采购实施与评标管理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7.现场管理平面布置与风险防范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8.招标、合同履约与工程结算的集成管理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9.施工图纸、工程量清单与施工技术文件风险的规避方法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10.工程质量、安全、进度、环境、造价管理的集成化方法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11.工程反索赔、签证、变更、合理化建议的综合管理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12.工程项目质量、安全、环境、进度的监督方式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13.工程验收与工程结算实施的风险考虑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14.工程正面风险的利用与负面风险的规避方法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15.项目标准化管理、信息管理与综合管理的集成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16.施工现场管理与项目知识管理提升</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（二）《政府投资条例》解读与所涉相关项目的管控及风险防范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1.《政府投资条例》解读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2.疑难问题</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3.EPC项目风险应对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4.垫资项目投标管理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5.缺钱项目停建管理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6.在建项目结算管理</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（三）新时期建设项目管理实务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1.全生命周期管理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2.项目管理模式选择及风险防范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3.项目启动与策划管理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4.全过程项目管理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5.项目准备及实施过程管控</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6.项目验收及收尾管控</w:t>
      </w:r>
    </w:p>
    <w:p>
      <w:pPr>
        <w:widowControl/>
        <w:spacing w:line="398" w:lineRule="exact"/>
        <w:ind w:firstLine="560" w:firstLineChars="200"/>
        <w:jc w:val="left"/>
        <w:rPr>
          <w:rStyle w:val="7"/>
          <w:sz w:val="28"/>
          <w:szCs w:val="28"/>
          <w:lang w:val="zh-CN"/>
        </w:rPr>
      </w:pPr>
      <w:r>
        <w:rPr>
          <w:rFonts w:hint="eastAsia" w:ascii="仿宋" w:hAnsi="仿宋" w:eastAsia="仿宋" w:cs="宋体"/>
          <w:color w:val="000000"/>
          <w:sz w:val="28"/>
          <w:szCs w:val="28"/>
        </w:rPr>
        <w:t>7.新时期工程建设项目管理发展方向</w:t>
      </w:r>
    </w:p>
    <w:p>
      <w:pPr>
        <w:adjustRightInd w:val="0"/>
        <w:snapToGrid w:val="0"/>
        <w:spacing w:line="400" w:lineRule="exact"/>
        <w:jc w:val="both"/>
        <w:rPr>
          <w:rStyle w:val="7"/>
          <w:sz w:val="28"/>
          <w:szCs w:val="28"/>
          <w:lang w:val="zh-CN"/>
        </w:rPr>
      </w:pPr>
    </w:p>
    <w:p>
      <w:pPr>
        <w:adjustRightInd w:val="0"/>
        <w:snapToGrid w:val="0"/>
        <w:spacing w:line="400" w:lineRule="exact"/>
        <w:jc w:val="both"/>
        <w:rPr>
          <w:rStyle w:val="7"/>
          <w:sz w:val="28"/>
          <w:szCs w:val="28"/>
          <w:lang w:val="zh-CN"/>
        </w:rPr>
      </w:pPr>
    </w:p>
    <w:p>
      <w:pPr>
        <w:adjustRightInd w:val="0"/>
        <w:snapToGrid w:val="0"/>
        <w:spacing w:line="400" w:lineRule="exact"/>
        <w:rPr>
          <w:rStyle w:val="7"/>
          <w:rFonts w:ascii="宋体" w:hAnsi="宋体" w:cs="宋体"/>
          <w:color w:val="000000"/>
          <w:sz w:val="30"/>
          <w:szCs w:val="30"/>
          <w:lang w:val="zh-CN"/>
        </w:rPr>
      </w:pPr>
      <w:r>
        <w:rPr>
          <w:rStyle w:val="7"/>
          <w:rFonts w:hint="eastAsia" w:ascii="黑体" w:hAnsi="黑体" w:eastAsia="黑体" w:cs="黑体"/>
          <w:b w:val="0"/>
          <w:bCs w:val="0"/>
          <w:sz w:val="28"/>
          <w:szCs w:val="28"/>
          <w:lang w:val="zh-CN"/>
        </w:rPr>
        <w:t>附件二：</w:t>
      </w:r>
    </w:p>
    <w:p>
      <w:pPr>
        <w:adjustRightInd w:val="0"/>
        <w:snapToGrid w:val="0"/>
        <w:spacing w:line="400" w:lineRule="exact"/>
        <w:jc w:val="center"/>
        <w:rPr>
          <w:rStyle w:val="7"/>
          <w:rFonts w:ascii="宋体" w:hAnsi="宋体" w:cs="宋体"/>
          <w:color w:val="000000"/>
          <w:sz w:val="30"/>
          <w:szCs w:val="30"/>
          <w:lang w:val="zh-CN"/>
        </w:rPr>
      </w:pPr>
      <w:r>
        <w:rPr>
          <w:rStyle w:val="7"/>
          <w:rFonts w:hint="eastAsia" w:ascii="宋体" w:hAnsi="宋体" w:cs="宋体"/>
          <w:color w:val="000000"/>
          <w:sz w:val="30"/>
          <w:szCs w:val="30"/>
          <w:lang w:val="zh-CN"/>
        </w:rPr>
        <w:t>“新版《工程总承包合同（示范文本）》下EPC工程总承包项目全过程管理实践 计价管理与业主方建设项目管理 工程现场管理实务</w:t>
      </w:r>
    </w:p>
    <w:p>
      <w:pPr>
        <w:adjustRightInd w:val="0"/>
        <w:snapToGrid w:val="0"/>
        <w:spacing w:line="400" w:lineRule="exact"/>
        <w:jc w:val="center"/>
        <w:rPr>
          <w:rStyle w:val="7"/>
          <w:rFonts w:ascii="宋体" w:hAnsi="宋体" w:cs="宋体"/>
          <w:color w:val="000000"/>
          <w:sz w:val="30"/>
          <w:szCs w:val="30"/>
        </w:rPr>
      </w:pPr>
      <w:r>
        <w:rPr>
          <w:rStyle w:val="7"/>
          <w:rFonts w:hint="eastAsia" w:ascii="宋体" w:hAnsi="宋体" w:cs="宋体"/>
          <w:color w:val="000000"/>
          <w:sz w:val="30"/>
          <w:szCs w:val="30"/>
          <w:lang w:val="zh-CN"/>
        </w:rPr>
        <w:t>高级培训班”报名回执表</w:t>
      </w:r>
    </w:p>
    <w:tbl>
      <w:tblPr>
        <w:tblStyle w:val="5"/>
        <w:tblpPr w:leftFromText="180" w:rightFromText="180" w:vertAnchor="text" w:horzAnchor="margin" w:tblpXSpec="center" w:tblpY="70"/>
        <w:tblW w:w="10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552"/>
        <w:gridCol w:w="824"/>
        <w:gridCol w:w="907"/>
        <w:gridCol w:w="1125"/>
        <w:gridCol w:w="1290"/>
        <w:gridCol w:w="738"/>
        <w:gridCol w:w="627"/>
        <w:gridCol w:w="206"/>
        <w:gridCol w:w="428"/>
        <w:gridCol w:w="168"/>
        <w:gridCol w:w="188"/>
        <w:gridCol w:w="62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单位名称</w:t>
            </w:r>
          </w:p>
        </w:tc>
        <w:tc>
          <w:tcPr>
            <w:tcW w:w="5321"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78"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邮  编</w:t>
            </w:r>
          </w:p>
        </w:tc>
        <w:tc>
          <w:tcPr>
            <w:tcW w:w="132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通讯地址</w:t>
            </w:r>
          </w:p>
        </w:tc>
        <w:tc>
          <w:tcPr>
            <w:tcW w:w="7626" w:type="dxa"/>
            <w:gridSpan w:val="11"/>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审批人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联系人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参会人</w:t>
            </w:r>
            <w:r>
              <w:rPr>
                <w:rFonts w:hint="eastAsia" w:ascii="仿宋" w:hAnsi="仿宋" w:eastAsia="仿宋" w:cs="仿宋"/>
                <w:kern w:val="0"/>
                <w:sz w:val="24"/>
                <w:szCs w:val="24"/>
              </w:rPr>
              <w:t>姓名</w:t>
            </w: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性 别</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部  门</w:t>
            </w: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职  务</w:t>
            </w: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手 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住宿安排</w:t>
            </w:r>
          </w:p>
        </w:tc>
        <w:tc>
          <w:tcPr>
            <w:tcW w:w="414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kern w:val="0"/>
                <w:sz w:val="24"/>
                <w:szCs w:val="24"/>
              </w:rPr>
              <w:t>□单人住  □双人住  □自行</w:t>
            </w:r>
          </w:p>
        </w:tc>
        <w:tc>
          <w:tcPr>
            <w:tcW w:w="235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参会地点</w:t>
            </w:r>
          </w:p>
        </w:tc>
        <w:tc>
          <w:tcPr>
            <w:tcW w:w="1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发票类型</w:t>
            </w:r>
          </w:p>
        </w:tc>
        <w:tc>
          <w:tcPr>
            <w:tcW w:w="8450" w:type="dxa"/>
            <w:gridSpan w:val="1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w:t>
            </w:r>
            <w:r>
              <w:rPr>
                <w:rFonts w:hint="eastAsia" w:ascii="仿宋" w:hAnsi="仿宋" w:eastAsia="仿宋" w:cs="仿宋"/>
                <w:kern w:val="0"/>
                <w:sz w:val="24"/>
                <w:szCs w:val="24"/>
              </w:rPr>
              <w:t xml:space="preserve">增值税专用发票            </w:t>
            </w:r>
            <w:r>
              <w:rPr>
                <w:rFonts w:hint="eastAsia" w:ascii="仿宋" w:hAnsi="仿宋" w:eastAsia="仿宋" w:cs="仿宋"/>
                <w:color w:val="000000"/>
                <w:sz w:val="24"/>
                <w:szCs w:val="24"/>
              </w:rPr>
              <w:t>□</w:t>
            </w:r>
            <w:r>
              <w:rPr>
                <w:rFonts w:hint="eastAsia" w:ascii="仿宋" w:hAnsi="仿宋" w:eastAsia="仿宋" w:cs="仿宋"/>
                <w:kern w:val="0"/>
                <w:sz w:val="24"/>
                <w:szCs w:val="24"/>
              </w:rPr>
              <w:t>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发票信息</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开票单位：</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纳税人识别号：</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地址及电话：</w:t>
            </w:r>
            <w:bookmarkStart w:id="0" w:name="_GoBack"/>
            <w:bookmarkEnd w:id="0"/>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开户行及账号：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您关注或亟待</w:t>
            </w: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解决的问题</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付款方式</w:t>
            </w:r>
          </w:p>
        </w:tc>
        <w:tc>
          <w:tcPr>
            <w:tcW w:w="4884"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zh-CN"/>
              </w:rPr>
            </w:pPr>
            <w:r>
              <w:rPr>
                <w:rFonts w:hint="eastAsia" w:ascii="仿宋" w:hAnsi="仿宋" w:eastAsia="仿宋" w:cs="仿宋"/>
                <w:kern w:val="0"/>
                <w:sz w:val="24"/>
                <w:szCs w:val="24"/>
                <w:lang w:val="en-GB"/>
              </w:rPr>
              <w:t>□汇款   □</w:t>
            </w:r>
            <w:r>
              <w:rPr>
                <w:rFonts w:hint="eastAsia" w:ascii="仿宋" w:hAnsi="仿宋" w:eastAsia="仿宋" w:cs="仿宋"/>
                <w:kern w:val="0"/>
                <w:sz w:val="24"/>
                <w:szCs w:val="24"/>
              </w:rPr>
              <w:t>支付宝</w:t>
            </w:r>
            <w:r>
              <w:rPr>
                <w:rFonts w:hint="eastAsia" w:ascii="仿宋" w:hAnsi="仿宋" w:eastAsia="仿宋" w:cs="仿宋"/>
                <w:kern w:val="0"/>
                <w:sz w:val="24"/>
                <w:szCs w:val="24"/>
                <w:lang w:val="en-GB"/>
              </w:rPr>
              <w:t xml:space="preserve">  □</w:t>
            </w:r>
            <w:r>
              <w:rPr>
                <w:rFonts w:hint="eastAsia" w:ascii="仿宋" w:hAnsi="仿宋" w:eastAsia="仿宋" w:cs="仿宋"/>
                <w:kern w:val="0"/>
                <w:sz w:val="24"/>
                <w:szCs w:val="24"/>
              </w:rPr>
              <w:t>微信</w:t>
            </w:r>
          </w:p>
        </w:tc>
        <w:tc>
          <w:tcPr>
            <w:tcW w:w="1429"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金额</w:t>
            </w:r>
          </w:p>
        </w:tc>
        <w:tc>
          <w:tcPr>
            <w:tcW w:w="2137"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3"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收款账户</w:t>
            </w:r>
          </w:p>
        </w:tc>
        <w:tc>
          <w:tcPr>
            <w:tcW w:w="8450" w:type="dxa"/>
            <w:gridSpan w:val="12"/>
            <w:tcBorders>
              <w:top w:val="single" w:color="auto" w:sz="4" w:space="0"/>
              <w:left w:val="single" w:color="auto" w:sz="4" w:space="0"/>
              <w:bottom w:val="single" w:color="auto" w:sz="4" w:space="0"/>
              <w:right w:val="single" w:color="auto" w:sz="4" w:space="0"/>
            </w:tcBorders>
            <w:noWrap/>
          </w:tcPr>
          <w:p>
            <w:pPr>
              <w:spacing w:line="360" w:lineRule="exact"/>
              <w:ind w:right="-147" w:rightChars="-70"/>
              <w:rPr>
                <w:rFonts w:ascii="仿宋" w:hAnsi="仿宋" w:eastAsia="仿宋" w:cstheme="minorEastAsia"/>
                <w:b/>
                <w:bCs/>
                <w:sz w:val="24"/>
              </w:rPr>
            </w:pPr>
            <w:r>
              <w:rPr>
                <w:rFonts w:hint="eastAsia" w:ascii="仿宋" w:hAnsi="仿宋" w:eastAsia="仿宋" w:cstheme="minorEastAsia"/>
                <w:b/>
                <w:bCs/>
                <w:sz w:val="24"/>
              </w:rPr>
              <w:t>单位全称:</w:t>
            </w:r>
            <w:r>
              <w:rPr>
                <w:rFonts w:hint="eastAsia" w:ascii="仿宋" w:hAnsi="仿宋" w:eastAsia="仿宋" w:cstheme="minorEastAsia"/>
                <w:b/>
                <w:bCs/>
                <w:sz w:val="24"/>
              </w:rPr>
              <w:tab/>
            </w:r>
            <w:r>
              <w:rPr>
                <w:rFonts w:hint="eastAsia" w:ascii="仿宋" w:hAnsi="仿宋" w:eastAsia="仿宋" w:cstheme="minorEastAsia"/>
                <w:b/>
                <w:bCs/>
                <w:sz w:val="24"/>
              </w:rPr>
              <w:t>北京</w:t>
            </w:r>
            <w:r>
              <w:rPr>
                <w:rFonts w:hint="eastAsia" w:ascii="仿宋" w:hAnsi="仿宋" w:eastAsia="仿宋" w:cstheme="minorEastAsia"/>
                <w:b/>
                <w:bCs/>
                <w:sz w:val="24"/>
                <w:lang w:eastAsia="zh-CN"/>
              </w:rPr>
              <w:t>中科领航教育咨询有限公司</w:t>
            </w:r>
          </w:p>
          <w:p>
            <w:pPr>
              <w:spacing w:line="360" w:lineRule="exact"/>
              <w:ind w:right="-147" w:rightChars="-70"/>
              <w:rPr>
                <w:rFonts w:ascii="仿宋" w:hAnsi="仿宋" w:eastAsia="仿宋" w:cstheme="minorEastAsia"/>
                <w:b/>
                <w:bCs/>
                <w:sz w:val="24"/>
              </w:rPr>
            </w:pPr>
            <w:r>
              <w:rPr>
                <w:rFonts w:hint="eastAsia" w:ascii="仿宋" w:hAnsi="仿宋" w:eastAsia="仿宋" w:cstheme="minorEastAsia"/>
                <w:b/>
                <w:bCs/>
                <w:sz w:val="24"/>
              </w:rPr>
              <w:t>开 户 行：</w:t>
            </w:r>
            <w:r>
              <w:rPr>
                <w:rFonts w:hint="eastAsia" w:ascii="仿宋" w:hAnsi="仿宋" w:eastAsia="仿宋" w:cstheme="minorEastAsia"/>
                <w:b/>
                <w:bCs/>
                <w:sz w:val="24"/>
              </w:rPr>
              <w:tab/>
            </w:r>
            <w:r>
              <w:rPr>
                <w:rFonts w:hint="eastAsia" w:ascii="仿宋" w:hAnsi="仿宋" w:eastAsia="仿宋" w:cstheme="minorEastAsia"/>
                <w:b/>
                <w:bCs/>
                <w:sz w:val="24"/>
              </w:rPr>
              <w:t>中国工商银行股份有限公司北京半壁店支行</w:t>
            </w:r>
          </w:p>
          <w:p>
            <w:pPr>
              <w:spacing w:line="360" w:lineRule="exact"/>
              <w:ind w:right="-147" w:rightChars="-70"/>
              <w:rPr>
                <w:rFonts w:hint="eastAsia" w:ascii="仿宋" w:hAnsi="仿宋" w:eastAsia="仿宋" w:cstheme="minorEastAsia"/>
                <w:b/>
                <w:bCs/>
                <w:sz w:val="24"/>
                <w:lang w:val="en-US" w:eastAsia="zh-CN"/>
              </w:rPr>
            </w:pPr>
            <w:r>
              <w:rPr>
                <w:rFonts w:hint="eastAsia" w:ascii="仿宋" w:hAnsi="仿宋" w:eastAsia="仿宋" w:cstheme="minorEastAsia"/>
                <w:b/>
                <w:bCs/>
                <w:sz w:val="24"/>
              </w:rPr>
              <w:t>帐    户：02002470092000</w:t>
            </w:r>
            <w:r>
              <w:rPr>
                <w:rFonts w:hint="eastAsia" w:ascii="仿宋" w:hAnsi="仿宋" w:eastAsia="仿宋" w:cstheme="minorEastAsia"/>
                <w:b/>
                <w:bCs/>
                <w:sz w:val="24"/>
                <w:lang w:val="en-US" w:eastAsia="zh-CN"/>
              </w:rPr>
              <w:t>76612</w:t>
            </w:r>
          </w:p>
          <w:p>
            <w:pPr>
              <w:widowControl/>
              <w:spacing w:line="360" w:lineRule="exact"/>
              <w:jc w:val="left"/>
              <w:rPr>
                <w:rFonts w:ascii="仿宋" w:hAnsi="仿宋" w:eastAsia="仿宋" w:cs="仿宋"/>
                <w:kern w:val="0"/>
                <w:sz w:val="24"/>
                <w:szCs w:val="24"/>
                <w:lang w:val="zh-CN"/>
              </w:rPr>
            </w:pPr>
            <w:r>
              <w:rPr>
                <w:rFonts w:hint="eastAsia" w:ascii="仿宋" w:hAnsi="仿宋" w:eastAsia="仿宋" w:cstheme="minorEastAsia"/>
                <w:b/>
                <w:bCs/>
                <w:sz w:val="24"/>
              </w:rPr>
              <w:t>行    号:</w:t>
            </w:r>
            <w:r>
              <w:rPr>
                <w:rFonts w:hint="eastAsia" w:ascii="仿宋" w:hAnsi="仿宋" w:eastAsia="仿宋" w:cstheme="minorEastAsia"/>
                <w:b/>
                <w:bCs/>
                <w:sz w:val="24"/>
                <w:lang w:val="en-US" w:eastAsia="zh-CN"/>
              </w:rPr>
              <w:t xml:space="preserve"> </w:t>
            </w:r>
            <w:r>
              <w:rPr>
                <w:rFonts w:hint="eastAsia" w:ascii="仿宋" w:hAnsi="仿宋" w:eastAsia="仿宋" w:cstheme="minorEastAsia"/>
                <w:b/>
                <w:bCs/>
                <w:sz w:val="24"/>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3"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备注</w:t>
            </w:r>
          </w:p>
        </w:tc>
        <w:tc>
          <w:tcPr>
            <w:tcW w:w="5717"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请将《报名回执表》回传至会务组，并在报名</w:t>
            </w:r>
            <w:r>
              <w:rPr>
                <w:rFonts w:hint="eastAsia" w:ascii="仿宋" w:hAnsi="仿宋" w:eastAsia="仿宋" w:cs="仿宋"/>
                <w:kern w:val="0"/>
                <w:sz w:val="24"/>
                <w:szCs w:val="24"/>
              </w:rPr>
              <w:t>3日内办理培训费用，会务组确认到款后即发</w:t>
            </w:r>
            <w:r>
              <w:rPr>
                <w:rFonts w:hint="eastAsia" w:ascii="仿宋" w:hAnsi="仿宋" w:eastAsia="仿宋" w:cs="仿宋"/>
                <w:kern w:val="0"/>
                <w:sz w:val="24"/>
                <w:szCs w:val="24"/>
                <w:lang w:val="zh-CN"/>
              </w:rPr>
              <w:t>《参会凭证》，详细说明培训班具体安排事项。</w:t>
            </w:r>
          </w:p>
        </w:tc>
        <w:tc>
          <w:tcPr>
            <w:tcW w:w="2733"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lang w:val="zh-CN"/>
              </w:rPr>
            </w:pPr>
          </w:p>
          <w:p>
            <w:pPr>
              <w:widowControl/>
              <w:spacing w:line="360" w:lineRule="exact"/>
              <w:ind w:firstLine="720" w:firstLineChars="3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单位印章</w:t>
            </w:r>
          </w:p>
          <w:p>
            <w:pPr>
              <w:widowControl/>
              <w:spacing w:line="360" w:lineRule="exact"/>
              <w:ind w:firstLine="360" w:firstLineChars="150"/>
              <w:jc w:val="left"/>
              <w:rPr>
                <w:rFonts w:ascii="仿宋" w:hAnsi="仿宋" w:eastAsia="仿宋" w:cs="仿宋"/>
                <w:kern w:val="0"/>
                <w:sz w:val="24"/>
                <w:szCs w:val="24"/>
                <w:lang w:val="zh-CN"/>
              </w:rPr>
            </w:pPr>
            <w:r>
              <w:rPr>
                <w:rFonts w:hint="eastAsia" w:ascii="仿宋" w:hAnsi="仿宋" w:eastAsia="仿宋" w:cs="仿宋"/>
                <w:kern w:val="0"/>
                <w:sz w:val="24"/>
                <w:szCs w:val="24"/>
              </w:rPr>
              <w:t>2021</w:t>
            </w:r>
            <w:r>
              <w:rPr>
                <w:rFonts w:hint="eastAsia" w:ascii="仿宋" w:hAnsi="仿宋" w:eastAsia="仿宋" w:cs="仿宋"/>
                <w:kern w:val="0"/>
                <w:sz w:val="24"/>
                <w:szCs w:val="24"/>
                <w:lang w:val="zh-CN"/>
              </w:rPr>
              <w:t>年  月  日</w:t>
            </w:r>
          </w:p>
        </w:tc>
      </w:tr>
    </w:tbl>
    <w:p>
      <w:pPr>
        <w:spacing w:line="390" w:lineRule="exact"/>
        <w:rPr>
          <w:rFonts w:ascii="仿宋" w:hAnsi="仿宋" w:eastAsia="仿宋" w:cs="仿宋"/>
          <w:bCs/>
          <w:color w:val="000000"/>
          <w:sz w:val="24"/>
          <w:szCs w:val="24"/>
        </w:rPr>
      </w:pPr>
      <w:r>
        <w:rPr>
          <w:rFonts w:hint="eastAsia" w:ascii="楷体" w:hAnsi="楷体" w:eastAsia="楷体" w:cs="仿宋"/>
          <w:bCs/>
          <w:color w:val="000000"/>
          <w:sz w:val="24"/>
          <w:szCs w:val="24"/>
        </w:rPr>
        <w:t>温馨提示：</w:t>
      </w:r>
      <w:r>
        <w:rPr>
          <w:rFonts w:hint="eastAsia" w:ascii="仿宋" w:hAnsi="仿宋" w:eastAsia="仿宋" w:cs="仿宋"/>
          <w:bCs/>
          <w:color w:val="000000"/>
          <w:sz w:val="24"/>
          <w:szCs w:val="24"/>
        </w:rPr>
        <w:t>根据国家疫情防控有关要求，参加培训人员须符合卫生防疫标准并持有健康码，严格遵守培训班相关规定。如遇疫情防控特殊情况，培训课程安排将进行适当调整，以确保培训教学安全。</w:t>
      </w:r>
    </w:p>
    <w:p>
      <w:pPr>
        <w:spacing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报名负责人：聂红军 主任18211071700（微信）   </w:t>
      </w:r>
    </w:p>
    <w:p>
      <w:pPr>
        <w:spacing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  话：010-87697580      邮    箱：zqgphwz@126.com  </w:t>
      </w:r>
    </w:p>
    <w:p>
      <w:pPr>
        <w:spacing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qq咨询：3177524020        网址查询：http://www.zqgpchina.cn/</w:t>
      </w:r>
    </w:p>
    <w:sectPr>
      <w:footerReference r:id="rId3" w:type="default"/>
      <w:footerReference r:id="rId4" w:type="even"/>
      <w:pgSz w:w="11906" w:h="16838"/>
      <w:pgMar w:top="1440" w:right="1463" w:bottom="1440" w:left="1463"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894" w:y="226"/>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56A36"/>
    <w:multiLevelType w:val="singleLevel"/>
    <w:tmpl w:val="8DC56A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5D"/>
    <w:rsid w:val="00001F6A"/>
    <w:rsid w:val="0001041B"/>
    <w:rsid w:val="00054606"/>
    <w:rsid w:val="000729AF"/>
    <w:rsid w:val="000C698C"/>
    <w:rsid w:val="00110D5F"/>
    <w:rsid w:val="00164852"/>
    <w:rsid w:val="001778CB"/>
    <w:rsid w:val="001D5E90"/>
    <w:rsid w:val="00264608"/>
    <w:rsid w:val="00275799"/>
    <w:rsid w:val="002A010A"/>
    <w:rsid w:val="002D40D1"/>
    <w:rsid w:val="00377EF8"/>
    <w:rsid w:val="0038443E"/>
    <w:rsid w:val="003F3310"/>
    <w:rsid w:val="00400E24"/>
    <w:rsid w:val="004B4957"/>
    <w:rsid w:val="004E0506"/>
    <w:rsid w:val="00561A5D"/>
    <w:rsid w:val="005A4418"/>
    <w:rsid w:val="005B563D"/>
    <w:rsid w:val="005C6610"/>
    <w:rsid w:val="00705FCE"/>
    <w:rsid w:val="007123DD"/>
    <w:rsid w:val="00715143"/>
    <w:rsid w:val="007213A8"/>
    <w:rsid w:val="0080304D"/>
    <w:rsid w:val="008676A2"/>
    <w:rsid w:val="0087665B"/>
    <w:rsid w:val="00886AC6"/>
    <w:rsid w:val="008A0314"/>
    <w:rsid w:val="008B5732"/>
    <w:rsid w:val="008C7C69"/>
    <w:rsid w:val="008F35FB"/>
    <w:rsid w:val="0097588A"/>
    <w:rsid w:val="00A958CE"/>
    <w:rsid w:val="00B052E1"/>
    <w:rsid w:val="00B644B0"/>
    <w:rsid w:val="00BA6A03"/>
    <w:rsid w:val="00CA4B35"/>
    <w:rsid w:val="00D04E8E"/>
    <w:rsid w:val="00E5187D"/>
    <w:rsid w:val="00E63DD9"/>
    <w:rsid w:val="00F263AA"/>
    <w:rsid w:val="01AA75B9"/>
    <w:rsid w:val="01C43799"/>
    <w:rsid w:val="01F00AD3"/>
    <w:rsid w:val="032827D5"/>
    <w:rsid w:val="0349622F"/>
    <w:rsid w:val="03661A34"/>
    <w:rsid w:val="03930F87"/>
    <w:rsid w:val="03D14453"/>
    <w:rsid w:val="043D6E93"/>
    <w:rsid w:val="044F2054"/>
    <w:rsid w:val="04727DF3"/>
    <w:rsid w:val="047D6ADD"/>
    <w:rsid w:val="04AC3D77"/>
    <w:rsid w:val="04EF2250"/>
    <w:rsid w:val="05466142"/>
    <w:rsid w:val="05A709C2"/>
    <w:rsid w:val="05BA6AD7"/>
    <w:rsid w:val="05F7291D"/>
    <w:rsid w:val="06074814"/>
    <w:rsid w:val="06B04322"/>
    <w:rsid w:val="073A63BF"/>
    <w:rsid w:val="077E2B49"/>
    <w:rsid w:val="08B228B3"/>
    <w:rsid w:val="090C3CEE"/>
    <w:rsid w:val="094E3A7D"/>
    <w:rsid w:val="09A22609"/>
    <w:rsid w:val="0B4A102C"/>
    <w:rsid w:val="0B5806CB"/>
    <w:rsid w:val="0C5870BA"/>
    <w:rsid w:val="0CE35749"/>
    <w:rsid w:val="0E4A586F"/>
    <w:rsid w:val="102767A1"/>
    <w:rsid w:val="10494F42"/>
    <w:rsid w:val="115A49B1"/>
    <w:rsid w:val="115D312E"/>
    <w:rsid w:val="11995691"/>
    <w:rsid w:val="11BA3AFA"/>
    <w:rsid w:val="11CE0840"/>
    <w:rsid w:val="121623CD"/>
    <w:rsid w:val="12322E4A"/>
    <w:rsid w:val="134F3BF3"/>
    <w:rsid w:val="139545FB"/>
    <w:rsid w:val="13D81034"/>
    <w:rsid w:val="146506FE"/>
    <w:rsid w:val="14FB3A3B"/>
    <w:rsid w:val="150837ED"/>
    <w:rsid w:val="156664CF"/>
    <w:rsid w:val="159B61D8"/>
    <w:rsid w:val="15B23194"/>
    <w:rsid w:val="16714A4C"/>
    <w:rsid w:val="16DB01F4"/>
    <w:rsid w:val="16DF1A6A"/>
    <w:rsid w:val="16E053BF"/>
    <w:rsid w:val="175971D6"/>
    <w:rsid w:val="1A4D6496"/>
    <w:rsid w:val="1A8565F6"/>
    <w:rsid w:val="1A8B4739"/>
    <w:rsid w:val="1A8D109D"/>
    <w:rsid w:val="1A9E5FD2"/>
    <w:rsid w:val="1B5C3986"/>
    <w:rsid w:val="1C7A582F"/>
    <w:rsid w:val="1CC55FD4"/>
    <w:rsid w:val="1D0065B7"/>
    <w:rsid w:val="1E7D03A4"/>
    <w:rsid w:val="1EC83C0C"/>
    <w:rsid w:val="1F68595A"/>
    <w:rsid w:val="1FD0648E"/>
    <w:rsid w:val="1FDC0533"/>
    <w:rsid w:val="1FFE0CE2"/>
    <w:rsid w:val="201573DC"/>
    <w:rsid w:val="206C3D1F"/>
    <w:rsid w:val="2132575F"/>
    <w:rsid w:val="21792DE3"/>
    <w:rsid w:val="24BB6EFA"/>
    <w:rsid w:val="24F4060D"/>
    <w:rsid w:val="2517088E"/>
    <w:rsid w:val="255D6232"/>
    <w:rsid w:val="256C4D8A"/>
    <w:rsid w:val="260D4C55"/>
    <w:rsid w:val="261C4560"/>
    <w:rsid w:val="265C31CA"/>
    <w:rsid w:val="26EE7763"/>
    <w:rsid w:val="27260E0D"/>
    <w:rsid w:val="276B2619"/>
    <w:rsid w:val="288A6DB6"/>
    <w:rsid w:val="28926E6E"/>
    <w:rsid w:val="28F3436E"/>
    <w:rsid w:val="28F47D1A"/>
    <w:rsid w:val="2A3454D1"/>
    <w:rsid w:val="2A4306E5"/>
    <w:rsid w:val="2A63343B"/>
    <w:rsid w:val="2A9E45E1"/>
    <w:rsid w:val="2AFA7A67"/>
    <w:rsid w:val="2C0E52E3"/>
    <w:rsid w:val="2D4B39F6"/>
    <w:rsid w:val="2D6C7762"/>
    <w:rsid w:val="2DA44690"/>
    <w:rsid w:val="2E65251B"/>
    <w:rsid w:val="2ED50115"/>
    <w:rsid w:val="2F0C1322"/>
    <w:rsid w:val="2FC97CA3"/>
    <w:rsid w:val="2FCF71DA"/>
    <w:rsid w:val="2FEF7F60"/>
    <w:rsid w:val="30750C14"/>
    <w:rsid w:val="315F4E7E"/>
    <w:rsid w:val="31D90154"/>
    <w:rsid w:val="32800034"/>
    <w:rsid w:val="3294317E"/>
    <w:rsid w:val="349031D9"/>
    <w:rsid w:val="353E3A38"/>
    <w:rsid w:val="359F3257"/>
    <w:rsid w:val="35A345F6"/>
    <w:rsid w:val="35EC0AFB"/>
    <w:rsid w:val="36113918"/>
    <w:rsid w:val="36184CE9"/>
    <w:rsid w:val="369D4DD8"/>
    <w:rsid w:val="36A10F0A"/>
    <w:rsid w:val="36EF2CCC"/>
    <w:rsid w:val="37316EC3"/>
    <w:rsid w:val="37675DC5"/>
    <w:rsid w:val="37831DAB"/>
    <w:rsid w:val="381722E3"/>
    <w:rsid w:val="38FC7A5B"/>
    <w:rsid w:val="39837C09"/>
    <w:rsid w:val="39A32C9E"/>
    <w:rsid w:val="39C971FF"/>
    <w:rsid w:val="39EA72C5"/>
    <w:rsid w:val="3A426FF8"/>
    <w:rsid w:val="3A862919"/>
    <w:rsid w:val="3A9521A2"/>
    <w:rsid w:val="3AD366D9"/>
    <w:rsid w:val="3AEF323B"/>
    <w:rsid w:val="3BD0005E"/>
    <w:rsid w:val="3C21082F"/>
    <w:rsid w:val="3D3F33F8"/>
    <w:rsid w:val="3D4D54D1"/>
    <w:rsid w:val="3DCD34C6"/>
    <w:rsid w:val="3E740034"/>
    <w:rsid w:val="3ECB6107"/>
    <w:rsid w:val="3EE700E0"/>
    <w:rsid w:val="3EF13AB3"/>
    <w:rsid w:val="3F930273"/>
    <w:rsid w:val="3FA61B7B"/>
    <w:rsid w:val="402672ED"/>
    <w:rsid w:val="40397E39"/>
    <w:rsid w:val="40CE3BE3"/>
    <w:rsid w:val="410D5886"/>
    <w:rsid w:val="410E5D69"/>
    <w:rsid w:val="414D6DBF"/>
    <w:rsid w:val="421B5F47"/>
    <w:rsid w:val="425602D0"/>
    <w:rsid w:val="43152607"/>
    <w:rsid w:val="43E91E8F"/>
    <w:rsid w:val="444D69CD"/>
    <w:rsid w:val="44AD2529"/>
    <w:rsid w:val="450544E6"/>
    <w:rsid w:val="45683321"/>
    <w:rsid w:val="45D029AF"/>
    <w:rsid w:val="46950422"/>
    <w:rsid w:val="46E013EE"/>
    <w:rsid w:val="46E01C27"/>
    <w:rsid w:val="47772310"/>
    <w:rsid w:val="47825902"/>
    <w:rsid w:val="47D46E80"/>
    <w:rsid w:val="48254D33"/>
    <w:rsid w:val="48B16564"/>
    <w:rsid w:val="48BB35CC"/>
    <w:rsid w:val="49455E4D"/>
    <w:rsid w:val="49600379"/>
    <w:rsid w:val="498D71B4"/>
    <w:rsid w:val="49F1105C"/>
    <w:rsid w:val="49FC2BDF"/>
    <w:rsid w:val="4A301467"/>
    <w:rsid w:val="4BB276C4"/>
    <w:rsid w:val="4C1F53C3"/>
    <w:rsid w:val="4CFB055D"/>
    <w:rsid w:val="4D2F0E24"/>
    <w:rsid w:val="4DA81DEE"/>
    <w:rsid w:val="4ED722BE"/>
    <w:rsid w:val="4F6D0506"/>
    <w:rsid w:val="4FD1706E"/>
    <w:rsid w:val="51B77EDD"/>
    <w:rsid w:val="527574C8"/>
    <w:rsid w:val="52AD5BDD"/>
    <w:rsid w:val="52C60855"/>
    <w:rsid w:val="52E272C3"/>
    <w:rsid w:val="53434E3B"/>
    <w:rsid w:val="53463D95"/>
    <w:rsid w:val="53840D32"/>
    <w:rsid w:val="53EB5FD4"/>
    <w:rsid w:val="53F10E8F"/>
    <w:rsid w:val="540577DE"/>
    <w:rsid w:val="54396974"/>
    <w:rsid w:val="545B29C9"/>
    <w:rsid w:val="5488294C"/>
    <w:rsid w:val="55E072CA"/>
    <w:rsid w:val="56EA5E46"/>
    <w:rsid w:val="58006282"/>
    <w:rsid w:val="58175A42"/>
    <w:rsid w:val="59B56DBD"/>
    <w:rsid w:val="5ACD3D1A"/>
    <w:rsid w:val="5AF30447"/>
    <w:rsid w:val="5C264444"/>
    <w:rsid w:val="5D1D4153"/>
    <w:rsid w:val="5E72730A"/>
    <w:rsid w:val="5E7B0798"/>
    <w:rsid w:val="5E836A0F"/>
    <w:rsid w:val="5E9759BE"/>
    <w:rsid w:val="5EF848AF"/>
    <w:rsid w:val="5F710912"/>
    <w:rsid w:val="5FEC779D"/>
    <w:rsid w:val="60A46D6E"/>
    <w:rsid w:val="61CD4305"/>
    <w:rsid w:val="62370CDE"/>
    <w:rsid w:val="6307434D"/>
    <w:rsid w:val="640423AC"/>
    <w:rsid w:val="658B4DD0"/>
    <w:rsid w:val="65DF36F2"/>
    <w:rsid w:val="65FF27CF"/>
    <w:rsid w:val="66075225"/>
    <w:rsid w:val="661E622C"/>
    <w:rsid w:val="667B08B2"/>
    <w:rsid w:val="66F946B6"/>
    <w:rsid w:val="671B16EB"/>
    <w:rsid w:val="671D31E0"/>
    <w:rsid w:val="678413A9"/>
    <w:rsid w:val="68585B41"/>
    <w:rsid w:val="68F30FB4"/>
    <w:rsid w:val="698F2E7A"/>
    <w:rsid w:val="69A0522C"/>
    <w:rsid w:val="6B8F46B3"/>
    <w:rsid w:val="6BB738E9"/>
    <w:rsid w:val="6C2A4DC8"/>
    <w:rsid w:val="6C83422A"/>
    <w:rsid w:val="6C842198"/>
    <w:rsid w:val="6CE721CA"/>
    <w:rsid w:val="6D220C7D"/>
    <w:rsid w:val="6D481EF9"/>
    <w:rsid w:val="6E0677B4"/>
    <w:rsid w:val="6E7A07A4"/>
    <w:rsid w:val="6EE80276"/>
    <w:rsid w:val="6EFC4724"/>
    <w:rsid w:val="6F49360F"/>
    <w:rsid w:val="6F921F7B"/>
    <w:rsid w:val="710C3184"/>
    <w:rsid w:val="71477B3B"/>
    <w:rsid w:val="72007643"/>
    <w:rsid w:val="722328DD"/>
    <w:rsid w:val="723523FD"/>
    <w:rsid w:val="72CF05D8"/>
    <w:rsid w:val="72D01C9E"/>
    <w:rsid w:val="72F94E08"/>
    <w:rsid w:val="732A1CF1"/>
    <w:rsid w:val="73662DE6"/>
    <w:rsid w:val="73EC7C26"/>
    <w:rsid w:val="73FA777F"/>
    <w:rsid w:val="74147B5B"/>
    <w:rsid w:val="75A61A14"/>
    <w:rsid w:val="75A91FBF"/>
    <w:rsid w:val="75E96273"/>
    <w:rsid w:val="75F54224"/>
    <w:rsid w:val="766F7FB5"/>
    <w:rsid w:val="76B914B7"/>
    <w:rsid w:val="76E66A66"/>
    <w:rsid w:val="76F81405"/>
    <w:rsid w:val="76FF45BD"/>
    <w:rsid w:val="772A66D9"/>
    <w:rsid w:val="773F1D39"/>
    <w:rsid w:val="77456938"/>
    <w:rsid w:val="77C30D24"/>
    <w:rsid w:val="78046E85"/>
    <w:rsid w:val="785A14DD"/>
    <w:rsid w:val="78846E9F"/>
    <w:rsid w:val="7887389E"/>
    <w:rsid w:val="78914A91"/>
    <w:rsid w:val="78A76CDD"/>
    <w:rsid w:val="78C533E3"/>
    <w:rsid w:val="792B1A28"/>
    <w:rsid w:val="79727DAC"/>
    <w:rsid w:val="79E35F6B"/>
    <w:rsid w:val="79EA286C"/>
    <w:rsid w:val="7A0D08EC"/>
    <w:rsid w:val="7A3D6593"/>
    <w:rsid w:val="7A6E724C"/>
    <w:rsid w:val="7AA4145F"/>
    <w:rsid w:val="7AA54102"/>
    <w:rsid w:val="7ABE4FD2"/>
    <w:rsid w:val="7B271311"/>
    <w:rsid w:val="7B9C7145"/>
    <w:rsid w:val="7BC42E2C"/>
    <w:rsid w:val="7BD220D4"/>
    <w:rsid w:val="7C3D07FA"/>
    <w:rsid w:val="7C63743B"/>
    <w:rsid w:val="7C8D1726"/>
    <w:rsid w:val="7D7D3522"/>
    <w:rsid w:val="7D980A50"/>
    <w:rsid w:val="7E332C76"/>
    <w:rsid w:val="7E467952"/>
    <w:rsid w:val="7F483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0">
    <w:name w:val="Char Char Char Char Char Char Char"/>
    <w:basedOn w:val="1"/>
    <w:qFormat/>
    <w:uiPriority w:val="0"/>
    <w:pPr>
      <w:widowControl/>
      <w:spacing w:line="240" w:lineRule="exact"/>
      <w:jc w:val="left"/>
    </w:pPr>
  </w:style>
  <w:style w:type="paragraph" w:customStyle="1" w:styleId="11">
    <w:name w:val="列出段落1"/>
    <w:basedOn w:val="1"/>
    <w:qFormat/>
    <w:uiPriority w:val="34"/>
    <w:pPr>
      <w:spacing w:line="360" w:lineRule="auto"/>
      <w:ind w:firstLine="420" w:firstLineChars="200"/>
    </w:pPr>
  </w:style>
  <w:style w:type="character" w:customStyle="1" w:styleId="12">
    <w:name w:val="页眉 字符"/>
    <w:basedOn w:val="6"/>
    <w:link w:val="3"/>
    <w:qFormat/>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700</Words>
  <Characters>3996</Characters>
  <Lines>33</Lines>
  <Paragraphs>9</Paragraphs>
  <TotalTime>5</TotalTime>
  <ScaleCrop>false</ScaleCrop>
  <LinksUpToDate>false</LinksUpToDate>
  <CharactersWithSpaces>4687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59901</dc:creator>
  <cp:lastModifiedBy>Administrator</cp:lastModifiedBy>
  <cp:lastPrinted>2021-01-29T04:53:00Z</cp:lastPrinted>
  <dcterms:modified xsi:type="dcterms:W3CDTF">2021-10-08T06:16:06Z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2556A4B7A4C648C994F8FF4C11E4AB02</vt:lpwstr>
  </property>
</Properties>
</file>