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仿宋" w:hAnsi="仿宋" w:eastAsia="仿宋" w:cs="仿宋"/>
          <w:b/>
          <w:bCs/>
          <w:color w:val="FF0000"/>
          <w:w w:val="62"/>
          <w:sz w:val="84"/>
          <w:szCs w:val="72"/>
        </w:rPr>
      </w:pPr>
      <w:r>
        <w:rPr>
          <w:rFonts w:hint="eastAsia" w:ascii="仿宋" w:hAnsi="仿宋" w:eastAsia="仿宋" w:cs="仿宋"/>
          <w:b/>
          <w:bCs/>
          <w:color w:val="FF0000"/>
          <w:w w:val="62"/>
          <w:sz w:val="84"/>
          <w:szCs w:val="72"/>
          <w:lang w:val="en-US" w:eastAsia="zh-CN"/>
        </w:rPr>
        <w:t>中国开发区协会投融资专业委员会</w:t>
      </w:r>
      <w:r>
        <w:rPr>
          <w:rFonts w:hint="eastAsia" w:ascii="仿宋" w:hAnsi="仿宋" w:eastAsia="仿宋" w:cs="仿宋"/>
          <w:b/>
          <w:bCs/>
          <w:color w:val="FF0000"/>
          <w:w w:val="62"/>
          <w:sz w:val="84"/>
          <w:szCs w:val="72"/>
        </w:rPr>
        <w:t>文件</w:t>
      </w:r>
    </w:p>
    <w:p>
      <w:pPr>
        <w:autoSpaceDE/>
        <w:autoSpaceDN/>
        <w:jc w:val="center"/>
        <w:rPr>
          <w:rFonts w:hint="eastAsia" w:ascii="仿宋" w:hAnsi="仿宋" w:eastAsia="仿宋" w:cs="仿宋"/>
          <w:sz w:val="32"/>
          <w:szCs w:val="32"/>
        </w:rPr>
      </w:pPr>
      <w:r>
        <w:rPr>
          <w:rFonts w:hint="eastAsia" w:ascii="仿宋" w:hAnsi="仿宋" w:eastAsia="仿宋" w:cs="仿宋"/>
          <w:sz w:val="28"/>
          <w:szCs w:val="28"/>
          <w:lang w:eastAsia="zh-CN"/>
        </w:rPr>
        <w:t>中</w:t>
      </w:r>
      <w:r>
        <w:rPr>
          <w:rFonts w:hint="eastAsia" w:ascii="仿宋" w:hAnsi="仿宋" w:eastAsia="仿宋" w:cs="仿宋"/>
          <w:sz w:val="28"/>
          <w:szCs w:val="28"/>
          <w:lang w:val="en-US" w:eastAsia="zh-CN"/>
        </w:rPr>
        <w:t>开协投融培</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007</w:t>
      </w:r>
      <w:r>
        <w:rPr>
          <w:rFonts w:hint="eastAsia" w:ascii="仿宋" w:hAnsi="仿宋" w:eastAsia="仿宋" w:cs="仿宋"/>
          <w:sz w:val="28"/>
          <w:szCs w:val="28"/>
        </w:rPr>
        <w:t>号</w:t>
      </w:r>
    </w:p>
    <w:p>
      <w:pPr>
        <w:jc w:val="center"/>
        <w:rPr>
          <w:rFonts w:hint="default" w:ascii="仿宋" w:hAnsi="仿宋" w:eastAsia="仿宋" w:cs="仿宋"/>
          <w:b/>
          <w:bCs/>
          <w:kern w:val="2"/>
          <w:sz w:val="32"/>
          <w:szCs w:val="32"/>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48895</wp:posOffset>
                </wp:positionV>
                <wp:extent cx="5774055" cy="171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774055" cy="1714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0.35pt;margin-top:3.85pt;height:1.35pt;width:454.65pt;z-index:251660288;mso-width-relative:page;mso-height-relative:page;" filled="f" stroked="t" coordsize="21600,21600" o:gfxdata="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uY4ZNcAAAAHAQAADwAAAAAAAAABACAAAAAiAAAAZHJzL2Rvd25yZXYueG1sUEsB&#10;AhQAFAAAAAgAh07iQLX8DWD2AQAA6wMAAA4AAAAAAAAAAQAgAAAAJgEAAGRycy9lMm9Eb2MueG1s&#10;UEsFBgAAAAAGAAYAWQEAAI4FAAAAAA==&#10;">
                <v:fill on="f" focussize="0,0"/>
                <v:stroke weight="1.5pt" color="#FF0000" joinstyle="round"/>
                <v:imagedata o:title=""/>
                <o:lock v:ext="edit" aspectratio="f"/>
              </v:line>
            </w:pict>
          </mc:Fallback>
        </mc:AlternateContent>
      </w:r>
    </w:p>
    <w:p>
      <w:pPr>
        <w:autoSpaceDE/>
        <w:autoSpaceDN/>
        <w:adjustRightInd/>
        <w:spacing w:line="410" w:lineRule="exact"/>
        <w:jc w:val="both"/>
        <w:rPr>
          <w:rFonts w:cs="宋体"/>
          <w:b/>
          <w:bCs/>
          <w:kern w:val="2"/>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val="0"/>
          <w:kern w:val="2"/>
          <w:sz w:val="36"/>
          <w:szCs w:val="36"/>
          <w:lang w:eastAsia="zh-CN"/>
        </w:rPr>
      </w:pPr>
      <w:r>
        <w:rPr>
          <w:rFonts w:hint="eastAsia" w:ascii="仿宋" w:hAnsi="仿宋" w:eastAsia="仿宋" w:cs="仿宋"/>
          <w:b/>
          <w:bCs w:val="0"/>
          <w:kern w:val="2"/>
          <w:sz w:val="36"/>
          <w:szCs w:val="36"/>
        </w:rPr>
        <w:t>关于举办</w:t>
      </w:r>
      <w:r>
        <w:rPr>
          <w:rFonts w:hint="eastAsia" w:ascii="仿宋" w:hAnsi="仿宋" w:eastAsia="仿宋" w:cs="仿宋"/>
          <w:b/>
          <w:bCs w:val="0"/>
          <w:kern w:val="2"/>
          <w:sz w:val="36"/>
          <w:szCs w:val="36"/>
          <w:lang w:eastAsia="zh-CN"/>
        </w:rPr>
        <w:t>“新</w:t>
      </w:r>
      <w:r>
        <w:rPr>
          <w:rFonts w:hint="eastAsia" w:ascii="仿宋" w:hAnsi="仿宋" w:eastAsia="仿宋" w:cs="仿宋"/>
          <w:b/>
          <w:bCs w:val="0"/>
          <w:kern w:val="2"/>
          <w:sz w:val="36"/>
          <w:szCs w:val="36"/>
        </w:rPr>
        <w:t>形势下</w:t>
      </w:r>
      <w:r>
        <w:rPr>
          <w:rFonts w:hint="eastAsia" w:ascii="仿宋" w:hAnsi="仿宋" w:eastAsia="仿宋" w:cs="仿宋"/>
          <w:b/>
          <w:bCs w:val="0"/>
          <w:kern w:val="2"/>
          <w:sz w:val="36"/>
          <w:szCs w:val="36"/>
          <w:lang w:eastAsia="zh-CN"/>
        </w:rPr>
        <w:t>地方政府</w:t>
      </w:r>
      <w:r>
        <w:rPr>
          <w:rFonts w:hint="eastAsia" w:ascii="仿宋" w:hAnsi="仿宋" w:eastAsia="仿宋" w:cs="仿宋"/>
          <w:b/>
          <w:bCs w:val="0"/>
          <w:kern w:val="2"/>
          <w:sz w:val="36"/>
          <w:szCs w:val="36"/>
        </w:rPr>
        <w:t>项目</w:t>
      </w:r>
      <w:r>
        <w:rPr>
          <w:rFonts w:hint="eastAsia" w:ascii="仿宋" w:hAnsi="仿宋" w:eastAsia="仿宋" w:cs="仿宋"/>
          <w:b/>
          <w:bCs w:val="0"/>
          <w:kern w:val="2"/>
          <w:sz w:val="36"/>
          <w:szCs w:val="36"/>
          <w:lang w:eastAsia="zh-CN"/>
        </w:rPr>
        <w:t>精准</w:t>
      </w:r>
      <w:r>
        <w:rPr>
          <w:rFonts w:hint="eastAsia" w:ascii="仿宋" w:hAnsi="仿宋" w:eastAsia="仿宋" w:cs="仿宋"/>
          <w:b/>
          <w:bCs w:val="0"/>
          <w:kern w:val="2"/>
          <w:sz w:val="36"/>
          <w:szCs w:val="36"/>
        </w:rPr>
        <w:t>谋划与</w:t>
      </w:r>
      <w:r>
        <w:rPr>
          <w:rFonts w:hint="eastAsia" w:ascii="仿宋" w:hAnsi="仿宋" w:eastAsia="仿宋" w:cs="仿宋"/>
          <w:b/>
          <w:bCs w:val="0"/>
          <w:kern w:val="2"/>
          <w:sz w:val="36"/>
          <w:szCs w:val="36"/>
          <w:lang w:eastAsia="zh-CN"/>
        </w:rPr>
        <w:t>平台公司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val="0"/>
          <w:kern w:val="2"/>
          <w:sz w:val="36"/>
          <w:szCs w:val="36"/>
        </w:rPr>
      </w:pPr>
      <w:r>
        <w:rPr>
          <w:rFonts w:hint="eastAsia" w:ascii="仿宋" w:hAnsi="仿宋" w:eastAsia="仿宋" w:cs="仿宋"/>
          <w:b/>
          <w:bCs w:val="0"/>
          <w:kern w:val="2"/>
          <w:sz w:val="36"/>
          <w:szCs w:val="36"/>
          <w:lang w:eastAsia="zh-CN"/>
        </w:rPr>
        <w:t>合规融资防范风险实务操作高级研修</w:t>
      </w:r>
      <w:r>
        <w:rPr>
          <w:rFonts w:hint="eastAsia" w:ascii="仿宋" w:hAnsi="仿宋" w:eastAsia="仿宋" w:cs="仿宋"/>
          <w:b/>
          <w:bCs w:val="0"/>
          <w:kern w:val="2"/>
          <w:sz w:val="36"/>
          <w:szCs w:val="36"/>
        </w:rPr>
        <w:t>班</w:t>
      </w:r>
      <w:r>
        <w:rPr>
          <w:rFonts w:hint="eastAsia" w:ascii="仿宋" w:hAnsi="仿宋" w:eastAsia="仿宋" w:cs="仿宋"/>
          <w:b/>
          <w:bCs w:val="0"/>
          <w:kern w:val="2"/>
          <w:sz w:val="36"/>
          <w:szCs w:val="36"/>
          <w:lang w:eastAsia="zh-CN"/>
        </w:rPr>
        <w:t>”</w:t>
      </w:r>
      <w:r>
        <w:rPr>
          <w:rFonts w:hint="eastAsia" w:ascii="仿宋" w:hAnsi="仿宋" w:eastAsia="仿宋" w:cs="仿宋"/>
          <w:b/>
          <w:bCs w:val="0"/>
          <w:kern w:val="2"/>
          <w:sz w:val="36"/>
          <w:szCs w:val="36"/>
        </w:rPr>
        <w:t>的通知</w:t>
      </w:r>
    </w:p>
    <w:p>
      <w:pPr>
        <w:pStyle w:val="11"/>
        <w:spacing w:before="0" w:after="0" w:line="428" w:lineRule="exact"/>
        <w:jc w:val="left"/>
        <w:rPr>
          <w:rFonts w:hint="default" w:ascii="仿宋" w:hAnsi="仿宋" w:eastAsia="仿宋" w:cs="仿宋"/>
          <w:kern w:val="2"/>
        </w:rPr>
      </w:pPr>
    </w:p>
    <w:p>
      <w:pPr>
        <w:pStyle w:val="11"/>
        <w:keepNext w:val="0"/>
        <w:keepLines w:val="0"/>
        <w:pageBreakBefore w:val="0"/>
        <w:widowControl w:val="0"/>
        <w:kinsoku/>
        <w:wordWrap/>
        <w:overflowPunct/>
        <w:topLinePunct w:val="0"/>
        <w:autoSpaceDE w:val="0"/>
        <w:autoSpaceDN w:val="0"/>
        <w:bidi w:val="0"/>
        <w:adjustRightInd w:val="0"/>
        <w:snapToGrid/>
        <w:spacing w:before="0" w:after="0" w:line="440" w:lineRule="exact"/>
        <w:jc w:val="left"/>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各有关单位:</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今年以来，在复杂的国际局势和国内疫情双重影响下，经济下行压力明显。</w:t>
      </w:r>
      <w:r>
        <w:rPr>
          <w:rFonts w:hint="eastAsia" w:ascii="仿宋" w:hAnsi="仿宋" w:eastAsia="仿宋" w:cs="仿宋"/>
          <w:color w:val="000000"/>
          <w:kern w:val="2"/>
          <w:sz w:val="28"/>
          <w:szCs w:val="28"/>
          <w:lang w:val="en-US" w:eastAsia="zh-CN"/>
        </w:rPr>
        <w:t>4月26日，</w:t>
      </w:r>
      <w:r>
        <w:rPr>
          <w:rFonts w:hint="eastAsia" w:ascii="仿宋" w:hAnsi="仿宋" w:eastAsia="仿宋" w:cs="仿宋"/>
          <w:color w:val="000000"/>
          <w:kern w:val="2"/>
          <w:sz w:val="28"/>
          <w:szCs w:val="28"/>
          <w:lang w:eastAsia="zh-CN"/>
        </w:rPr>
        <w:t>习近平主持召开中央财经委员会第十一次会议，强调全面加强基础设施建设，构建现代化基础设施体系，为全面建设社会主义现代化国家打下坚实基础。全面加强基础设施建设，新老基建并重，</w:t>
      </w:r>
      <w:r>
        <w:rPr>
          <w:rFonts w:hint="eastAsia" w:ascii="仿宋" w:hAnsi="仿宋" w:eastAsia="仿宋" w:cs="仿宋"/>
          <w:color w:val="000000"/>
          <w:kern w:val="2"/>
          <w:sz w:val="28"/>
          <w:szCs w:val="28"/>
        </w:rPr>
        <w:t>推进既促消费惠民生又调结构增后劲的</w:t>
      </w:r>
      <w:r>
        <w:rPr>
          <w:rFonts w:hint="eastAsia" w:ascii="仿宋" w:hAnsi="仿宋" w:eastAsia="仿宋" w:cs="仿宋"/>
          <w:color w:val="000000"/>
          <w:sz w:val="28"/>
          <w:szCs w:val="28"/>
        </w:rPr>
        <w:t>新型基础设施、新型城镇化、交通水利等重大工程建设</w:t>
      </w:r>
      <w:r>
        <w:rPr>
          <w:rFonts w:hint="eastAsia" w:ascii="仿宋" w:hAnsi="仿宋" w:eastAsia="仿宋" w:cs="仿宋"/>
          <w:color w:val="000000"/>
          <w:sz w:val="28"/>
          <w:szCs w:val="28"/>
          <w:lang w:eastAsia="zh-CN"/>
        </w:rPr>
        <w:t>，既可以扩内需、</w:t>
      </w:r>
      <w:r>
        <w:rPr>
          <w:rFonts w:hint="eastAsia" w:ascii="仿宋" w:hAnsi="仿宋" w:eastAsia="仿宋" w:cs="仿宋"/>
          <w:color w:val="000000"/>
          <w:kern w:val="2"/>
          <w:sz w:val="28"/>
          <w:szCs w:val="28"/>
          <w:lang w:eastAsia="zh-CN"/>
        </w:rPr>
        <w:t>稳增长，也为未来高质量的可持续发展打下基础。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今年是我国实施“十四五规划”的重要年份，“十四五规划”中重点强调了建设现代化基础设施体系、完善新型城镇化战略、提升城镇化发展质量。在这样的发展愿景下，地方政府既要从宏观角度谋划设计出顺应时代发展的项目，又要从微观角度思考如何在合法合规的框架下实现这一目标，尤其在</w:t>
      </w:r>
      <w:r>
        <w:rPr>
          <w:rFonts w:hint="eastAsia" w:ascii="仿宋" w:hAnsi="仿宋" w:eastAsia="仿宋" w:cs="仿宋"/>
          <w:color w:val="000000"/>
          <w:sz w:val="28"/>
          <w:szCs w:val="28"/>
        </w:rPr>
        <w:t>防范政府</w:t>
      </w:r>
      <w:r>
        <w:rPr>
          <w:rFonts w:hint="eastAsia" w:ascii="仿宋" w:hAnsi="仿宋" w:eastAsia="仿宋" w:cs="仿宋"/>
          <w:color w:val="000000"/>
          <w:sz w:val="28"/>
          <w:szCs w:val="28"/>
          <w:lang w:val="en-US" w:eastAsia="zh-CN"/>
        </w:rPr>
        <w:t>隐性</w:t>
      </w:r>
      <w:r>
        <w:rPr>
          <w:rFonts w:hint="eastAsia" w:ascii="仿宋" w:hAnsi="仿宋" w:eastAsia="仿宋" w:cs="仿宋"/>
          <w:color w:val="000000"/>
          <w:sz w:val="28"/>
          <w:szCs w:val="28"/>
        </w:rPr>
        <w:t>债务风险</w:t>
      </w:r>
      <w:r>
        <w:rPr>
          <w:rFonts w:hint="eastAsia" w:ascii="仿宋" w:hAnsi="仿宋" w:eastAsia="仿宋" w:cs="仿宋"/>
          <w:color w:val="000000"/>
          <w:sz w:val="28"/>
          <w:szCs w:val="28"/>
          <w:lang w:val="en-US" w:eastAsia="zh-CN"/>
        </w:rPr>
        <w:t>和顺利促进项目融资方面</w:t>
      </w:r>
      <w:r>
        <w:rPr>
          <w:rFonts w:hint="eastAsia" w:ascii="仿宋" w:hAnsi="仿宋" w:eastAsia="仿宋" w:cs="仿宋"/>
          <w:color w:val="000000"/>
          <w:sz w:val="28"/>
          <w:szCs w:val="28"/>
          <w:lang w:eastAsia="zh-CN"/>
        </w:rPr>
        <w:t>。为此，</w:t>
      </w:r>
      <w:r>
        <w:rPr>
          <w:rFonts w:hint="eastAsia" w:ascii="仿宋" w:hAnsi="仿宋" w:eastAsia="仿宋" w:cs="仿宋"/>
          <w:color w:val="000000" w:themeColor="text1"/>
          <w:sz w:val="28"/>
          <w:szCs w:val="28"/>
          <w:lang w:eastAsia="zh-CN"/>
          <w14:textFill>
            <w14:solidFill>
              <w14:schemeClr w14:val="tx1"/>
            </w14:solidFill>
          </w14:textFill>
        </w:rPr>
        <w:t>中国开发区协会投融资专业委员会联合北京众合启迪教育咨询有限公司联合</w:t>
      </w:r>
      <w:r>
        <w:rPr>
          <w:rFonts w:hint="eastAsia" w:ascii="仿宋" w:hAnsi="仿宋" w:eastAsia="仿宋" w:cs="仿宋"/>
          <w:color w:val="000000" w:themeColor="text1"/>
          <w:sz w:val="28"/>
          <w:szCs w:val="28"/>
          <w14:textFill>
            <w14:solidFill>
              <w14:schemeClr w14:val="tx1"/>
            </w14:solidFill>
          </w14:textFill>
        </w:rPr>
        <w:t>举办“</w:t>
      </w:r>
      <w:r>
        <w:rPr>
          <w:rFonts w:hint="eastAsia" w:ascii="仿宋" w:hAnsi="仿宋" w:eastAsia="仿宋" w:cs="仿宋"/>
          <w:color w:val="000000"/>
          <w:sz w:val="28"/>
          <w:szCs w:val="28"/>
        </w:rPr>
        <w:t>新形势下地方政府项目精准谋划与平台公司合规融资防范风险实务操作高级研修班”</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现将有关事项通知如下：</w:t>
      </w:r>
    </w:p>
    <w:p>
      <w:pPr>
        <w:pStyle w:val="2"/>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eastAsia="zh-CN"/>
        </w:rPr>
        <w:t>培训收益</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eastAsia="zh-CN"/>
        </w:rPr>
      </w:pPr>
      <w:r>
        <w:rPr>
          <w:rFonts w:hint="eastAsia" w:ascii="仿宋" w:hAnsi="仿宋" w:eastAsia="仿宋" w:cs="仿宋"/>
          <w:bCs/>
          <w:kern w:val="2"/>
          <w:sz w:val="28"/>
          <w:szCs w:val="28"/>
          <w:lang w:eastAsia="zh-CN"/>
        </w:rPr>
        <w:t>（一）了解</w:t>
      </w:r>
      <w:r>
        <w:rPr>
          <w:rFonts w:hint="eastAsia" w:ascii="仿宋" w:hAnsi="仿宋" w:eastAsia="仿宋" w:cs="仿宋"/>
          <w:bCs/>
          <w:kern w:val="2"/>
          <w:sz w:val="28"/>
          <w:szCs w:val="28"/>
        </w:rPr>
        <w:t>当前我国宏观经济形势</w:t>
      </w:r>
      <w:r>
        <w:rPr>
          <w:rFonts w:hint="eastAsia" w:ascii="仿宋" w:hAnsi="仿宋" w:eastAsia="仿宋" w:cs="仿宋"/>
          <w:bCs/>
          <w:kern w:val="2"/>
          <w:sz w:val="28"/>
          <w:szCs w:val="28"/>
          <w:lang w:eastAsia="zh-CN"/>
        </w:rPr>
        <w:t>；</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（二）学习并理解近期基建、投融资相关文件精神；</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（三）学习防范与化解地方政府隐性债务相关内容与案例；</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（四）了解新形势下项目开发模式、投融资模式设计；</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（五）学习各地项目谋划经典案例。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二、培训内容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（一）地方政府隐性债务处罚案例分析</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60" w:lef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当前我国宏观经济形势分析；</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60" w:lef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近期通报的八起涉隐性债务案例分析。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sz w:val="28"/>
          <w:szCs w:val="28"/>
          <w:lang w:val="en-US" w:eastAsia="zh-CN"/>
        </w:rPr>
        <w:t>（二）近期出台的关于基建领域系列政策分析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left"/>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1.《国务院关于进一步深化预算管理制度改革意见》（国发〔2021〕5号）；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37" w:leftChars="232" w:right="-168" w:rightChars="-70" w:hanging="280" w:hanging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2.《2021年新型城镇化和城乡融合发展重点任务》（发改规划〔2021〕493号）；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37" w:leftChars="232" w:right="-168" w:rightChars="-70" w:hanging="280" w:hanging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3.《关于在实施城市更新行动中防止大拆大建问题的通知》（建科〔2021〕63号）；</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4.《国家发展改革委办公厅关于做好社会资本投融资合作对接有关工作的通知》（发改办投资〔2022〕233号）</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5.中央财经委员会第十一次会议</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6.关于印发《中央对地方重点生态功能区转移支付办法》的通知（财预〔2022〕59号）</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7.中共中央办公厅 国务院办公厅印发《关于推进以县城为重要载体的城镇化建设的意见》</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8.国务院办公厅《关于进一步盘活存量资产扩大有效投资的意见》（国办发〔2022〕19号）</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9.国务院关于印发《扎实稳住经济一揽子政策措施》的通知（国发〔2022〕12号）</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ascii="仿宋" w:hAnsi="仿宋" w:eastAsia="仿宋" w:cs="仿宋"/>
          <w:bCs/>
          <w:kern w:val="2"/>
          <w:sz w:val="28"/>
          <w:szCs w:val="28"/>
          <w:lang w:val="en-US" w:eastAsia="zh-CN"/>
        </w:rPr>
      </w:pPr>
      <w:r>
        <w:rPr>
          <w:rFonts w:hint="eastAsia" w:hAnsi="仿宋" w:cs="仿宋"/>
          <w:bCs/>
          <w:kern w:val="2"/>
          <w:sz w:val="28"/>
          <w:szCs w:val="28"/>
          <w:lang w:val="en-US" w:eastAsia="zh-CN"/>
        </w:rPr>
        <w:t>（三）</w:t>
      </w:r>
      <w:r>
        <w:rPr>
          <w:rFonts w:hint="eastAsia" w:ascii="仿宋" w:hAnsi="仿宋" w:eastAsia="仿宋" w:cs="仿宋"/>
          <w:bCs/>
          <w:kern w:val="2"/>
          <w:sz w:val="28"/>
          <w:szCs w:val="28"/>
          <w:lang w:val="en-US" w:eastAsia="zh-CN"/>
        </w:rPr>
        <w:t>城市更新项目投融资模式及案例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1.城市更新的拆迁类、改建类、整治类内容解析；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2.城市更新实施主体的确定方式及实例</w:t>
      </w:r>
      <w:r>
        <w:rPr>
          <w:rFonts w:hint="eastAsia" w:ascii="仿宋" w:hAnsi="仿宋" w:eastAsia="仿宋" w:cs="仿宋"/>
          <w:bCs/>
          <w:kern w:val="2"/>
          <w:sz w:val="28"/>
          <w:szCs w:val="28"/>
          <w:lang w:val="en-US" w:eastAsia="zh-CN"/>
        </w:rPr>
        <w:tab/>
      </w:r>
      <w:r>
        <w:rPr>
          <w:rFonts w:hint="eastAsia" w:ascii="仿宋" w:hAnsi="仿宋" w:eastAsia="仿宋" w:cs="仿宋"/>
          <w:bCs/>
          <w:kern w:val="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3.老旧小区、老旧厂区、老旧街区、城中村改造的实施方式及案例；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Cs/>
          <w:kern w:val="2"/>
          <w:sz w:val="28"/>
          <w:szCs w:val="28"/>
          <w:lang w:val="en-US" w:eastAsia="zh-CN"/>
        </w:rPr>
        <w:t>4.城市更新项目融资方式及案例；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5.社会资本参与城市更新模式及案例；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6.城市更新基金的当前应用情况。</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（四）TOD模式的应用及案例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1.TOD模式的内涵、特点及发展理念；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2.TOD模式下基础设施和城市土地一体化开发利用及案例；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3.TOD模式投资回报机制及土地增值溢价反哺的设置；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4.TOD模式怎样解决钱、地、人及产业（从哪里来）。</w:t>
      </w:r>
    </w:p>
    <w:p>
      <w:pPr>
        <w:pStyle w:val="2"/>
        <w:keepNext w:val="0"/>
        <w:keepLines w:val="0"/>
        <w:pageBreakBefore w:val="0"/>
        <w:widowControl w:val="0"/>
        <w:numPr>
          <w:ilvl w:val="-1"/>
          <w:numId w:val="0"/>
        </w:numPr>
        <w:kinsoku/>
        <w:wordWrap/>
        <w:overflowPunct/>
        <w:topLinePunct w:val="0"/>
        <w:bidi w:val="0"/>
        <w:snapToGrid/>
        <w:spacing w:line="440" w:lineRule="exact"/>
        <w:ind w:left="0" w:leftChars="0" w:firstLine="560" w:firstLineChars="200"/>
        <w:textAlignment w:val="auto"/>
        <w:rPr>
          <w:rFonts w:hint="eastAsia" w:ascii="仿宋" w:hAnsi="仿宋" w:eastAsia="仿宋" w:cs="仿宋"/>
          <w:bCs/>
          <w:kern w:val="2"/>
          <w:sz w:val="28"/>
          <w:szCs w:val="28"/>
          <w:lang w:val="en-US" w:eastAsia="zh-CN"/>
        </w:rPr>
      </w:pPr>
      <w:r>
        <w:rPr>
          <w:rFonts w:hint="eastAsia" w:hAnsi="仿宋" w:cs="仿宋"/>
          <w:bCs/>
          <w:kern w:val="2"/>
          <w:sz w:val="28"/>
          <w:szCs w:val="28"/>
          <w:lang w:val="en-US" w:eastAsia="zh-CN"/>
        </w:rPr>
        <w:t>（五）</w:t>
      </w:r>
      <w:r>
        <w:rPr>
          <w:rFonts w:hint="eastAsia" w:ascii="仿宋" w:hAnsi="仿宋" w:eastAsia="仿宋" w:cs="仿宋"/>
          <w:bCs/>
          <w:kern w:val="2"/>
          <w:sz w:val="28"/>
          <w:szCs w:val="28"/>
          <w:lang w:val="en-US" w:eastAsia="zh-CN"/>
        </w:rPr>
        <w:t>EOD模式的应用及案例</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EOD模式边界设计</w:t>
      </w:r>
      <w:r>
        <w:rPr>
          <w:rFonts w:hint="eastAsia" w:hAnsi="仿宋" w:cs="仿宋"/>
          <w:bCs/>
          <w:kern w:val="2"/>
          <w:sz w:val="28"/>
          <w:szCs w:val="28"/>
          <w:lang w:val="en-US" w:eastAsia="zh-CN"/>
        </w:rPr>
        <w:t>；</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color w:val="000000"/>
          <w:kern w:val="0"/>
          <w:sz w:val="28"/>
          <w:szCs w:val="28"/>
          <w:lang w:val="en-US" w:eastAsia="zh-CN"/>
        </w:rPr>
        <w:t>EOD模式土地开发</w:t>
      </w:r>
      <w:r>
        <w:rPr>
          <w:rFonts w:hint="eastAsia" w:hAnsi="仿宋" w:cs="仿宋"/>
          <w:b w:val="0"/>
          <w:bCs w:val="0"/>
          <w:color w:val="000000"/>
          <w:kern w:val="0"/>
          <w:sz w:val="28"/>
          <w:szCs w:val="28"/>
          <w:lang w:val="en-US" w:eastAsia="zh-CN"/>
        </w:rPr>
        <w:t>；</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color w:val="000000"/>
          <w:kern w:val="0"/>
          <w:sz w:val="28"/>
          <w:szCs w:val="28"/>
          <w:lang w:val="en-US" w:eastAsia="zh-CN"/>
        </w:rPr>
        <w:t>EOD模式产业导入</w:t>
      </w:r>
      <w:r>
        <w:rPr>
          <w:rFonts w:hint="eastAsia" w:hAnsi="仿宋" w:cs="仿宋"/>
          <w:b w:val="0"/>
          <w:bCs w:val="0"/>
          <w:color w:val="000000"/>
          <w:kern w:val="0"/>
          <w:sz w:val="28"/>
          <w:szCs w:val="28"/>
          <w:lang w:val="en-US" w:eastAsia="zh-CN"/>
        </w:rPr>
        <w:t>；</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color w:val="000000"/>
          <w:kern w:val="0"/>
          <w:sz w:val="28"/>
          <w:szCs w:val="28"/>
          <w:lang w:val="en-US" w:eastAsia="zh-CN"/>
        </w:rPr>
        <w:t>EOD模式运营服务</w:t>
      </w:r>
      <w:r>
        <w:rPr>
          <w:rFonts w:hint="eastAsia" w:hAnsi="仿宋" w:cs="仿宋"/>
          <w:b w:val="0"/>
          <w:bCs w:val="0"/>
          <w:color w:val="000000"/>
          <w:kern w:val="0"/>
          <w:sz w:val="28"/>
          <w:szCs w:val="28"/>
          <w:lang w:val="en-US" w:eastAsia="zh-CN"/>
        </w:rPr>
        <w:t>；</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color w:val="000000"/>
          <w:kern w:val="0"/>
          <w:sz w:val="28"/>
          <w:szCs w:val="28"/>
          <w:lang w:val="en-US" w:eastAsia="zh-CN"/>
        </w:rPr>
        <w:t>EOD模式风险分析</w:t>
      </w:r>
      <w:r>
        <w:rPr>
          <w:rFonts w:hint="eastAsia" w:hAnsi="仿宋" w:cs="仿宋"/>
          <w:b w:val="0"/>
          <w:bCs w:val="0"/>
          <w:color w:val="00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（六）“两新一重”建设谋划储备、项目包装及案例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1.“两新一重”建设的前期谋划；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2.“两新一重”建设采用的投融资模式及可行性；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3.政府立项与平台公司立项的项目优势分析；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4.土地资源利用及资金筹集；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5.立项程序及政府采购程序解析及案例；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6.项目建设中政府隐性债务的规避措施。</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（七）新型县城城镇化建设项目的谋划与投融资分析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1.县城城镇化建设项目的内涵；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2.县城城镇化建设项目的包装设计；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3.县城城镇化建设项目的企业债券发行；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4.县城城镇化建设项目的银行贷款；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5.县城城镇化建设项目的经营性与公益性项目综合打包问题。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（八）片区综合开发投融资模式及案例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1.PPP模式在片区综合开发应用存在短板；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2.政府授权国企与投资者合作模式；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3.ABO模式自身存在的短板及缓释措施与案例；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4.地方政府对国有企业政策及资源支持途径及案例；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5.投资人+EPC模式合规性与违规性分析及片区包装设计；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6.投资人+EPC模式所涉及资产归属及回报机制设计；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7.封闭运作、滚动开发、自求平衡模式解析及架构图分析；</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（九）片区综合开发各类风险识别及防范</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1.片区开发合规性的风险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（1）避免增加政府债务；</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（2）授权开发模式的合规性；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（3）项目本身的合规性。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2.项目可融资性风险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（1）交易结构设置问题带来融资不确定性；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（2）项目组合性质不合理带来融资不确定性；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（3）存在违反财预〔2017〕50号文及银保监发〔2021〕15号文的情形。</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3.项目投资风险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（1）缺乏前期投资资金平衡方案有效分析；</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（2）单纯依靠土地出让收入为回款来源而盲目上马项目；</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（3）土地一二级联动未能实现对项目投资带来不确定性。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4.政府方付费的风险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（1）政府未能按与实施主体协议约定足额付费；</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（2）受土地指标或土地出让金未达到预期收益；</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（3）政府挪用土地出让金未能及时返还给实施主体；</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（4）因受审计限制未能及时付款风险。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5.项目运营风险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（十）片区综合开发中土地储备与交易及案例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1.怎样理解不得以预期土地出让收入作为偿债资金来源的融资；</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2.土地出让金作为片区开发支出与土地预期出让收入界定；</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3.土地储备（一级开发）主要环节解析；</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4.土地储备中两类主体分析及案例；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5.土地储备中一、二级开发联动探讨及案例；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6.土地储备中的不合规模式及案例；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7.拆迁安置及前期开发资金解决方式探讨及案例。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（十一）平台公司如何参与片区综合开发</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1.地方政府如何规范授权国企成为实施主体及案例；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2.地方政府如何合规利用财政资金对片区开发补贴；</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3.地方政府对片区产业招商、税收增量实施财政奖励；</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4.地方政府专项债券怎样支持片区项目及案例；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 xml:space="preserve">    5.平台公司通过政府授权获得项目业主或实施主体；</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6.平台公司怎样参与前期土地拆迁、收储及注意的问题；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7.平台公司怎样选择投资人，公开招标关键环节及问题；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8.平台公司的项目立项，资产所属及项目公司设立；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9.前期拆迁款、安置费、补偿款解决的几种方式；</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10.片区开发中资产归属及资产转移问题探讨。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（十二）商业银行等金融机构参与片区综合开发</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1.金融机构支持实体经济发展相关政策解读；</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2.15号文之后，商业银行如何介入城市更新项目；</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3.商业银行参与片区开发子项目建设；</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4.片区综合开发收益性与贷款可行性；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5.片区中公益性项目与土地出让金平衡方式风险点；</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6.投资人+EPC模式后期融资及政府贷款贴息。</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（十三）央企、国企参与片区综合开发模式探讨及案例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1.开发型PPP模式在片区综合开发应用与案例；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2.企业主导片区综合开发模式分析及案例；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4.“庞大项目”资本金的筹集渠道及合规性问题；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6.如何争取地方政府专项债券对项目支持及案例。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rPr>
        <w:t>、培训对象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val="en-US" w:eastAsia="zh-CN"/>
        </w:rPr>
        <w:t>各</w:t>
      </w:r>
      <w:r>
        <w:rPr>
          <w:rFonts w:hint="eastAsia" w:ascii="仿宋" w:hAnsi="仿宋" w:eastAsia="仿宋" w:cs="仿宋"/>
          <w:bCs/>
          <w:kern w:val="2"/>
          <w:sz w:val="28"/>
          <w:szCs w:val="28"/>
        </w:rPr>
        <w:t>级发改、财政、教育、科技、司法、环保、住建、交通、水利、农业、林草、文旅、卫健、能源等政府职能部门工作人员；城投类平台公司、污水垃圾处理、供水供气供热、仓储物流、新能源、环境保护及建筑施工等行业企业管理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、授课</w:t>
      </w:r>
      <w:r>
        <w:rPr>
          <w:rFonts w:hint="eastAsia" w:ascii="仿宋" w:hAnsi="仿宋" w:eastAsia="仿宋" w:cs="仿宋"/>
          <w:b/>
          <w:bCs/>
          <w:color w:val="000000"/>
          <w:sz w:val="28"/>
          <w:szCs w:val="28"/>
          <w:lang w:eastAsia="zh-CN"/>
        </w:rPr>
        <w:t>师资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邀请发改、财政、金融及法律等领域</w:t>
      </w:r>
      <w:r>
        <w:rPr>
          <w:rFonts w:hint="eastAsia" w:ascii="仿宋" w:hAnsi="仿宋" w:eastAsia="仿宋" w:cs="仿宋"/>
          <w:bCs/>
          <w:kern w:val="2"/>
          <w:sz w:val="28"/>
          <w:szCs w:val="28"/>
          <w:lang w:eastAsia="zh-CN"/>
        </w:rPr>
        <w:t>的</w:t>
      </w:r>
      <w:r>
        <w:rPr>
          <w:rFonts w:hint="eastAsia" w:ascii="仿宋" w:hAnsi="仿宋" w:eastAsia="仿宋" w:cs="仿宋"/>
          <w:bCs/>
          <w:kern w:val="2"/>
          <w:sz w:val="28"/>
          <w:szCs w:val="28"/>
        </w:rPr>
        <w:t>专家，采用专题讲座、现场答疑、互动交流等形式进行授课。</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五、培训时间与地点</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hint="eastAsia" w:ascii="仿宋" w:hAnsi="仿宋" w:eastAsia="仿宋" w:cs="仿宋"/>
          <w:bCs/>
          <w:kern w:val="2"/>
          <w:sz w:val="28"/>
          <w:szCs w:val="28"/>
        </w:rPr>
        <w:t>8日—0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w:t>
      </w:r>
      <w:r>
        <w:rPr>
          <w:rFonts w:hint="eastAsia" w:ascii="仿宋" w:hAnsi="仿宋" w:eastAsia="仿宋" w:cs="仿宋"/>
          <w:bCs/>
          <w:kern w:val="2"/>
          <w:sz w:val="28"/>
          <w:szCs w:val="28"/>
        </w:rPr>
        <w:t xml:space="preserve">1日  </w:t>
      </w:r>
      <w:r>
        <w:rPr>
          <w:rFonts w:hint="eastAsia" w:ascii="仿宋" w:hAnsi="仿宋" w:eastAsia="仿宋" w:cs="仿宋"/>
          <w:bCs/>
          <w:kern w:val="2"/>
          <w:sz w:val="28"/>
          <w:szCs w:val="28"/>
          <w:lang w:eastAsia="zh-CN"/>
        </w:rPr>
        <w:t>成都</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0</w:t>
      </w:r>
      <w:r>
        <w:rPr>
          <w:rFonts w:hint="eastAsia" w:ascii="仿宋" w:hAnsi="仿宋" w:eastAsia="仿宋" w:cs="仿宋"/>
          <w:bCs/>
          <w:kern w:val="2"/>
          <w:sz w:val="28"/>
          <w:szCs w:val="28"/>
        </w:rPr>
        <w:t>8日全天报到）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22</w:t>
      </w:r>
      <w:r>
        <w:rPr>
          <w:rFonts w:hint="eastAsia" w:ascii="仿宋" w:hAnsi="仿宋" w:eastAsia="仿宋" w:cs="仿宋"/>
          <w:bCs/>
          <w:kern w:val="2"/>
          <w:sz w:val="28"/>
          <w:szCs w:val="28"/>
        </w:rPr>
        <w:t>日—0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25</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青岛</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22</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w:t>
      </w:r>
      <w:r>
        <w:rPr>
          <w:rFonts w:hint="eastAsia" w:ascii="仿宋" w:hAnsi="仿宋" w:eastAsia="仿宋" w:cs="仿宋"/>
          <w:bCs/>
          <w:kern w:val="2"/>
          <w:sz w:val="28"/>
          <w:szCs w:val="28"/>
        </w:rPr>
        <w:t>2日—0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15</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eastAsia="zh-CN"/>
        </w:rPr>
        <w:t>贵阳</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12</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26</w:t>
      </w:r>
      <w:r>
        <w:rPr>
          <w:rFonts w:hint="eastAsia" w:ascii="仿宋" w:hAnsi="仿宋" w:eastAsia="仿宋" w:cs="仿宋"/>
          <w:bCs/>
          <w:kern w:val="2"/>
          <w:sz w:val="28"/>
          <w:szCs w:val="28"/>
        </w:rPr>
        <w:t>日—0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29</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eastAsia="zh-CN"/>
        </w:rPr>
        <w:t>郑州</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26</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w:t>
      </w:r>
      <w:r>
        <w:rPr>
          <w:rFonts w:hint="eastAsia" w:ascii="仿宋" w:hAnsi="仿宋" w:eastAsia="仿宋" w:cs="仿宋"/>
          <w:bCs/>
          <w:kern w:val="2"/>
          <w:sz w:val="28"/>
          <w:szCs w:val="28"/>
          <w:lang w:val="en-US" w:eastAsia="zh-CN"/>
        </w:rPr>
        <w:t>9</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16</w:t>
      </w:r>
      <w:r>
        <w:rPr>
          <w:rFonts w:hint="eastAsia" w:ascii="仿宋" w:hAnsi="仿宋" w:eastAsia="仿宋" w:cs="仿宋"/>
          <w:bCs/>
          <w:kern w:val="2"/>
          <w:sz w:val="28"/>
          <w:szCs w:val="28"/>
        </w:rPr>
        <w:t>日—0</w:t>
      </w:r>
      <w:r>
        <w:rPr>
          <w:rFonts w:hint="eastAsia" w:ascii="仿宋" w:hAnsi="仿宋" w:eastAsia="仿宋" w:cs="仿宋"/>
          <w:bCs/>
          <w:kern w:val="2"/>
          <w:sz w:val="28"/>
          <w:szCs w:val="28"/>
          <w:lang w:val="en-US" w:eastAsia="zh-CN"/>
        </w:rPr>
        <w:t>9</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19</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西安</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16</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left="557" w:leftChars="232" w:firstLine="0" w:firstLineChars="0"/>
        <w:textAlignment w:val="auto"/>
        <w:rPr>
          <w:rFonts w:hint="eastAsia" w:ascii="仿宋" w:hAnsi="仿宋" w:eastAsia="仿宋" w:cs="仿宋"/>
          <w:b/>
          <w:bCs/>
          <w:color w:val="000000"/>
          <w:sz w:val="28"/>
          <w:szCs w:val="28"/>
          <w:lang w:eastAsia="zh-CN"/>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eastAsia="zh-CN"/>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kern w:val="2"/>
          <w:sz w:val="28"/>
          <w:szCs w:val="28"/>
          <w:lang w:eastAsia="zh-CN"/>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收费标准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A.</w:t>
      </w:r>
      <w:r>
        <w:rPr>
          <w:rFonts w:hint="eastAsia" w:ascii="仿宋" w:hAnsi="仿宋" w:eastAsia="仿宋" w:cs="仿宋"/>
          <w:bCs/>
          <w:kern w:val="2"/>
          <w:sz w:val="28"/>
          <w:szCs w:val="28"/>
          <w:lang w:val="en-US" w:eastAsia="zh-CN"/>
        </w:rPr>
        <w:t>3600</w:t>
      </w:r>
      <w:r>
        <w:rPr>
          <w:rFonts w:hint="eastAsia" w:ascii="仿宋" w:hAnsi="仿宋" w:eastAsia="仿宋" w:cs="仿宋"/>
          <w:bCs/>
          <w:kern w:val="2"/>
          <w:sz w:val="28"/>
          <w:szCs w:val="28"/>
        </w:rPr>
        <w:t>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及培训期间午餐），住宿统一安排，费用自理。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B.</w:t>
      </w:r>
      <w:r>
        <w:rPr>
          <w:rFonts w:hint="eastAsia" w:ascii="仿宋" w:hAnsi="仿宋" w:eastAsia="仿宋" w:cs="仿宋"/>
          <w:bCs/>
          <w:kern w:val="2"/>
          <w:sz w:val="28"/>
          <w:szCs w:val="28"/>
          <w:lang w:val="en-US" w:eastAsia="zh-CN"/>
        </w:rPr>
        <w:t>560</w:t>
      </w:r>
      <w:r>
        <w:rPr>
          <w:rFonts w:hint="eastAsia" w:ascii="仿宋" w:hAnsi="仿宋" w:eastAsia="仿宋" w:cs="仿宋"/>
          <w:bCs/>
          <w:kern w:val="2"/>
          <w:sz w:val="28"/>
          <w:szCs w:val="28"/>
        </w:rPr>
        <w:t>0元/人（含培训、资料、电子课件、场地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、证书及培训期间午餐），住宿统一安排，费用自理。培训结束后，经考核合格，由</w:t>
      </w:r>
      <w:r>
        <w:rPr>
          <w:rFonts w:hint="eastAsia" w:ascii="仿宋" w:hAnsi="仿宋" w:eastAsia="仿宋" w:cs="仿宋"/>
          <w:bCs/>
          <w:kern w:val="2"/>
          <w:sz w:val="28"/>
          <w:szCs w:val="28"/>
          <w:lang w:eastAsia="zh-CN"/>
        </w:rPr>
        <w:t>中国管理科学研究院</w:t>
      </w:r>
      <w:r>
        <w:rPr>
          <w:rFonts w:hint="eastAsia" w:ascii="仿宋" w:hAnsi="仿宋" w:eastAsia="仿宋" w:cs="仿宋"/>
          <w:bCs/>
          <w:kern w:val="2"/>
          <w:sz w:val="28"/>
          <w:szCs w:val="28"/>
        </w:rPr>
        <w:t>颁发《投融资</w:t>
      </w:r>
      <w:r>
        <w:rPr>
          <w:rFonts w:hint="eastAsia" w:ascii="仿宋" w:hAnsi="仿宋" w:eastAsia="仿宋" w:cs="仿宋"/>
          <w:bCs/>
          <w:kern w:val="2"/>
          <w:sz w:val="28"/>
          <w:szCs w:val="28"/>
          <w:lang w:eastAsia="zh-CN"/>
        </w:rPr>
        <w:t>管理</w:t>
      </w:r>
      <w:r>
        <w:rPr>
          <w:rFonts w:hint="eastAsia" w:ascii="仿宋" w:hAnsi="仿宋" w:eastAsia="仿宋" w:cs="仿宋"/>
          <w:bCs/>
          <w:kern w:val="2"/>
          <w:sz w:val="28"/>
          <w:szCs w:val="28"/>
        </w:rPr>
        <w:t>师》证书，证书申报需提供申报表、二寸</w:t>
      </w:r>
      <w:r>
        <w:rPr>
          <w:rFonts w:hint="eastAsia" w:ascii="仿宋" w:hAnsi="仿宋" w:eastAsia="仿宋" w:cs="仿宋"/>
          <w:bCs/>
          <w:kern w:val="2"/>
          <w:sz w:val="28"/>
          <w:szCs w:val="28"/>
          <w:lang w:eastAsia="zh-CN"/>
        </w:rPr>
        <w:t>蓝</w:t>
      </w:r>
      <w:r>
        <w:rPr>
          <w:rFonts w:hint="eastAsia" w:ascii="仿宋" w:hAnsi="仿宋" w:eastAsia="仿宋" w:cs="仿宋"/>
          <w:bCs/>
          <w:kern w:val="2"/>
          <w:sz w:val="28"/>
          <w:szCs w:val="28"/>
        </w:rPr>
        <w:t>底免冠彩色照片（电子版）、身份证复印件、学历证书复印件各一份。</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eastAsia="zh-CN"/>
        </w:rPr>
        <w:t>课程权益</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仿宋" w:hAnsi="仿宋" w:eastAsia="仿宋" w:cs="仿宋"/>
          <w:bCs/>
          <w:kern w:val="2"/>
          <w:sz w:val="28"/>
          <w:szCs w:val="28"/>
        </w:rPr>
      </w:pP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本培训班常年举办，本人</w:t>
      </w: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年</w:t>
      </w:r>
      <w:r>
        <w:rPr>
          <w:rFonts w:hint="eastAsia" w:ascii="仿宋" w:hAnsi="仿宋" w:eastAsia="仿宋" w:cs="仿宋"/>
          <w:color w:val="000000"/>
          <w:spacing w:val="10"/>
          <w:sz w:val="28"/>
          <w:szCs w:val="28"/>
          <w:lang w:eastAsia="zh-CN"/>
        </w:rPr>
        <w:t>内</w:t>
      </w:r>
      <w:r>
        <w:rPr>
          <w:rFonts w:hint="eastAsia" w:ascii="仿宋" w:hAnsi="仿宋" w:eastAsia="仿宋" w:cs="仿宋"/>
          <w:color w:val="000000"/>
          <w:spacing w:val="10"/>
          <w:sz w:val="28"/>
          <w:szCs w:val="28"/>
        </w:rPr>
        <w:t>免费复训一次，只交资料费300元即可，赠送同主题一次网络课程</w:t>
      </w:r>
      <w:r>
        <w:rPr>
          <w:rFonts w:hint="eastAsia"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（二）</w:t>
      </w:r>
      <w:r>
        <w:rPr>
          <w:rFonts w:hint="eastAsia" w:ascii="仿宋" w:hAnsi="仿宋" w:eastAsia="仿宋" w:cs="仿宋"/>
          <w:bCs/>
          <w:kern w:val="2"/>
          <w:sz w:val="28"/>
          <w:szCs w:val="28"/>
        </w:rPr>
        <w:t>免费赠送中建科信集团编著的《“两新一重”建设投融资政策解读》专著（中国金融出版社）；</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（三）</w:t>
      </w:r>
      <w:r>
        <w:rPr>
          <w:rFonts w:hint="eastAsia" w:ascii="仿宋" w:hAnsi="仿宋" w:eastAsia="仿宋" w:cs="仿宋"/>
          <w:bCs/>
          <w:kern w:val="2"/>
          <w:sz w:val="28"/>
          <w:szCs w:val="28"/>
        </w:rPr>
        <w:t xml:space="preserve">免费定期推送各类行业政策新闻及专家解读等相关资讯；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（四）</w:t>
      </w:r>
      <w:r>
        <w:rPr>
          <w:rFonts w:hint="eastAsia" w:ascii="仿宋" w:hAnsi="仿宋" w:eastAsia="仿宋" w:cs="仿宋"/>
          <w:bCs/>
          <w:kern w:val="2"/>
          <w:sz w:val="28"/>
          <w:szCs w:val="28"/>
        </w:rPr>
        <w:t xml:space="preserve">咨询服务9折优惠。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color w:val="auto"/>
          <w:kern w:val="2"/>
          <w:sz w:val="28"/>
          <w:szCs w:val="28"/>
          <w:u w:val="none"/>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、报名办法</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报名负责人：聂红军 主任18211071700（微信）   </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电  话：010-87697580      邮    箱：zqgphwz@126.com  </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qq咨询：3177524020        网址查询：http://www.zqgpchina.cn/ </w:t>
      </w:r>
      <w:r>
        <w:rPr>
          <w:rFonts w:hint="eastAsia" w:ascii="仿宋" w:hAnsi="仿宋" w:eastAsia="仿宋" w:cs="Times New Roman"/>
          <w:sz w:val="28"/>
          <w:szCs w:val="28"/>
          <w:lang w:val="en-US" w:eastAsia="zh-CN" w:bidi="ar-SA"/>
        </w:rPr>
        <w:drawing>
          <wp:anchor distT="0" distB="0" distL="114300" distR="114300" simplePos="0" relativeHeight="251661312" behindDoc="1" locked="0" layoutInCell="1" allowOverlap="1">
            <wp:simplePos x="0" y="0"/>
            <wp:positionH relativeFrom="column">
              <wp:posOffset>2658745</wp:posOffset>
            </wp:positionH>
            <wp:positionV relativeFrom="paragraph">
              <wp:posOffset>37465</wp:posOffset>
            </wp:positionV>
            <wp:extent cx="2343150" cy="2266950"/>
            <wp:effectExtent l="0" t="0" r="1270" b="3175"/>
            <wp:wrapNone/>
            <wp:docPr id="6" name="图片 6" descr="WPS图片编辑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图片编辑4"/>
                    <pic:cNvPicPr>
                      <a:picLocks noChangeAspect="1"/>
                    </pic:cNvPicPr>
                  </pic:nvPicPr>
                  <pic:blipFill>
                    <a:blip r:embed="rId6"/>
                    <a:stretch>
                      <a:fillRect/>
                    </a:stretch>
                  </pic:blipFill>
                  <pic:spPr>
                    <a:xfrm>
                      <a:off x="0" y="0"/>
                      <a:ext cx="2343150" cy="2266950"/>
                    </a:xfrm>
                    <a:prstGeom prst="rect">
                      <a:avLst/>
                    </a:prstGeom>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eastAsia" w:ascii="仿宋" w:hAnsi="仿宋" w:eastAsia="仿宋" w:cs="仿宋"/>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eastAsia" w:ascii="仿宋" w:hAnsi="仿宋" w:eastAsia="仿宋" w:cs="仿宋"/>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3082" w:firstLineChars="11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中国</w:t>
      </w:r>
      <w:r>
        <w:rPr>
          <w:rFonts w:hint="eastAsia" w:ascii="仿宋" w:hAnsi="仿宋" w:eastAsia="仿宋" w:cs="仿宋"/>
          <w:b/>
          <w:bCs/>
          <w:sz w:val="28"/>
          <w:szCs w:val="28"/>
          <w:lang w:val="en-US" w:eastAsia="zh-CN"/>
        </w:rPr>
        <w:t>开发区协会投融资专业委员会</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2022</w:t>
      </w:r>
      <w:r>
        <w:rPr>
          <w:rFonts w:hint="eastAsia" w:ascii="仿宋" w:hAnsi="仿宋" w:eastAsia="仿宋" w:cs="仿宋"/>
          <w:b/>
          <w:bCs/>
          <w:sz w:val="28"/>
          <w:szCs w:val="28"/>
          <w:lang w:eastAsia="zh-CN"/>
        </w:rPr>
        <w:t>年</w:t>
      </w:r>
      <w:r>
        <w:rPr>
          <w:rFonts w:hint="eastAsia" w:ascii="仿宋" w:hAnsi="仿宋" w:eastAsia="仿宋" w:cs="仿宋"/>
          <w:b/>
          <w:bCs/>
          <w:sz w:val="28"/>
          <w:szCs w:val="28"/>
          <w:lang w:val="en-US" w:eastAsia="zh-CN"/>
        </w:rPr>
        <w:t>5月31</w:t>
      </w:r>
      <w:r>
        <w:rPr>
          <w:rFonts w:hint="eastAsia" w:ascii="仿宋" w:hAnsi="仿宋" w:eastAsia="仿宋" w:cs="仿宋"/>
          <w:b/>
          <w:bCs/>
          <w:sz w:val="28"/>
          <w:szCs w:val="28"/>
          <w:lang w:eastAsia="zh-CN"/>
        </w:rPr>
        <w:t>日</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rPr>
      </w:pPr>
      <w:r>
        <w:rPr>
          <w:rFonts w:hint="eastAsia" w:ascii="仿宋" w:hAnsi="仿宋" w:eastAsia="仿宋" w:cs="仿宋"/>
          <w:b/>
          <w:sz w:val="36"/>
          <w:szCs w:val="36"/>
          <w:lang w:val="en-US" w:eastAsia="zh-CN"/>
        </w:rPr>
        <w:t>“</w:t>
      </w:r>
      <w:r>
        <w:rPr>
          <w:rFonts w:hint="eastAsia" w:ascii="仿宋" w:hAnsi="仿宋" w:eastAsia="仿宋" w:cs="仿宋"/>
          <w:b/>
          <w:sz w:val="36"/>
          <w:szCs w:val="36"/>
        </w:rPr>
        <w:t>新形势下地方政府项目精准谋划与平台公司</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宋体" w:hAnsi="宋体" w:eastAsia="宋体" w:cs="宋体"/>
          <w:b/>
          <w:sz w:val="36"/>
          <w:szCs w:val="36"/>
        </w:rPr>
      </w:pPr>
      <w:r>
        <w:rPr>
          <w:rFonts w:hint="eastAsia" w:ascii="仿宋" w:hAnsi="仿宋" w:eastAsia="仿宋" w:cs="仿宋"/>
          <w:b/>
          <w:sz w:val="36"/>
          <w:szCs w:val="36"/>
        </w:rPr>
        <w:t>合规融资防范风险实务操作高级研修班</w:t>
      </w:r>
      <w:r>
        <w:rPr>
          <w:rFonts w:hint="eastAsia" w:ascii="仿宋" w:hAnsi="仿宋" w:eastAsia="仿宋" w:cs="仿宋"/>
          <w:b/>
          <w:sz w:val="36"/>
          <w:szCs w:val="36"/>
          <w:lang w:val="en-US" w:eastAsia="zh-CN"/>
        </w:rPr>
        <w:t>”</w:t>
      </w:r>
      <w:r>
        <w:rPr>
          <w:rFonts w:hint="eastAsia" w:ascii="仿宋" w:hAnsi="仿宋" w:eastAsia="仿宋" w:cs="仿宋"/>
          <w:b/>
          <w:sz w:val="36"/>
          <w:szCs w:val="36"/>
        </w:rPr>
        <w:t>报名回执表</w:t>
      </w:r>
    </w:p>
    <w:tbl>
      <w:tblPr>
        <w:tblStyle w:val="13"/>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w:t>
            </w:r>
            <w:r>
              <w:rPr>
                <w:rFonts w:hint="eastAsia" w:ascii="仿宋" w:hAnsi="仿宋" w:eastAsia="仿宋" w:cs="仿宋"/>
                <w:bCs/>
                <w:color w:val="000000" w:themeColor="text1"/>
                <w:sz w:val="28"/>
                <w:szCs w:val="28"/>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手</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w:t>
            </w:r>
            <w:r>
              <w:rPr>
                <w:rFonts w:hint="eastAsia" w:ascii="仿宋" w:hAnsi="仿宋" w:eastAsia="仿宋" w:cs="仿宋"/>
                <w:bCs/>
                <w:color w:val="000000" w:themeColor="text1"/>
                <w:sz w:val="28"/>
                <w:szCs w:val="28"/>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单住□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合住□</w:t>
            </w:r>
            <w:r>
              <w:rPr>
                <w:rFonts w:hint="eastAsia" w:ascii="仿宋" w:hAnsi="仿宋" w:eastAsia="仿宋" w:cs="仿宋"/>
                <w:bCs/>
                <w:color w:val="000000" w:themeColor="text1"/>
                <w:sz w:val="28"/>
                <w:szCs w:val="28"/>
                <w:lang w:val="en-US" w:eastAsia="zh-CN"/>
                <w14:textFill>
                  <w14:solidFill>
                    <w14:schemeClr w14:val="tx1"/>
                  </w14:solidFill>
                </w14:textFill>
              </w:rPr>
              <w:t xml:space="preserve">     自理</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投融资管理</w:t>
            </w:r>
            <w:r>
              <w:rPr>
                <w:rFonts w:hint="eastAsia" w:ascii="仿宋" w:hAnsi="仿宋" w:eastAsia="仿宋" w:cs="仿宋"/>
                <w:bCs/>
                <w:color w:val="000000" w:themeColor="text1"/>
                <w:sz w:val="28"/>
                <w:szCs w:val="28"/>
                <w14:textFill>
                  <w14:solidFill>
                    <w14:schemeClr w14:val="tx1"/>
                  </w14:solidFill>
                </w14:textFill>
              </w:rPr>
              <w:t>师》</w:t>
            </w:r>
            <w:r>
              <w:rPr>
                <w:rFonts w:hint="eastAsia" w:ascii="仿宋" w:hAnsi="仿宋" w:eastAsia="仿宋" w:cs="仿宋"/>
                <w:bCs/>
                <w:color w:val="000000" w:themeColor="text1"/>
                <w:sz w:val="28"/>
                <w:szCs w:val="28"/>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w:t>
            </w:r>
            <w:r>
              <w:rPr>
                <w:rFonts w:hint="eastAsia" w:ascii="仿宋" w:hAnsi="仿宋" w:eastAsia="仿宋" w:cs="仿宋"/>
                <w:bCs/>
                <w:color w:val="000000" w:themeColor="text1"/>
                <w:sz w:val="28"/>
                <w:szCs w:val="28"/>
                <w14:textFill>
                  <w14:solidFill>
                    <w14:schemeClr w14:val="tx1"/>
                  </w14:solidFill>
                </w14:textFill>
              </w:rPr>
              <w:sym w:font="Wingdings 2" w:char="00A3"/>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现场</w:t>
            </w:r>
            <w:r>
              <w:rPr>
                <w:rFonts w:hint="eastAsia" w:ascii="仿宋" w:hAnsi="仿宋" w:eastAsia="仿宋" w:cs="仿宋"/>
                <w:bCs/>
                <w:color w:val="000000" w:themeColor="text1"/>
                <w:sz w:val="28"/>
                <w:szCs w:val="28"/>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收款信息</w:t>
            </w:r>
          </w:p>
        </w:tc>
        <w:tc>
          <w:tcPr>
            <w:tcW w:w="8159" w:type="dxa"/>
            <w:gridSpan w:val="5"/>
          </w:tcPr>
          <w:p>
            <w:pPr>
              <w:spacing w:line="360" w:lineRule="exact"/>
              <w:ind w:right="-168" w:rightChars="-70"/>
              <w:rPr>
                <w:rFonts w:hint="eastAsia" w:ascii="仿宋" w:hAnsi="仿宋" w:eastAsia="仿宋" w:cs="仿宋"/>
                <w:b/>
                <w:bCs/>
                <w:sz w:val="28"/>
                <w:szCs w:val="28"/>
              </w:rPr>
            </w:pPr>
            <w:r>
              <w:rPr>
                <w:rFonts w:hint="eastAsia" w:ascii="仿宋" w:hAnsi="仿宋" w:eastAsia="仿宋" w:cs="仿宋"/>
                <w:b/>
                <w:bCs/>
                <w:sz w:val="28"/>
                <w:szCs w:val="28"/>
                <w:lang w:eastAsia="zh-CN"/>
              </w:rPr>
              <w:t>开户名称</w:t>
            </w:r>
            <w:r>
              <w:rPr>
                <w:rFonts w:hint="eastAsia" w:ascii="仿宋" w:hAnsi="仿宋" w:eastAsia="仿宋" w:cs="仿宋"/>
                <w:b/>
                <w:bCs/>
                <w:sz w:val="28"/>
                <w:szCs w:val="28"/>
              </w:rPr>
              <w:t>: 北京众合启迪教育咨询有限公司</w:t>
            </w:r>
          </w:p>
          <w:p>
            <w:pPr>
              <w:spacing w:line="360" w:lineRule="exact"/>
              <w:ind w:right="-168" w:rightChars="-70"/>
              <w:rPr>
                <w:rFonts w:hint="eastAsia" w:ascii="仿宋" w:hAnsi="仿宋" w:eastAsia="仿宋" w:cs="仿宋"/>
                <w:b/>
                <w:bCs/>
                <w:sz w:val="28"/>
                <w:szCs w:val="28"/>
              </w:rPr>
            </w:pPr>
            <w:r>
              <w:rPr>
                <w:rFonts w:hint="eastAsia" w:ascii="仿宋" w:hAnsi="仿宋" w:eastAsia="仿宋" w:cs="仿宋"/>
                <w:b/>
                <w:bCs/>
                <w:sz w:val="28"/>
                <w:szCs w:val="28"/>
              </w:rPr>
              <w:t>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行</w:t>
            </w:r>
            <w:r>
              <w:rPr>
                <w:rFonts w:hint="eastAsia" w:ascii="仿宋" w:hAnsi="仿宋" w:eastAsia="仿宋" w:cs="仿宋"/>
                <w:b/>
                <w:bCs/>
                <w:sz w:val="28"/>
                <w:szCs w:val="28"/>
                <w:lang w:eastAsia="zh-CN"/>
              </w:rPr>
              <w:t>：</w:t>
            </w:r>
            <w:r>
              <w:rPr>
                <w:rFonts w:hint="eastAsia" w:ascii="仿宋" w:hAnsi="仿宋" w:eastAsia="仿宋" w:cs="仿宋"/>
                <w:b/>
                <w:bCs/>
                <w:sz w:val="28"/>
                <w:szCs w:val="28"/>
              </w:rPr>
              <w:t>中国工商银行股份有限公司北京公主坟支行</w:t>
            </w:r>
          </w:p>
          <w:p>
            <w:pPr>
              <w:spacing w:line="360" w:lineRule="exact"/>
              <w:ind w:right="-168" w:rightChars="-70"/>
              <w:rPr>
                <w:rFonts w:hint="eastAsia" w:ascii="仿宋" w:hAnsi="仿宋" w:eastAsia="仿宋" w:cs="仿宋"/>
                <w:b/>
                <w:bCs/>
                <w:sz w:val="28"/>
                <w:szCs w:val="28"/>
              </w:rPr>
            </w:pPr>
            <w:r>
              <w:rPr>
                <w:rFonts w:hint="eastAsia" w:ascii="仿宋" w:hAnsi="仿宋" w:eastAsia="仿宋" w:cs="仿宋"/>
                <w:b/>
                <w:bCs/>
                <w:sz w:val="28"/>
                <w:szCs w:val="28"/>
              </w:rPr>
              <w:t>帐</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号： 0200004609200623881</w:t>
            </w: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sz w:val="28"/>
                <w:szCs w:val="28"/>
              </w:rPr>
              <w:t>联</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行</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号: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单位印章</w:t>
            </w: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2022年  月  日</w:t>
            </w:r>
          </w:p>
        </w:tc>
      </w:tr>
    </w:tbl>
    <w:p>
      <w:pPr>
        <w:spacing w:line="440" w:lineRule="exact"/>
        <w:ind w:right="-168" w:rightChars="-70"/>
        <w:rPr>
          <w:rStyle w:val="15"/>
          <w:rFonts w:hint="eastAsia" w:ascii="仿宋" w:hAnsi="仿宋" w:eastAsia="仿宋" w:cs="仿宋"/>
          <w:b w:val="0"/>
          <w:bCs w:val="0"/>
          <w:color w:val="000000"/>
          <w:sz w:val="28"/>
          <w:szCs w:val="28"/>
          <w:lang w:val="zh-CN"/>
        </w:rPr>
      </w:pPr>
    </w:p>
    <w:p>
      <w:pPr>
        <w:keepNext w:val="0"/>
        <w:keepLines w:val="0"/>
        <w:pageBreakBefore w:val="0"/>
        <w:widowControl w:val="0"/>
        <w:kinsoku/>
        <w:wordWrap/>
        <w:overflowPunct/>
        <w:topLinePunct w:val="0"/>
        <w:bidi w:val="0"/>
        <w:snapToGrid/>
        <w:spacing w:line="440" w:lineRule="exact"/>
        <w:textAlignment w:val="auto"/>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报名负责人：聂红军 主任18211071700（微信）   </w:t>
      </w:r>
    </w:p>
    <w:p>
      <w:pPr>
        <w:keepNext w:val="0"/>
        <w:keepLines w:val="0"/>
        <w:pageBreakBefore w:val="0"/>
        <w:widowControl w:val="0"/>
        <w:kinsoku/>
        <w:wordWrap/>
        <w:overflowPunct/>
        <w:topLinePunct w:val="0"/>
        <w:bidi w:val="0"/>
        <w:snapToGrid/>
        <w:spacing w:line="440" w:lineRule="exact"/>
        <w:textAlignment w:val="auto"/>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电  话：010-87697580      邮    箱：zqgphwz@126.com  </w:t>
      </w:r>
    </w:p>
    <w:p>
      <w:pPr>
        <w:keepNext w:val="0"/>
        <w:keepLines w:val="0"/>
        <w:pageBreakBefore w:val="0"/>
        <w:widowControl w:val="0"/>
        <w:kinsoku/>
        <w:wordWrap/>
        <w:overflowPunct/>
        <w:topLinePunct w:val="0"/>
        <w:bidi w:val="0"/>
        <w:snapToGrid/>
        <w:spacing w:line="440" w:lineRule="exact"/>
        <w:textAlignment w:val="auto"/>
        <w:rPr>
          <w:rStyle w:val="15"/>
          <w:rFonts w:hint="eastAsia" w:ascii="仿宋" w:hAnsi="仿宋" w:eastAsia="仿宋" w:cs="仿宋"/>
          <w:b w:val="0"/>
          <w:bCs w:val="0"/>
          <w:color w:val="000000"/>
          <w:kern w:val="2"/>
          <w:sz w:val="28"/>
          <w:szCs w:val="28"/>
          <w:u w:val="none"/>
          <w:lang w:val="zh-CN" w:eastAsia="zh-CN"/>
        </w:rPr>
      </w:pPr>
      <w:r>
        <w:rPr>
          <w:rStyle w:val="15"/>
          <w:rFonts w:hint="eastAsia" w:ascii="仿宋" w:hAnsi="仿宋" w:eastAsia="仿宋" w:cs="仿宋"/>
          <w:b w:val="0"/>
          <w:bCs w:val="0"/>
          <w:color w:val="000000"/>
          <w:sz w:val="28"/>
          <w:szCs w:val="28"/>
          <w:lang w:val="zh-CN"/>
        </w:rPr>
        <w:t xml:space="preserve">qq咨询：3177524020        网址查询：http://www.zqgpchina.cn/ </w:t>
      </w:r>
      <w:bookmarkStart w:id="0" w:name="_GoBack"/>
      <w:bookmarkEnd w:id="0"/>
    </w:p>
    <w:sectPr>
      <w:footerReference r:id="rId3" w:type="default"/>
      <w:footerReference r:id="rId4" w:type="even"/>
      <w:pgSz w:w="11906" w:h="16838"/>
      <w:pgMar w:top="1440" w:right="1106"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0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ightChars="15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254517534"/>
                            <w:docPartObj>
                              <w:docPartGallery w:val="autotext"/>
                            </w:docPartObj>
                          </w:sdtPr>
                          <w:sdtEndPr>
                            <w:rPr>
                              <w:sz w:val="28"/>
                              <w:szCs w:val="28"/>
                            </w:rPr>
                          </w:sdtEndPr>
                          <w:sdtContent>
                            <w:p>
                              <w:pPr>
                                <w:pStyle w:val="8"/>
                                <w:ind w:right="360" w:rightChars="15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254517534"/>
                      <w:docPartObj>
                        <w:docPartGallery w:val="autotext"/>
                      </w:docPartObj>
                    </w:sdtPr>
                    <w:sdtEndPr>
                      <w:rPr>
                        <w:sz w:val="28"/>
                        <w:szCs w:val="28"/>
                      </w:rPr>
                    </w:sdtEndPr>
                    <w:sdtContent>
                      <w:p>
                        <w:pPr>
                          <w:pStyle w:val="8"/>
                          <w:ind w:right="360" w:rightChars="15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pPr>
                  </w:p>
                </w:txbxContent>
              </v:textbox>
            </v:shape>
          </w:pict>
        </mc:Fallback>
      </mc:AlternateContent>
    </w:r>
  </w:p>
  <w:p>
    <w:pPr>
      <w:pStyle w:val="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80" w:leftChars="200"/>
      <w:rPr>
        <w:rFonts w:hint="default"/>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958252006"/>
                            <w:docPartObj>
                              <w:docPartGallery w:val="autotext"/>
                            </w:docPartObj>
                          </w:sdtPr>
                          <w:sdtEndPr>
                            <w:rPr>
                              <w:sz w:val="28"/>
                              <w:szCs w:val="28"/>
                            </w:rPr>
                          </w:sdtEndPr>
                          <w:sdtContent>
                            <w:p>
                              <w:pPr>
                                <w:pStyle w:val="8"/>
                                <w:ind w:left="480" w:leftChars="20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958252006"/>
                      <w:docPartObj>
                        <w:docPartGallery w:val="autotext"/>
                      </w:docPartObj>
                    </w:sdtPr>
                    <w:sdtEndPr>
                      <w:rPr>
                        <w:sz w:val="28"/>
                        <w:szCs w:val="28"/>
                      </w:rPr>
                    </w:sdtEndPr>
                    <w:sdtContent>
                      <w:p>
                        <w:pPr>
                          <w:pStyle w:val="8"/>
                          <w:ind w:left="480" w:leftChars="20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pPr>
                      <w:pStyle w:val="2"/>
                    </w:pPr>
                  </w:p>
                </w:txbxContent>
              </v:textbox>
            </v:shape>
          </w:pict>
        </mc:Fallback>
      </mc:AlternateContent>
    </w:r>
  </w:p>
  <w:p>
    <w:pPr>
      <w:pStyle w:val="8"/>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BAFF"/>
    <w:multiLevelType w:val="singleLevel"/>
    <w:tmpl w:val="32E4BAFF"/>
    <w:lvl w:ilvl="0" w:tentative="0">
      <w:start w:val="1"/>
      <w:numFmt w:val="decimal"/>
      <w:lvlText w:val="%1."/>
      <w:lvlJc w:val="left"/>
      <w:pPr>
        <w:tabs>
          <w:tab w:val="left" w:pos="312"/>
        </w:tabs>
        <w:ind w:left="560" w:leftChars="0" w:firstLine="0" w:firstLineChars="0"/>
      </w:pPr>
    </w:lvl>
  </w:abstractNum>
  <w:abstractNum w:abstractNumId="1">
    <w:nsid w:val="4AE40B9E"/>
    <w:multiLevelType w:val="singleLevel"/>
    <w:tmpl w:val="4AE40B9E"/>
    <w:lvl w:ilvl="0" w:tentative="0">
      <w:start w:val="1"/>
      <w:numFmt w:val="decimal"/>
      <w:lvlText w:val="%1."/>
      <w:lvlJc w:val="left"/>
      <w:pPr>
        <w:tabs>
          <w:tab w:val="left" w:pos="312"/>
        </w:tabs>
        <w:ind w:left="5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evenAndOddHeaders w:val="1"/>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9A4718"/>
    <w:rsid w:val="000060D7"/>
    <w:rsid w:val="000111BB"/>
    <w:rsid w:val="00023D51"/>
    <w:rsid w:val="00035C2D"/>
    <w:rsid w:val="000600BF"/>
    <w:rsid w:val="00067BD4"/>
    <w:rsid w:val="00087F1D"/>
    <w:rsid w:val="00093904"/>
    <w:rsid w:val="0009632B"/>
    <w:rsid w:val="000A20EB"/>
    <w:rsid w:val="000A7220"/>
    <w:rsid w:val="000A7831"/>
    <w:rsid w:val="000B5CF0"/>
    <w:rsid w:val="000E468A"/>
    <w:rsid w:val="000E747A"/>
    <w:rsid w:val="000F0735"/>
    <w:rsid w:val="000F7BCE"/>
    <w:rsid w:val="001035D1"/>
    <w:rsid w:val="001320AD"/>
    <w:rsid w:val="0014146F"/>
    <w:rsid w:val="00156D13"/>
    <w:rsid w:val="00167157"/>
    <w:rsid w:val="00171C47"/>
    <w:rsid w:val="00172FAF"/>
    <w:rsid w:val="001A03C5"/>
    <w:rsid w:val="001A1960"/>
    <w:rsid w:val="001A20D8"/>
    <w:rsid w:val="001A4683"/>
    <w:rsid w:val="001B15FC"/>
    <w:rsid w:val="001B6553"/>
    <w:rsid w:val="001C423C"/>
    <w:rsid w:val="001C571B"/>
    <w:rsid w:val="001C6B09"/>
    <w:rsid w:val="001D03C8"/>
    <w:rsid w:val="001D5820"/>
    <w:rsid w:val="001E7CDF"/>
    <w:rsid w:val="001F1A19"/>
    <w:rsid w:val="001F266D"/>
    <w:rsid w:val="001F2CC6"/>
    <w:rsid w:val="001F5DBA"/>
    <w:rsid w:val="002016D4"/>
    <w:rsid w:val="00252DF4"/>
    <w:rsid w:val="00257030"/>
    <w:rsid w:val="00262218"/>
    <w:rsid w:val="002646BE"/>
    <w:rsid w:val="002649AB"/>
    <w:rsid w:val="002733FA"/>
    <w:rsid w:val="0028588B"/>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76650"/>
    <w:rsid w:val="00393856"/>
    <w:rsid w:val="003A143C"/>
    <w:rsid w:val="003B1F67"/>
    <w:rsid w:val="003B3EB7"/>
    <w:rsid w:val="003D100F"/>
    <w:rsid w:val="003D3698"/>
    <w:rsid w:val="003E36E5"/>
    <w:rsid w:val="003F712A"/>
    <w:rsid w:val="0041034A"/>
    <w:rsid w:val="004127EC"/>
    <w:rsid w:val="0042016E"/>
    <w:rsid w:val="0042243A"/>
    <w:rsid w:val="00426A34"/>
    <w:rsid w:val="00434663"/>
    <w:rsid w:val="00444929"/>
    <w:rsid w:val="00450BE4"/>
    <w:rsid w:val="004763CA"/>
    <w:rsid w:val="00490AAB"/>
    <w:rsid w:val="00495BA6"/>
    <w:rsid w:val="004A0262"/>
    <w:rsid w:val="004A6A62"/>
    <w:rsid w:val="004B699A"/>
    <w:rsid w:val="004C0FD2"/>
    <w:rsid w:val="004C2C6B"/>
    <w:rsid w:val="004E28AE"/>
    <w:rsid w:val="004E3822"/>
    <w:rsid w:val="004E3CED"/>
    <w:rsid w:val="0050140A"/>
    <w:rsid w:val="00507BEB"/>
    <w:rsid w:val="00510FDD"/>
    <w:rsid w:val="0052322D"/>
    <w:rsid w:val="00525627"/>
    <w:rsid w:val="005258A8"/>
    <w:rsid w:val="005575C8"/>
    <w:rsid w:val="00564065"/>
    <w:rsid w:val="00581594"/>
    <w:rsid w:val="005A0E7F"/>
    <w:rsid w:val="005A7E85"/>
    <w:rsid w:val="005C6042"/>
    <w:rsid w:val="005C63A3"/>
    <w:rsid w:val="005E5393"/>
    <w:rsid w:val="005F7916"/>
    <w:rsid w:val="006011E8"/>
    <w:rsid w:val="00601C30"/>
    <w:rsid w:val="00605B40"/>
    <w:rsid w:val="006068B5"/>
    <w:rsid w:val="00616606"/>
    <w:rsid w:val="00623CB5"/>
    <w:rsid w:val="00657822"/>
    <w:rsid w:val="00661261"/>
    <w:rsid w:val="00663868"/>
    <w:rsid w:val="00670351"/>
    <w:rsid w:val="00671816"/>
    <w:rsid w:val="00672D7A"/>
    <w:rsid w:val="00690B87"/>
    <w:rsid w:val="006935D1"/>
    <w:rsid w:val="00696DB7"/>
    <w:rsid w:val="006A355D"/>
    <w:rsid w:val="006C14B9"/>
    <w:rsid w:val="006C6164"/>
    <w:rsid w:val="006D0653"/>
    <w:rsid w:val="006D5246"/>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7767"/>
    <w:rsid w:val="007C0E89"/>
    <w:rsid w:val="007D6FC3"/>
    <w:rsid w:val="007F29DF"/>
    <w:rsid w:val="007F3558"/>
    <w:rsid w:val="007F5FC8"/>
    <w:rsid w:val="00806B9B"/>
    <w:rsid w:val="00832BCD"/>
    <w:rsid w:val="008334D8"/>
    <w:rsid w:val="00836D30"/>
    <w:rsid w:val="00842479"/>
    <w:rsid w:val="00843C21"/>
    <w:rsid w:val="0084500E"/>
    <w:rsid w:val="008517C1"/>
    <w:rsid w:val="0085248F"/>
    <w:rsid w:val="008560B9"/>
    <w:rsid w:val="00860964"/>
    <w:rsid w:val="00870AC6"/>
    <w:rsid w:val="00874B8D"/>
    <w:rsid w:val="00881445"/>
    <w:rsid w:val="00882120"/>
    <w:rsid w:val="00887DE2"/>
    <w:rsid w:val="008A1681"/>
    <w:rsid w:val="008A39AB"/>
    <w:rsid w:val="008B199B"/>
    <w:rsid w:val="008B3631"/>
    <w:rsid w:val="008B744D"/>
    <w:rsid w:val="008C0FEA"/>
    <w:rsid w:val="008E378E"/>
    <w:rsid w:val="008E49F9"/>
    <w:rsid w:val="008E633F"/>
    <w:rsid w:val="008E79C6"/>
    <w:rsid w:val="00903625"/>
    <w:rsid w:val="009046C5"/>
    <w:rsid w:val="00905AB3"/>
    <w:rsid w:val="00916B96"/>
    <w:rsid w:val="009176A2"/>
    <w:rsid w:val="00920D6E"/>
    <w:rsid w:val="00925ADE"/>
    <w:rsid w:val="0092687A"/>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1B3F"/>
    <w:rsid w:val="00A17C72"/>
    <w:rsid w:val="00A21947"/>
    <w:rsid w:val="00A274C6"/>
    <w:rsid w:val="00A3394E"/>
    <w:rsid w:val="00A3530F"/>
    <w:rsid w:val="00A35324"/>
    <w:rsid w:val="00A416DE"/>
    <w:rsid w:val="00A53AE5"/>
    <w:rsid w:val="00A53C76"/>
    <w:rsid w:val="00A55121"/>
    <w:rsid w:val="00A5559F"/>
    <w:rsid w:val="00A6651E"/>
    <w:rsid w:val="00A76A48"/>
    <w:rsid w:val="00A826E7"/>
    <w:rsid w:val="00AA6D89"/>
    <w:rsid w:val="00AB4C35"/>
    <w:rsid w:val="00AB792D"/>
    <w:rsid w:val="00AD0C45"/>
    <w:rsid w:val="00AD6D25"/>
    <w:rsid w:val="00AE1F3C"/>
    <w:rsid w:val="00AF6597"/>
    <w:rsid w:val="00B003D5"/>
    <w:rsid w:val="00B028DB"/>
    <w:rsid w:val="00B0351C"/>
    <w:rsid w:val="00B04527"/>
    <w:rsid w:val="00B06D87"/>
    <w:rsid w:val="00B1108B"/>
    <w:rsid w:val="00B15D34"/>
    <w:rsid w:val="00B16691"/>
    <w:rsid w:val="00B333D7"/>
    <w:rsid w:val="00B35157"/>
    <w:rsid w:val="00B354F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BF78B9"/>
    <w:rsid w:val="00C10B2E"/>
    <w:rsid w:val="00C123AB"/>
    <w:rsid w:val="00C234E4"/>
    <w:rsid w:val="00C35E81"/>
    <w:rsid w:val="00C43EBB"/>
    <w:rsid w:val="00C44BC1"/>
    <w:rsid w:val="00C51B99"/>
    <w:rsid w:val="00C5747F"/>
    <w:rsid w:val="00C660E6"/>
    <w:rsid w:val="00C66D4B"/>
    <w:rsid w:val="00C71D50"/>
    <w:rsid w:val="00C73B37"/>
    <w:rsid w:val="00C7524A"/>
    <w:rsid w:val="00C80626"/>
    <w:rsid w:val="00C812FB"/>
    <w:rsid w:val="00C81D09"/>
    <w:rsid w:val="00C83B57"/>
    <w:rsid w:val="00C95182"/>
    <w:rsid w:val="00C96EFB"/>
    <w:rsid w:val="00CA1733"/>
    <w:rsid w:val="00CA7942"/>
    <w:rsid w:val="00CB06D7"/>
    <w:rsid w:val="00CB5C68"/>
    <w:rsid w:val="00CB7C66"/>
    <w:rsid w:val="00CC7EFC"/>
    <w:rsid w:val="00CE1172"/>
    <w:rsid w:val="00CE67E2"/>
    <w:rsid w:val="00CF09F0"/>
    <w:rsid w:val="00CF1181"/>
    <w:rsid w:val="00CF790B"/>
    <w:rsid w:val="00CF7E18"/>
    <w:rsid w:val="00D220F3"/>
    <w:rsid w:val="00D30160"/>
    <w:rsid w:val="00D33D09"/>
    <w:rsid w:val="00D44AC9"/>
    <w:rsid w:val="00D47982"/>
    <w:rsid w:val="00D55CD9"/>
    <w:rsid w:val="00D57003"/>
    <w:rsid w:val="00D6428E"/>
    <w:rsid w:val="00D66A91"/>
    <w:rsid w:val="00D74547"/>
    <w:rsid w:val="00D75F76"/>
    <w:rsid w:val="00D861FC"/>
    <w:rsid w:val="00D87B96"/>
    <w:rsid w:val="00D975AC"/>
    <w:rsid w:val="00DA154B"/>
    <w:rsid w:val="00DA5B51"/>
    <w:rsid w:val="00DB24B2"/>
    <w:rsid w:val="00DB3224"/>
    <w:rsid w:val="00DB62D4"/>
    <w:rsid w:val="00DC5528"/>
    <w:rsid w:val="00DC5B74"/>
    <w:rsid w:val="00DD09E7"/>
    <w:rsid w:val="00DE0507"/>
    <w:rsid w:val="00DE0A4B"/>
    <w:rsid w:val="00DE5E86"/>
    <w:rsid w:val="00DF2DC4"/>
    <w:rsid w:val="00DF3CB1"/>
    <w:rsid w:val="00E02F27"/>
    <w:rsid w:val="00E07450"/>
    <w:rsid w:val="00E16803"/>
    <w:rsid w:val="00E23AA1"/>
    <w:rsid w:val="00E24129"/>
    <w:rsid w:val="00E24867"/>
    <w:rsid w:val="00E32D09"/>
    <w:rsid w:val="00E364AD"/>
    <w:rsid w:val="00E40FB3"/>
    <w:rsid w:val="00E44F60"/>
    <w:rsid w:val="00E51A5B"/>
    <w:rsid w:val="00E54A37"/>
    <w:rsid w:val="00E6619A"/>
    <w:rsid w:val="00E73D9A"/>
    <w:rsid w:val="00E76890"/>
    <w:rsid w:val="00E8015B"/>
    <w:rsid w:val="00E85091"/>
    <w:rsid w:val="00EB19BB"/>
    <w:rsid w:val="00EB3F9D"/>
    <w:rsid w:val="00EC2070"/>
    <w:rsid w:val="00EC3B78"/>
    <w:rsid w:val="00ED4528"/>
    <w:rsid w:val="00EF11E2"/>
    <w:rsid w:val="00EF22BF"/>
    <w:rsid w:val="00EF2EE5"/>
    <w:rsid w:val="00F05277"/>
    <w:rsid w:val="00F2027E"/>
    <w:rsid w:val="00F27943"/>
    <w:rsid w:val="00F31608"/>
    <w:rsid w:val="00F5099A"/>
    <w:rsid w:val="00F52CD5"/>
    <w:rsid w:val="00F743F1"/>
    <w:rsid w:val="00F75886"/>
    <w:rsid w:val="00F847DA"/>
    <w:rsid w:val="00F973AD"/>
    <w:rsid w:val="00FA5D57"/>
    <w:rsid w:val="00FD3268"/>
    <w:rsid w:val="00FD7D45"/>
    <w:rsid w:val="00FF6E28"/>
    <w:rsid w:val="01083D45"/>
    <w:rsid w:val="010A0B40"/>
    <w:rsid w:val="0115065C"/>
    <w:rsid w:val="013F444F"/>
    <w:rsid w:val="01415CD2"/>
    <w:rsid w:val="01527C37"/>
    <w:rsid w:val="0158325C"/>
    <w:rsid w:val="01704EA4"/>
    <w:rsid w:val="017F5B8D"/>
    <w:rsid w:val="017F6B8A"/>
    <w:rsid w:val="01873FBC"/>
    <w:rsid w:val="019079CE"/>
    <w:rsid w:val="01954628"/>
    <w:rsid w:val="01D03366"/>
    <w:rsid w:val="01DC1ACD"/>
    <w:rsid w:val="01E63811"/>
    <w:rsid w:val="021905B8"/>
    <w:rsid w:val="02204611"/>
    <w:rsid w:val="02283A7E"/>
    <w:rsid w:val="024758F8"/>
    <w:rsid w:val="025843E4"/>
    <w:rsid w:val="02691984"/>
    <w:rsid w:val="02726144"/>
    <w:rsid w:val="027A54A0"/>
    <w:rsid w:val="02A426CF"/>
    <w:rsid w:val="02B62D35"/>
    <w:rsid w:val="02D54924"/>
    <w:rsid w:val="03333DED"/>
    <w:rsid w:val="03645F13"/>
    <w:rsid w:val="036E71D8"/>
    <w:rsid w:val="03773C2D"/>
    <w:rsid w:val="037D0CDD"/>
    <w:rsid w:val="03976A09"/>
    <w:rsid w:val="03BD2A1A"/>
    <w:rsid w:val="03E71306"/>
    <w:rsid w:val="03EE0393"/>
    <w:rsid w:val="0408279F"/>
    <w:rsid w:val="040A2740"/>
    <w:rsid w:val="04421273"/>
    <w:rsid w:val="049963B7"/>
    <w:rsid w:val="049D0A7F"/>
    <w:rsid w:val="04BD7FF9"/>
    <w:rsid w:val="04CB0BC2"/>
    <w:rsid w:val="04EC20C0"/>
    <w:rsid w:val="04FA6554"/>
    <w:rsid w:val="04FC5935"/>
    <w:rsid w:val="04FC59DA"/>
    <w:rsid w:val="050D659D"/>
    <w:rsid w:val="05264D9D"/>
    <w:rsid w:val="053551DE"/>
    <w:rsid w:val="055F0F75"/>
    <w:rsid w:val="056F0195"/>
    <w:rsid w:val="05884700"/>
    <w:rsid w:val="059A2F73"/>
    <w:rsid w:val="05A30BB7"/>
    <w:rsid w:val="05C860A5"/>
    <w:rsid w:val="05D13AC9"/>
    <w:rsid w:val="05D348BB"/>
    <w:rsid w:val="05DB6A0D"/>
    <w:rsid w:val="05F05251"/>
    <w:rsid w:val="060C3FB8"/>
    <w:rsid w:val="06196CDE"/>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342561"/>
    <w:rsid w:val="07516EAB"/>
    <w:rsid w:val="07650B16"/>
    <w:rsid w:val="078E144A"/>
    <w:rsid w:val="079A4EA3"/>
    <w:rsid w:val="07C31032"/>
    <w:rsid w:val="07DD1D97"/>
    <w:rsid w:val="08032184"/>
    <w:rsid w:val="08063E80"/>
    <w:rsid w:val="082D71F9"/>
    <w:rsid w:val="084478F7"/>
    <w:rsid w:val="08556F49"/>
    <w:rsid w:val="0857736B"/>
    <w:rsid w:val="08585861"/>
    <w:rsid w:val="086E38B9"/>
    <w:rsid w:val="087F7DB7"/>
    <w:rsid w:val="08A3557B"/>
    <w:rsid w:val="08B23812"/>
    <w:rsid w:val="08BA33F8"/>
    <w:rsid w:val="08C244A7"/>
    <w:rsid w:val="08F17796"/>
    <w:rsid w:val="09097B8C"/>
    <w:rsid w:val="09574C75"/>
    <w:rsid w:val="09667F89"/>
    <w:rsid w:val="097243CD"/>
    <w:rsid w:val="09841837"/>
    <w:rsid w:val="099F1F6E"/>
    <w:rsid w:val="09BE70AD"/>
    <w:rsid w:val="09CC0B9F"/>
    <w:rsid w:val="0A1F1C61"/>
    <w:rsid w:val="0A402EF2"/>
    <w:rsid w:val="0A437748"/>
    <w:rsid w:val="0A466107"/>
    <w:rsid w:val="0A8F2787"/>
    <w:rsid w:val="0A9D7A64"/>
    <w:rsid w:val="0AA365A9"/>
    <w:rsid w:val="0AE00BC8"/>
    <w:rsid w:val="0B110426"/>
    <w:rsid w:val="0B26670D"/>
    <w:rsid w:val="0B446AEB"/>
    <w:rsid w:val="0B621690"/>
    <w:rsid w:val="0BA11E16"/>
    <w:rsid w:val="0BB35A1E"/>
    <w:rsid w:val="0BD31815"/>
    <w:rsid w:val="0BE47B25"/>
    <w:rsid w:val="0C3643A3"/>
    <w:rsid w:val="0C6447F4"/>
    <w:rsid w:val="0C654FEF"/>
    <w:rsid w:val="0C757B9B"/>
    <w:rsid w:val="0C7B44D9"/>
    <w:rsid w:val="0CBC6D8F"/>
    <w:rsid w:val="0CCB52C3"/>
    <w:rsid w:val="0CD05ED2"/>
    <w:rsid w:val="0CF91BC5"/>
    <w:rsid w:val="0D284D99"/>
    <w:rsid w:val="0D2D56E8"/>
    <w:rsid w:val="0D3C387F"/>
    <w:rsid w:val="0D9065EF"/>
    <w:rsid w:val="0DA135C5"/>
    <w:rsid w:val="0DB241E0"/>
    <w:rsid w:val="0DE9579D"/>
    <w:rsid w:val="0E3054CE"/>
    <w:rsid w:val="0E3C1312"/>
    <w:rsid w:val="0E6A7443"/>
    <w:rsid w:val="0E7053E2"/>
    <w:rsid w:val="0E7C0051"/>
    <w:rsid w:val="0E7C60B5"/>
    <w:rsid w:val="0E82376F"/>
    <w:rsid w:val="0E8A50ED"/>
    <w:rsid w:val="0E8F0B36"/>
    <w:rsid w:val="0EA0023E"/>
    <w:rsid w:val="0EA05A8E"/>
    <w:rsid w:val="0EA16002"/>
    <w:rsid w:val="0EC817E1"/>
    <w:rsid w:val="0ECE73F7"/>
    <w:rsid w:val="0ED05D16"/>
    <w:rsid w:val="0ED45BB5"/>
    <w:rsid w:val="0EEA0B6C"/>
    <w:rsid w:val="0F2B2DB8"/>
    <w:rsid w:val="0F4E69B0"/>
    <w:rsid w:val="0F5512C6"/>
    <w:rsid w:val="0F6230DC"/>
    <w:rsid w:val="0F643CD1"/>
    <w:rsid w:val="0F696B5C"/>
    <w:rsid w:val="0F7579AF"/>
    <w:rsid w:val="0F816F20"/>
    <w:rsid w:val="0F9B4D57"/>
    <w:rsid w:val="0FDF5E25"/>
    <w:rsid w:val="101E1A26"/>
    <w:rsid w:val="102F09AC"/>
    <w:rsid w:val="10334E11"/>
    <w:rsid w:val="104D56D4"/>
    <w:rsid w:val="108965B9"/>
    <w:rsid w:val="10C04E76"/>
    <w:rsid w:val="10DD4C96"/>
    <w:rsid w:val="10E60293"/>
    <w:rsid w:val="10F92125"/>
    <w:rsid w:val="11031F80"/>
    <w:rsid w:val="11202B33"/>
    <w:rsid w:val="1122342A"/>
    <w:rsid w:val="115E0DC8"/>
    <w:rsid w:val="116800CB"/>
    <w:rsid w:val="1183512B"/>
    <w:rsid w:val="118A55C9"/>
    <w:rsid w:val="118F0306"/>
    <w:rsid w:val="11AB1900"/>
    <w:rsid w:val="11AD417D"/>
    <w:rsid w:val="11D949A9"/>
    <w:rsid w:val="123478B9"/>
    <w:rsid w:val="12443C92"/>
    <w:rsid w:val="12496FAE"/>
    <w:rsid w:val="125B567F"/>
    <w:rsid w:val="12BB32D1"/>
    <w:rsid w:val="12F3676D"/>
    <w:rsid w:val="130165A8"/>
    <w:rsid w:val="131D4D3C"/>
    <w:rsid w:val="13265F20"/>
    <w:rsid w:val="13446785"/>
    <w:rsid w:val="136A49F7"/>
    <w:rsid w:val="13750983"/>
    <w:rsid w:val="137D3242"/>
    <w:rsid w:val="13976C2F"/>
    <w:rsid w:val="13A50343"/>
    <w:rsid w:val="13A67BF5"/>
    <w:rsid w:val="13F87982"/>
    <w:rsid w:val="13FF7A53"/>
    <w:rsid w:val="14027543"/>
    <w:rsid w:val="142000FF"/>
    <w:rsid w:val="14246519"/>
    <w:rsid w:val="142625C8"/>
    <w:rsid w:val="145E7D63"/>
    <w:rsid w:val="14787729"/>
    <w:rsid w:val="14813515"/>
    <w:rsid w:val="14B37743"/>
    <w:rsid w:val="14B761FD"/>
    <w:rsid w:val="14C534EA"/>
    <w:rsid w:val="14C569E3"/>
    <w:rsid w:val="14FA4532"/>
    <w:rsid w:val="14FD7367"/>
    <w:rsid w:val="150B6648"/>
    <w:rsid w:val="153F74F5"/>
    <w:rsid w:val="15474651"/>
    <w:rsid w:val="15507BAF"/>
    <w:rsid w:val="155C0CB5"/>
    <w:rsid w:val="15682A1B"/>
    <w:rsid w:val="156C2A48"/>
    <w:rsid w:val="156E349F"/>
    <w:rsid w:val="15756525"/>
    <w:rsid w:val="157D4AC9"/>
    <w:rsid w:val="1590670E"/>
    <w:rsid w:val="15AA1C40"/>
    <w:rsid w:val="15AB2D48"/>
    <w:rsid w:val="16117C11"/>
    <w:rsid w:val="161A77FA"/>
    <w:rsid w:val="16816EC6"/>
    <w:rsid w:val="168A4757"/>
    <w:rsid w:val="16A6634C"/>
    <w:rsid w:val="16BA02D8"/>
    <w:rsid w:val="16BC2603"/>
    <w:rsid w:val="16C54320"/>
    <w:rsid w:val="16CB4564"/>
    <w:rsid w:val="16D40240"/>
    <w:rsid w:val="16D42978"/>
    <w:rsid w:val="16ED01E0"/>
    <w:rsid w:val="17040DFD"/>
    <w:rsid w:val="170979CA"/>
    <w:rsid w:val="1714344D"/>
    <w:rsid w:val="178906B6"/>
    <w:rsid w:val="179D39AC"/>
    <w:rsid w:val="17B374D2"/>
    <w:rsid w:val="17D057E5"/>
    <w:rsid w:val="17DF0425"/>
    <w:rsid w:val="17E562F3"/>
    <w:rsid w:val="17E95B46"/>
    <w:rsid w:val="17EA1B6C"/>
    <w:rsid w:val="17FD52FB"/>
    <w:rsid w:val="18180676"/>
    <w:rsid w:val="184212F2"/>
    <w:rsid w:val="187F5606"/>
    <w:rsid w:val="188449CB"/>
    <w:rsid w:val="18864849"/>
    <w:rsid w:val="189509C3"/>
    <w:rsid w:val="18DE7CA9"/>
    <w:rsid w:val="18F54EAE"/>
    <w:rsid w:val="19262DA7"/>
    <w:rsid w:val="19445A0E"/>
    <w:rsid w:val="194F3645"/>
    <w:rsid w:val="19674B6F"/>
    <w:rsid w:val="199A5EFF"/>
    <w:rsid w:val="199C7AF2"/>
    <w:rsid w:val="19A44506"/>
    <w:rsid w:val="19C50D4A"/>
    <w:rsid w:val="19DB6AAB"/>
    <w:rsid w:val="19EC34A8"/>
    <w:rsid w:val="19F00E49"/>
    <w:rsid w:val="19FA44B1"/>
    <w:rsid w:val="1A0B2771"/>
    <w:rsid w:val="1A154EBC"/>
    <w:rsid w:val="1A276114"/>
    <w:rsid w:val="1A391215"/>
    <w:rsid w:val="1A415FCB"/>
    <w:rsid w:val="1A5053C2"/>
    <w:rsid w:val="1A546CBE"/>
    <w:rsid w:val="1A696F87"/>
    <w:rsid w:val="1A75281D"/>
    <w:rsid w:val="1A8D572D"/>
    <w:rsid w:val="1A971AB0"/>
    <w:rsid w:val="1AB62046"/>
    <w:rsid w:val="1AD11223"/>
    <w:rsid w:val="1AD338E8"/>
    <w:rsid w:val="1B157B5C"/>
    <w:rsid w:val="1B302BE8"/>
    <w:rsid w:val="1B371DC5"/>
    <w:rsid w:val="1B5348D7"/>
    <w:rsid w:val="1B5B6470"/>
    <w:rsid w:val="1B607D53"/>
    <w:rsid w:val="1B79458F"/>
    <w:rsid w:val="1B860676"/>
    <w:rsid w:val="1B9A7A98"/>
    <w:rsid w:val="1BA15475"/>
    <w:rsid w:val="1BA4524D"/>
    <w:rsid w:val="1BA720ED"/>
    <w:rsid w:val="1BAA7496"/>
    <w:rsid w:val="1BBA38E7"/>
    <w:rsid w:val="1BEA1F70"/>
    <w:rsid w:val="1C26543D"/>
    <w:rsid w:val="1C291499"/>
    <w:rsid w:val="1C303806"/>
    <w:rsid w:val="1C4117B3"/>
    <w:rsid w:val="1C466D5D"/>
    <w:rsid w:val="1C7B76BC"/>
    <w:rsid w:val="1C7F0481"/>
    <w:rsid w:val="1C917028"/>
    <w:rsid w:val="1CA5205F"/>
    <w:rsid w:val="1CDF0AF5"/>
    <w:rsid w:val="1CEE5A15"/>
    <w:rsid w:val="1D090B49"/>
    <w:rsid w:val="1D284254"/>
    <w:rsid w:val="1D2E591C"/>
    <w:rsid w:val="1D4345DD"/>
    <w:rsid w:val="1D4666F2"/>
    <w:rsid w:val="1D4870E5"/>
    <w:rsid w:val="1D501BC0"/>
    <w:rsid w:val="1D9021D6"/>
    <w:rsid w:val="1D9C71AB"/>
    <w:rsid w:val="1DDC3D82"/>
    <w:rsid w:val="1DE83215"/>
    <w:rsid w:val="1E5E3F75"/>
    <w:rsid w:val="1E5E5A5C"/>
    <w:rsid w:val="1E6A7D40"/>
    <w:rsid w:val="1EC662CF"/>
    <w:rsid w:val="1F0062A2"/>
    <w:rsid w:val="1F174376"/>
    <w:rsid w:val="1F396C99"/>
    <w:rsid w:val="1F5C6FFA"/>
    <w:rsid w:val="1F71124A"/>
    <w:rsid w:val="1F7D08FE"/>
    <w:rsid w:val="1FA44A7A"/>
    <w:rsid w:val="1FCB077F"/>
    <w:rsid w:val="1FDE3222"/>
    <w:rsid w:val="1FF57D89"/>
    <w:rsid w:val="1FFB2594"/>
    <w:rsid w:val="20000DDB"/>
    <w:rsid w:val="20024974"/>
    <w:rsid w:val="20233D74"/>
    <w:rsid w:val="204246F5"/>
    <w:rsid w:val="206B7AA5"/>
    <w:rsid w:val="207B3705"/>
    <w:rsid w:val="20914128"/>
    <w:rsid w:val="20E53D47"/>
    <w:rsid w:val="20F60E55"/>
    <w:rsid w:val="211F397A"/>
    <w:rsid w:val="214271D1"/>
    <w:rsid w:val="217145D3"/>
    <w:rsid w:val="218375B3"/>
    <w:rsid w:val="21B167B4"/>
    <w:rsid w:val="21DB4EC1"/>
    <w:rsid w:val="21E97F2A"/>
    <w:rsid w:val="21F01EF9"/>
    <w:rsid w:val="22072402"/>
    <w:rsid w:val="22136B16"/>
    <w:rsid w:val="223D79B0"/>
    <w:rsid w:val="223F7707"/>
    <w:rsid w:val="226178F5"/>
    <w:rsid w:val="22856798"/>
    <w:rsid w:val="22BC1795"/>
    <w:rsid w:val="22C46D58"/>
    <w:rsid w:val="22CC23B9"/>
    <w:rsid w:val="22DB728A"/>
    <w:rsid w:val="22E7188C"/>
    <w:rsid w:val="22E747B5"/>
    <w:rsid w:val="230333FD"/>
    <w:rsid w:val="230B0B88"/>
    <w:rsid w:val="2323524B"/>
    <w:rsid w:val="23400310"/>
    <w:rsid w:val="234B49E2"/>
    <w:rsid w:val="237E71FA"/>
    <w:rsid w:val="238A0AEF"/>
    <w:rsid w:val="238D2DAD"/>
    <w:rsid w:val="23923C36"/>
    <w:rsid w:val="23A203FB"/>
    <w:rsid w:val="23D52974"/>
    <w:rsid w:val="23E34C9B"/>
    <w:rsid w:val="23EE51C2"/>
    <w:rsid w:val="24094B00"/>
    <w:rsid w:val="240E783E"/>
    <w:rsid w:val="241871DD"/>
    <w:rsid w:val="242B25DA"/>
    <w:rsid w:val="24324C08"/>
    <w:rsid w:val="24334BB9"/>
    <w:rsid w:val="243830EC"/>
    <w:rsid w:val="24463053"/>
    <w:rsid w:val="24807AD4"/>
    <w:rsid w:val="24837F31"/>
    <w:rsid w:val="24A672EF"/>
    <w:rsid w:val="24CB1DAA"/>
    <w:rsid w:val="24D549DD"/>
    <w:rsid w:val="24E24B21"/>
    <w:rsid w:val="24F61D9A"/>
    <w:rsid w:val="25054CE5"/>
    <w:rsid w:val="25123D82"/>
    <w:rsid w:val="25331C52"/>
    <w:rsid w:val="253B238F"/>
    <w:rsid w:val="255D4D1B"/>
    <w:rsid w:val="258D7B05"/>
    <w:rsid w:val="25A25ED6"/>
    <w:rsid w:val="25BB15A6"/>
    <w:rsid w:val="25C16AB4"/>
    <w:rsid w:val="25CC3D3C"/>
    <w:rsid w:val="25EA3A6E"/>
    <w:rsid w:val="25F92708"/>
    <w:rsid w:val="26167B2F"/>
    <w:rsid w:val="261B0689"/>
    <w:rsid w:val="262354A3"/>
    <w:rsid w:val="26342E4D"/>
    <w:rsid w:val="263C7386"/>
    <w:rsid w:val="26415290"/>
    <w:rsid w:val="26485805"/>
    <w:rsid w:val="267267AA"/>
    <w:rsid w:val="267821A9"/>
    <w:rsid w:val="268317E5"/>
    <w:rsid w:val="268C0BA2"/>
    <w:rsid w:val="26D350ED"/>
    <w:rsid w:val="26FC2133"/>
    <w:rsid w:val="26FE5045"/>
    <w:rsid w:val="270E38E2"/>
    <w:rsid w:val="270F29FE"/>
    <w:rsid w:val="2721410C"/>
    <w:rsid w:val="274A4BB3"/>
    <w:rsid w:val="27561698"/>
    <w:rsid w:val="27641A88"/>
    <w:rsid w:val="27B454F7"/>
    <w:rsid w:val="27B713F3"/>
    <w:rsid w:val="27D61B22"/>
    <w:rsid w:val="27D74EA2"/>
    <w:rsid w:val="27E01333"/>
    <w:rsid w:val="27E52DD5"/>
    <w:rsid w:val="27E90D02"/>
    <w:rsid w:val="27F45FB8"/>
    <w:rsid w:val="282718FC"/>
    <w:rsid w:val="28303476"/>
    <w:rsid w:val="28322C79"/>
    <w:rsid w:val="283F26BC"/>
    <w:rsid w:val="2859377E"/>
    <w:rsid w:val="286B34B1"/>
    <w:rsid w:val="28757E8C"/>
    <w:rsid w:val="287A5E48"/>
    <w:rsid w:val="28B704A4"/>
    <w:rsid w:val="28CC20F5"/>
    <w:rsid w:val="290D7AB3"/>
    <w:rsid w:val="291C1986"/>
    <w:rsid w:val="2933786C"/>
    <w:rsid w:val="293452E9"/>
    <w:rsid w:val="29345979"/>
    <w:rsid w:val="294B7E10"/>
    <w:rsid w:val="2953412D"/>
    <w:rsid w:val="295F5150"/>
    <w:rsid w:val="296555B7"/>
    <w:rsid w:val="29765048"/>
    <w:rsid w:val="29824F56"/>
    <w:rsid w:val="29AB4D23"/>
    <w:rsid w:val="29B07494"/>
    <w:rsid w:val="29E42828"/>
    <w:rsid w:val="29F82FA7"/>
    <w:rsid w:val="2A185116"/>
    <w:rsid w:val="2A365C57"/>
    <w:rsid w:val="2A424B52"/>
    <w:rsid w:val="2A461CA1"/>
    <w:rsid w:val="2A495970"/>
    <w:rsid w:val="2A60683B"/>
    <w:rsid w:val="2A753D5F"/>
    <w:rsid w:val="2A882800"/>
    <w:rsid w:val="2AB04B71"/>
    <w:rsid w:val="2AD14753"/>
    <w:rsid w:val="2AD20A0E"/>
    <w:rsid w:val="2ADE4A98"/>
    <w:rsid w:val="2AE665D6"/>
    <w:rsid w:val="2B350720"/>
    <w:rsid w:val="2B3B328C"/>
    <w:rsid w:val="2B5B4734"/>
    <w:rsid w:val="2B631D38"/>
    <w:rsid w:val="2B6941C8"/>
    <w:rsid w:val="2B7700E7"/>
    <w:rsid w:val="2B7A4C5B"/>
    <w:rsid w:val="2B922F89"/>
    <w:rsid w:val="2BAC69A0"/>
    <w:rsid w:val="2BB949A6"/>
    <w:rsid w:val="2BBC48D6"/>
    <w:rsid w:val="2BE83B6B"/>
    <w:rsid w:val="2BFE091C"/>
    <w:rsid w:val="2C233A1F"/>
    <w:rsid w:val="2C307046"/>
    <w:rsid w:val="2C456046"/>
    <w:rsid w:val="2C5D22DE"/>
    <w:rsid w:val="2C803456"/>
    <w:rsid w:val="2CA40883"/>
    <w:rsid w:val="2CCB1D1D"/>
    <w:rsid w:val="2CCF0946"/>
    <w:rsid w:val="2D0628A0"/>
    <w:rsid w:val="2D0D0B5E"/>
    <w:rsid w:val="2D0E42D8"/>
    <w:rsid w:val="2D1A7EA0"/>
    <w:rsid w:val="2D292F75"/>
    <w:rsid w:val="2D870DD0"/>
    <w:rsid w:val="2D935AAF"/>
    <w:rsid w:val="2DB46FA5"/>
    <w:rsid w:val="2DCE3269"/>
    <w:rsid w:val="2DD52B1B"/>
    <w:rsid w:val="2DFC6904"/>
    <w:rsid w:val="2E265F3C"/>
    <w:rsid w:val="2E9040A3"/>
    <w:rsid w:val="2E9D0737"/>
    <w:rsid w:val="2EE55D36"/>
    <w:rsid w:val="2EFC4A1E"/>
    <w:rsid w:val="2F1526E8"/>
    <w:rsid w:val="2F296E69"/>
    <w:rsid w:val="2F2D508B"/>
    <w:rsid w:val="2F4349DB"/>
    <w:rsid w:val="2F6176F7"/>
    <w:rsid w:val="2F7D2448"/>
    <w:rsid w:val="2F875074"/>
    <w:rsid w:val="2FAE4F19"/>
    <w:rsid w:val="2FB41564"/>
    <w:rsid w:val="2FB561B1"/>
    <w:rsid w:val="2FC266D8"/>
    <w:rsid w:val="2FDA21C9"/>
    <w:rsid w:val="2FEF49C8"/>
    <w:rsid w:val="30656AE9"/>
    <w:rsid w:val="307748D0"/>
    <w:rsid w:val="30845E6A"/>
    <w:rsid w:val="30853848"/>
    <w:rsid w:val="308B5AAA"/>
    <w:rsid w:val="30A13F14"/>
    <w:rsid w:val="30BC77CA"/>
    <w:rsid w:val="30CD0A31"/>
    <w:rsid w:val="30EA250B"/>
    <w:rsid w:val="30EB33E1"/>
    <w:rsid w:val="310F07D4"/>
    <w:rsid w:val="31164C6A"/>
    <w:rsid w:val="31480E27"/>
    <w:rsid w:val="314A1FAC"/>
    <w:rsid w:val="31565A94"/>
    <w:rsid w:val="316A211F"/>
    <w:rsid w:val="316D3DF6"/>
    <w:rsid w:val="31701195"/>
    <w:rsid w:val="318E7FC4"/>
    <w:rsid w:val="31B67AEF"/>
    <w:rsid w:val="31C61143"/>
    <w:rsid w:val="31CA4DBD"/>
    <w:rsid w:val="31D9410B"/>
    <w:rsid w:val="320D7387"/>
    <w:rsid w:val="320E3755"/>
    <w:rsid w:val="32227714"/>
    <w:rsid w:val="3223018B"/>
    <w:rsid w:val="323C6FD6"/>
    <w:rsid w:val="323E5792"/>
    <w:rsid w:val="32475CEA"/>
    <w:rsid w:val="32571ABC"/>
    <w:rsid w:val="326F69DE"/>
    <w:rsid w:val="32CE6991"/>
    <w:rsid w:val="32CF16D7"/>
    <w:rsid w:val="32E427DE"/>
    <w:rsid w:val="32EB3113"/>
    <w:rsid w:val="32EE2934"/>
    <w:rsid w:val="32F5031E"/>
    <w:rsid w:val="330A787A"/>
    <w:rsid w:val="33705E1F"/>
    <w:rsid w:val="337B0496"/>
    <w:rsid w:val="338710A4"/>
    <w:rsid w:val="33C10F78"/>
    <w:rsid w:val="33F62C86"/>
    <w:rsid w:val="341F4D62"/>
    <w:rsid w:val="343A5F9B"/>
    <w:rsid w:val="345C1BB9"/>
    <w:rsid w:val="34602DD2"/>
    <w:rsid w:val="34672D65"/>
    <w:rsid w:val="34791EFB"/>
    <w:rsid w:val="347C4B42"/>
    <w:rsid w:val="34805FC3"/>
    <w:rsid w:val="348C4EDB"/>
    <w:rsid w:val="34935499"/>
    <w:rsid w:val="34997C37"/>
    <w:rsid w:val="349C765D"/>
    <w:rsid w:val="34AD22C6"/>
    <w:rsid w:val="34AE6899"/>
    <w:rsid w:val="34BB53BA"/>
    <w:rsid w:val="34BF14C9"/>
    <w:rsid w:val="34C32363"/>
    <w:rsid w:val="34DE7A68"/>
    <w:rsid w:val="34E0585E"/>
    <w:rsid w:val="35045D6D"/>
    <w:rsid w:val="350C6F9D"/>
    <w:rsid w:val="35416C6E"/>
    <w:rsid w:val="35684D75"/>
    <w:rsid w:val="357E1BF8"/>
    <w:rsid w:val="358158E3"/>
    <w:rsid w:val="359D364E"/>
    <w:rsid w:val="35C9302D"/>
    <w:rsid w:val="35E55DA9"/>
    <w:rsid w:val="35EB2DB6"/>
    <w:rsid w:val="36016D99"/>
    <w:rsid w:val="3617611B"/>
    <w:rsid w:val="364D7BD8"/>
    <w:rsid w:val="36505182"/>
    <w:rsid w:val="3661655B"/>
    <w:rsid w:val="36851BE2"/>
    <w:rsid w:val="36A45AD7"/>
    <w:rsid w:val="36A84509"/>
    <w:rsid w:val="36A96B18"/>
    <w:rsid w:val="36D9309D"/>
    <w:rsid w:val="36EC0361"/>
    <w:rsid w:val="36F4484A"/>
    <w:rsid w:val="370541F9"/>
    <w:rsid w:val="372362A9"/>
    <w:rsid w:val="37280171"/>
    <w:rsid w:val="37574ADE"/>
    <w:rsid w:val="377C5E9F"/>
    <w:rsid w:val="37912F78"/>
    <w:rsid w:val="37A375F8"/>
    <w:rsid w:val="37B61A59"/>
    <w:rsid w:val="37BB279C"/>
    <w:rsid w:val="37C24B91"/>
    <w:rsid w:val="37FE1B21"/>
    <w:rsid w:val="380F2BAF"/>
    <w:rsid w:val="3824228F"/>
    <w:rsid w:val="38557512"/>
    <w:rsid w:val="386A7D27"/>
    <w:rsid w:val="38723749"/>
    <w:rsid w:val="388668B1"/>
    <w:rsid w:val="38D40742"/>
    <w:rsid w:val="38E75C43"/>
    <w:rsid w:val="39013BA7"/>
    <w:rsid w:val="3903090F"/>
    <w:rsid w:val="390E4110"/>
    <w:rsid w:val="394A57A8"/>
    <w:rsid w:val="39572D39"/>
    <w:rsid w:val="396E7AFA"/>
    <w:rsid w:val="39B704E8"/>
    <w:rsid w:val="39B96CC3"/>
    <w:rsid w:val="39BD78E5"/>
    <w:rsid w:val="39F239E4"/>
    <w:rsid w:val="3A0708F9"/>
    <w:rsid w:val="3A0D7D17"/>
    <w:rsid w:val="3A1643D9"/>
    <w:rsid w:val="3A1F533A"/>
    <w:rsid w:val="3A2A11B6"/>
    <w:rsid w:val="3A3853F3"/>
    <w:rsid w:val="3A4E4DA2"/>
    <w:rsid w:val="3A5E4C8E"/>
    <w:rsid w:val="3A763B78"/>
    <w:rsid w:val="3A8A50DE"/>
    <w:rsid w:val="3A970136"/>
    <w:rsid w:val="3AA74822"/>
    <w:rsid w:val="3AB536ED"/>
    <w:rsid w:val="3AD3302E"/>
    <w:rsid w:val="3ADC7F3D"/>
    <w:rsid w:val="3AE14C79"/>
    <w:rsid w:val="3B346A17"/>
    <w:rsid w:val="3BA34F72"/>
    <w:rsid w:val="3BD03CA1"/>
    <w:rsid w:val="3BD50F16"/>
    <w:rsid w:val="3C0F1800"/>
    <w:rsid w:val="3C360F17"/>
    <w:rsid w:val="3C550C9A"/>
    <w:rsid w:val="3C5934E5"/>
    <w:rsid w:val="3C674DF3"/>
    <w:rsid w:val="3C885F88"/>
    <w:rsid w:val="3C8B23EB"/>
    <w:rsid w:val="3CC0265E"/>
    <w:rsid w:val="3D1904CC"/>
    <w:rsid w:val="3D20698D"/>
    <w:rsid w:val="3D3B2FAA"/>
    <w:rsid w:val="3D4E519C"/>
    <w:rsid w:val="3D6911DA"/>
    <w:rsid w:val="3D6F02C3"/>
    <w:rsid w:val="3DA27C76"/>
    <w:rsid w:val="3DC21FF7"/>
    <w:rsid w:val="3DD95898"/>
    <w:rsid w:val="3DE2791A"/>
    <w:rsid w:val="3DE9001F"/>
    <w:rsid w:val="3E304EFE"/>
    <w:rsid w:val="3E475F9F"/>
    <w:rsid w:val="3E895FE7"/>
    <w:rsid w:val="3E8A3D13"/>
    <w:rsid w:val="3E977BBD"/>
    <w:rsid w:val="3E990C45"/>
    <w:rsid w:val="3EA037DD"/>
    <w:rsid w:val="3EA465AA"/>
    <w:rsid w:val="3EBF0EA2"/>
    <w:rsid w:val="3EC52D59"/>
    <w:rsid w:val="3ED85923"/>
    <w:rsid w:val="3EDA346C"/>
    <w:rsid w:val="3EEA4CD8"/>
    <w:rsid w:val="3EFE7FF6"/>
    <w:rsid w:val="3F0D6C18"/>
    <w:rsid w:val="3F7578B3"/>
    <w:rsid w:val="3F795FC1"/>
    <w:rsid w:val="3F8833C6"/>
    <w:rsid w:val="3F8E3C9D"/>
    <w:rsid w:val="3FC36590"/>
    <w:rsid w:val="400059EB"/>
    <w:rsid w:val="40145B19"/>
    <w:rsid w:val="403010B9"/>
    <w:rsid w:val="403A14BE"/>
    <w:rsid w:val="405818E2"/>
    <w:rsid w:val="40642289"/>
    <w:rsid w:val="407B0CF0"/>
    <w:rsid w:val="408C5546"/>
    <w:rsid w:val="408D14D1"/>
    <w:rsid w:val="40935E39"/>
    <w:rsid w:val="409A6E22"/>
    <w:rsid w:val="40D032D7"/>
    <w:rsid w:val="40D774DE"/>
    <w:rsid w:val="411C1FE6"/>
    <w:rsid w:val="416811CA"/>
    <w:rsid w:val="416846E6"/>
    <w:rsid w:val="417E4908"/>
    <w:rsid w:val="41813A6C"/>
    <w:rsid w:val="4189697A"/>
    <w:rsid w:val="41A76806"/>
    <w:rsid w:val="41A9281D"/>
    <w:rsid w:val="41C71509"/>
    <w:rsid w:val="41D26947"/>
    <w:rsid w:val="42072045"/>
    <w:rsid w:val="424130E2"/>
    <w:rsid w:val="425C4833"/>
    <w:rsid w:val="42B12C7D"/>
    <w:rsid w:val="42FC483B"/>
    <w:rsid w:val="430B5053"/>
    <w:rsid w:val="43280168"/>
    <w:rsid w:val="437140D0"/>
    <w:rsid w:val="437724D6"/>
    <w:rsid w:val="438A0138"/>
    <w:rsid w:val="43965030"/>
    <w:rsid w:val="43A968E1"/>
    <w:rsid w:val="43CE5EAF"/>
    <w:rsid w:val="441F0C0F"/>
    <w:rsid w:val="44293DD8"/>
    <w:rsid w:val="443632C0"/>
    <w:rsid w:val="443C625F"/>
    <w:rsid w:val="44506564"/>
    <w:rsid w:val="44556E79"/>
    <w:rsid w:val="446E2A3B"/>
    <w:rsid w:val="446F0000"/>
    <w:rsid w:val="44743DE8"/>
    <w:rsid w:val="448B42B3"/>
    <w:rsid w:val="44A96FE7"/>
    <w:rsid w:val="44AB68A2"/>
    <w:rsid w:val="44B518E4"/>
    <w:rsid w:val="44BD1D50"/>
    <w:rsid w:val="44BD69EB"/>
    <w:rsid w:val="44CA4883"/>
    <w:rsid w:val="44CD5E65"/>
    <w:rsid w:val="44E379DA"/>
    <w:rsid w:val="44F35994"/>
    <w:rsid w:val="44FA2559"/>
    <w:rsid w:val="45041B70"/>
    <w:rsid w:val="45065223"/>
    <w:rsid w:val="451E0702"/>
    <w:rsid w:val="45306789"/>
    <w:rsid w:val="453A33E0"/>
    <w:rsid w:val="453D7170"/>
    <w:rsid w:val="45427E45"/>
    <w:rsid w:val="454560B9"/>
    <w:rsid w:val="45521A8C"/>
    <w:rsid w:val="45654519"/>
    <w:rsid w:val="45722105"/>
    <w:rsid w:val="457355D3"/>
    <w:rsid w:val="458E26DB"/>
    <w:rsid w:val="45B34C8F"/>
    <w:rsid w:val="45BC51B6"/>
    <w:rsid w:val="45DC4AB6"/>
    <w:rsid w:val="45E616B1"/>
    <w:rsid w:val="461940F5"/>
    <w:rsid w:val="46291AF4"/>
    <w:rsid w:val="462F6A8A"/>
    <w:rsid w:val="46325D67"/>
    <w:rsid w:val="46365FAC"/>
    <w:rsid w:val="465675D5"/>
    <w:rsid w:val="46924209"/>
    <w:rsid w:val="469771A8"/>
    <w:rsid w:val="4698326B"/>
    <w:rsid w:val="46B14C57"/>
    <w:rsid w:val="46E05F14"/>
    <w:rsid w:val="46F53A24"/>
    <w:rsid w:val="46F76271"/>
    <w:rsid w:val="46FD4588"/>
    <w:rsid w:val="46FF7D41"/>
    <w:rsid w:val="47103215"/>
    <w:rsid w:val="47133D53"/>
    <w:rsid w:val="47354BE4"/>
    <w:rsid w:val="473C5806"/>
    <w:rsid w:val="473F5DDD"/>
    <w:rsid w:val="4744034E"/>
    <w:rsid w:val="475573AE"/>
    <w:rsid w:val="475A7EF9"/>
    <w:rsid w:val="477C229A"/>
    <w:rsid w:val="47AE47AC"/>
    <w:rsid w:val="47AE7D34"/>
    <w:rsid w:val="47B02837"/>
    <w:rsid w:val="47BE7B6C"/>
    <w:rsid w:val="47D6269D"/>
    <w:rsid w:val="47DC0440"/>
    <w:rsid w:val="48064959"/>
    <w:rsid w:val="4808398A"/>
    <w:rsid w:val="4821332C"/>
    <w:rsid w:val="48232D95"/>
    <w:rsid w:val="48435459"/>
    <w:rsid w:val="48535300"/>
    <w:rsid w:val="487355F9"/>
    <w:rsid w:val="488C75B8"/>
    <w:rsid w:val="48A47377"/>
    <w:rsid w:val="48A55B0F"/>
    <w:rsid w:val="48A82B51"/>
    <w:rsid w:val="48BD73E2"/>
    <w:rsid w:val="48C1607B"/>
    <w:rsid w:val="490565B6"/>
    <w:rsid w:val="49316C3E"/>
    <w:rsid w:val="49350C9F"/>
    <w:rsid w:val="49456820"/>
    <w:rsid w:val="49474EAB"/>
    <w:rsid w:val="495515E9"/>
    <w:rsid w:val="496417FE"/>
    <w:rsid w:val="49697141"/>
    <w:rsid w:val="498F2E29"/>
    <w:rsid w:val="49B900C8"/>
    <w:rsid w:val="49D7250C"/>
    <w:rsid w:val="49D83B05"/>
    <w:rsid w:val="4A423AB9"/>
    <w:rsid w:val="4A53756C"/>
    <w:rsid w:val="4A913D16"/>
    <w:rsid w:val="4A9D0A10"/>
    <w:rsid w:val="4AAA7A11"/>
    <w:rsid w:val="4ACC3457"/>
    <w:rsid w:val="4AFE1A36"/>
    <w:rsid w:val="4B0A0426"/>
    <w:rsid w:val="4B0E401C"/>
    <w:rsid w:val="4B1B5EF3"/>
    <w:rsid w:val="4B5415E9"/>
    <w:rsid w:val="4B5B0CE6"/>
    <w:rsid w:val="4B645E12"/>
    <w:rsid w:val="4B8F037B"/>
    <w:rsid w:val="4B9157C1"/>
    <w:rsid w:val="4B922E77"/>
    <w:rsid w:val="4BBC1932"/>
    <w:rsid w:val="4BF00D37"/>
    <w:rsid w:val="4BFC1491"/>
    <w:rsid w:val="4C0B3D75"/>
    <w:rsid w:val="4C1443BF"/>
    <w:rsid w:val="4C1E23D7"/>
    <w:rsid w:val="4C495A89"/>
    <w:rsid w:val="4C5B7215"/>
    <w:rsid w:val="4C60482B"/>
    <w:rsid w:val="4C72455F"/>
    <w:rsid w:val="4C9958BB"/>
    <w:rsid w:val="4CA27456"/>
    <w:rsid w:val="4CB045BB"/>
    <w:rsid w:val="4CE2250C"/>
    <w:rsid w:val="4D13285A"/>
    <w:rsid w:val="4D1F4C25"/>
    <w:rsid w:val="4D35610D"/>
    <w:rsid w:val="4D3A32CE"/>
    <w:rsid w:val="4D4D1254"/>
    <w:rsid w:val="4D7613FA"/>
    <w:rsid w:val="4D7B3404"/>
    <w:rsid w:val="4D862070"/>
    <w:rsid w:val="4D9A5749"/>
    <w:rsid w:val="4D9B6CF0"/>
    <w:rsid w:val="4DE81B93"/>
    <w:rsid w:val="4DF17808"/>
    <w:rsid w:val="4DF429D2"/>
    <w:rsid w:val="4DF45878"/>
    <w:rsid w:val="4E0837E9"/>
    <w:rsid w:val="4E0F02B7"/>
    <w:rsid w:val="4E28581D"/>
    <w:rsid w:val="4E453268"/>
    <w:rsid w:val="4E485577"/>
    <w:rsid w:val="4E552CE1"/>
    <w:rsid w:val="4E7477A8"/>
    <w:rsid w:val="4E853098"/>
    <w:rsid w:val="4E8F6245"/>
    <w:rsid w:val="4EA52361"/>
    <w:rsid w:val="4EFE20DA"/>
    <w:rsid w:val="4F0A0A7E"/>
    <w:rsid w:val="4F0C13CE"/>
    <w:rsid w:val="4F1725D5"/>
    <w:rsid w:val="4F485469"/>
    <w:rsid w:val="4F63132B"/>
    <w:rsid w:val="4FE17A31"/>
    <w:rsid w:val="4FF7260A"/>
    <w:rsid w:val="4FF86C1C"/>
    <w:rsid w:val="500767A7"/>
    <w:rsid w:val="501B18DD"/>
    <w:rsid w:val="501B6741"/>
    <w:rsid w:val="5028553D"/>
    <w:rsid w:val="503D0BF9"/>
    <w:rsid w:val="504B37CD"/>
    <w:rsid w:val="50713405"/>
    <w:rsid w:val="50736840"/>
    <w:rsid w:val="50A32395"/>
    <w:rsid w:val="50AA1A02"/>
    <w:rsid w:val="50B27EF3"/>
    <w:rsid w:val="50BD4FD7"/>
    <w:rsid w:val="50CA531F"/>
    <w:rsid w:val="50CE3319"/>
    <w:rsid w:val="50F43A70"/>
    <w:rsid w:val="50F64C4A"/>
    <w:rsid w:val="50FA4C1E"/>
    <w:rsid w:val="51117FB0"/>
    <w:rsid w:val="512979DA"/>
    <w:rsid w:val="51413951"/>
    <w:rsid w:val="516767BA"/>
    <w:rsid w:val="51816146"/>
    <w:rsid w:val="51A53E01"/>
    <w:rsid w:val="51AD7466"/>
    <w:rsid w:val="51C10958"/>
    <w:rsid w:val="51C51597"/>
    <w:rsid w:val="51F85CE5"/>
    <w:rsid w:val="52072DF6"/>
    <w:rsid w:val="52243F3B"/>
    <w:rsid w:val="52272DD7"/>
    <w:rsid w:val="522C1654"/>
    <w:rsid w:val="525F21CD"/>
    <w:rsid w:val="52702D54"/>
    <w:rsid w:val="52737245"/>
    <w:rsid w:val="52B73A88"/>
    <w:rsid w:val="52BC1CBB"/>
    <w:rsid w:val="52C4718F"/>
    <w:rsid w:val="52D2486D"/>
    <w:rsid w:val="52D675F5"/>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6E385E"/>
    <w:rsid w:val="547827C3"/>
    <w:rsid w:val="54AE4355"/>
    <w:rsid w:val="54B612DA"/>
    <w:rsid w:val="54F332CA"/>
    <w:rsid w:val="54FE72D7"/>
    <w:rsid w:val="550A4485"/>
    <w:rsid w:val="551601CA"/>
    <w:rsid w:val="554D0181"/>
    <w:rsid w:val="55822B8C"/>
    <w:rsid w:val="558F32AA"/>
    <w:rsid w:val="55921102"/>
    <w:rsid w:val="55A42B8B"/>
    <w:rsid w:val="55A627EA"/>
    <w:rsid w:val="55AD26D3"/>
    <w:rsid w:val="55D74145"/>
    <w:rsid w:val="55E61885"/>
    <w:rsid w:val="55FF50B5"/>
    <w:rsid w:val="56042973"/>
    <w:rsid w:val="561326E5"/>
    <w:rsid w:val="56432E7D"/>
    <w:rsid w:val="56503AEC"/>
    <w:rsid w:val="56520CC7"/>
    <w:rsid w:val="56750D18"/>
    <w:rsid w:val="5685733F"/>
    <w:rsid w:val="569A5334"/>
    <w:rsid w:val="571701DC"/>
    <w:rsid w:val="574B1B26"/>
    <w:rsid w:val="57501CF2"/>
    <w:rsid w:val="57503C91"/>
    <w:rsid w:val="57574A7D"/>
    <w:rsid w:val="57587AB0"/>
    <w:rsid w:val="576603F0"/>
    <w:rsid w:val="576668A1"/>
    <w:rsid w:val="57672F12"/>
    <w:rsid w:val="578C478D"/>
    <w:rsid w:val="57A524DC"/>
    <w:rsid w:val="57C87729"/>
    <w:rsid w:val="57F227C1"/>
    <w:rsid w:val="580551BA"/>
    <w:rsid w:val="584564EB"/>
    <w:rsid w:val="584E7013"/>
    <w:rsid w:val="584F0362"/>
    <w:rsid w:val="585A6294"/>
    <w:rsid w:val="58825BDE"/>
    <w:rsid w:val="58A606BD"/>
    <w:rsid w:val="58B85F7F"/>
    <w:rsid w:val="58BD015B"/>
    <w:rsid w:val="591F2FC2"/>
    <w:rsid w:val="59803612"/>
    <w:rsid w:val="59914A80"/>
    <w:rsid w:val="599F4C62"/>
    <w:rsid w:val="59C24287"/>
    <w:rsid w:val="59C3747E"/>
    <w:rsid w:val="59D55AC8"/>
    <w:rsid w:val="59F65230"/>
    <w:rsid w:val="59F726A2"/>
    <w:rsid w:val="5A2F58EB"/>
    <w:rsid w:val="5A6B3730"/>
    <w:rsid w:val="5A7975CA"/>
    <w:rsid w:val="5A9A40E9"/>
    <w:rsid w:val="5A9F29EB"/>
    <w:rsid w:val="5AB13EDC"/>
    <w:rsid w:val="5AC305FD"/>
    <w:rsid w:val="5AD7041F"/>
    <w:rsid w:val="5AED59BD"/>
    <w:rsid w:val="5B06463B"/>
    <w:rsid w:val="5B082961"/>
    <w:rsid w:val="5B0A0F3F"/>
    <w:rsid w:val="5B1D04DF"/>
    <w:rsid w:val="5B27768C"/>
    <w:rsid w:val="5B30281D"/>
    <w:rsid w:val="5B37160F"/>
    <w:rsid w:val="5B3761C8"/>
    <w:rsid w:val="5B4105D3"/>
    <w:rsid w:val="5B5E0B95"/>
    <w:rsid w:val="5B835E40"/>
    <w:rsid w:val="5B8C676B"/>
    <w:rsid w:val="5BC326E1"/>
    <w:rsid w:val="5C071EB1"/>
    <w:rsid w:val="5C1175C1"/>
    <w:rsid w:val="5C15551E"/>
    <w:rsid w:val="5C1C7827"/>
    <w:rsid w:val="5C317552"/>
    <w:rsid w:val="5C701D8C"/>
    <w:rsid w:val="5CC018F8"/>
    <w:rsid w:val="5CD56B70"/>
    <w:rsid w:val="5CD7270F"/>
    <w:rsid w:val="5CD91E7E"/>
    <w:rsid w:val="5CED5CCF"/>
    <w:rsid w:val="5D125496"/>
    <w:rsid w:val="5D4810F0"/>
    <w:rsid w:val="5D4B4FD5"/>
    <w:rsid w:val="5D5B3BFB"/>
    <w:rsid w:val="5D753EAF"/>
    <w:rsid w:val="5D7A1F22"/>
    <w:rsid w:val="5D915615"/>
    <w:rsid w:val="5DA16CD4"/>
    <w:rsid w:val="5DA9389A"/>
    <w:rsid w:val="5DBC4F9A"/>
    <w:rsid w:val="5DD01DAB"/>
    <w:rsid w:val="5DD90DC6"/>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12F96"/>
    <w:rsid w:val="5FA21376"/>
    <w:rsid w:val="5FCD2850"/>
    <w:rsid w:val="5FD265A9"/>
    <w:rsid w:val="5FD513B4"/>
    <w:rsid w:val="5FDD6612"/>
    <w:rsid w:val="5FF65D8A"/>
    <w:rsid w:val="5FFB2484"/>
    <w:rsid w:val="600077FB"/>
    <w:rsid w:val="60036E45"/>
    <w:rsid w:val="60213830"/>
    <w:rsid w:val="602900DB"/>
    <w:rsid w:val="602E7496"/>
    <w:rsid w:val="60346B2B"/>
    <w:rsid w:val="605A099F"/>
    <w:rsid w:val="60764FE2"/>
    <w:rsid w:val="60906B4B"/>
    <w:rsid w:val="60BE48F5"/>
    <w:rsid w:val="60BF6ECF"/>
    <w:rsid w:val="60C57EE8"/>
    <w:rsid w:val="60D92C10"/>
    <w:rsid w:val="60E969E4"/>
    <w:rsid w:val="61163276"/>
    <w:rsid w:val="611D05DB"/>
    <w:rsid w:val="611D0C6F"/>
    <w:rsid w:val="61250BD1"/>
    <w:rsid w:val="612827CE"/>
    <w:rsid w:val="6158264C"/>
    <w:rsid w:val="6166104C"/>
    <w:rsid w:val="61922435"/>
    <w:rsid w:val="619C5EAE"/>
    <w:rsid w:val="61A23511"/>
    <w:rsid w:val="61D74FCE"/>
    <w:rsid w:val="61EE2BC8"/>
    <w:rsid w:val="62036292"/>
    <w:rsid w:val="62244D2D"/>
    <w:rsid w:val="623E2AF7"/>
    <w:rsid w:val="625931CB"/>
    <w:rsid w:val="626D33D7"/>
    <w:rsid w:val="62765EF7"/>
    <w:rsid w:val="627B2EA7"/>
    <w:rsid w:val="62D4224F"/>
    <w:rsid w:val="62DB0D62"/>
    <w:rsid w:val="630B66FC"/>
    <w:rsid w:val="63110EF8"/>
    <w:rsid w:val="632A43FC"/>
    <w:rsid w:val="633612CD"/>
    <w:rsid w:val="63414260"/>
    <w:rsid w:val="63624E82"/>
    <w:rsid w:val="636E3CBE"/>
    <w:rsid w:val="637A3AC8"/>
    <w:rsid w:val="637B0251"/>
    <w:rsid w:val="638947E6"/>
    <w:rsid w:val="639F2159"/>
    <w:rsid w:val="63BF7C32"/>
    <w:rsid w:val="63C753F4"/>
    <w:rsid w:val="63D6673F"/>
    <w:rsid w:val="63D84FE7"/>
    <w:rsid w:val="63FB128D"/>
    <w:rsid w:val="64115F38"/>
    <w:rsid w:val="64521DF4"/>
    <w:rsid w:val="64552775"/>
    <w:rsid w:val="646A7012"/>
    <w:rsid w:val="647E2848"/>
    <w:rsid w:val="64857E6D"/>
    <w:rsid w:val="64987509"/>
    <w:rsid w:val="64E24305"/>
    <w:rsid w:val="64EA662A"/>
    <w:rsid w:val="650370F5"/>
    <w:rsid w:val="652A557F"/>
    <w:rsid w:val="653435C5"/>
    <w:rsid w:val="654D05A6"/>
    <w:rsid w:val="656611C7"/>
    <w:rsid w:val="656C2DA0"/>
    <w:rsid w:val="656E7BD1"/>
    <w:rsid w:val="657C0323"/>
    <w:rsid w:val="65872975"/>
    <w:rsid w:val="659D21F5"/>
    <w:rsid w:val="65D025CA"/>
    <w:rsid w:val="6607320A"/>
    <w:rsid w:val="66171E9F"/>
    <w:rsid w:val="663B4184"/>
    <w:rsid w:val="66705D09"/>
    <w:rsid w:val="667C0849"/>
    <w:rsid w:val="668811EB"/>
    <w:rsid w:val="668E41A3"/>
    <w:rsid w:val="66DE50D0"/>
    <w:rsid w:val="66F77D7D"/>
    <w:rsid w:val="66FF7AEA"/>
    <w:rsid w:val="67014E11"/>
    <w:rsid w:val="670A054F"/>
    <w:rsid w:val="670F104A"/>
    <w:rsid w:val="67344C23"/>
    <w:rsid w:val="678425A3"/>
    <w:rsid w:val="67875CD1"/>
    <w:rsid w:val="67A24F1E"/>
    <w:rsid w:val="67A8580B"/>
    <w:rsid w:val="67B753EA"/>
    <w:rsid w:val="67BC3AA9"/>
    <w:rsid w:val="67BD2A12"/>
    <w:rsid w:val="68224C33"/>
    <w:rsid w:val="683066A1"/>
    <w:rsid w:val="68426149"/>
    <w:rsid w:val="684E345F"/>
    <w:rsid w:val="685632DC"/>
    <w:rsid w:val="68616B32"/>
    <w:rsid w:val="688F5B95"/>
    <w:rsid w:val="68B04C34"/>
    <w:rsid w:val="68B51F8D"/>
    <w:rsid w:val="68BB3E09"/>
    <w:rsid w:val="68CF46B3"/>
    <w:rsid w:val="68D8564D"/>
    <w:rsid w:val="68F9286C"/>
    <w:rsid w:val="69115685"/>
    <w:rsid w:val="69265BA4"/>
    <w:rsid w:val="69442269"/>
    <w:rsid w:val="69554597"/>
    <w:rsid w:val="695906B2"/>
    <w:rsid w:val="69621EE8"/>
    <w:rsid w:val="69965C6B"/>
    <w:rsid w:val="69AA64BC"/>
    <w:rsid w:val="69C819B0"/>
    <w:rsid w:val="69CA2304"/>
    <w:rsid w:val="69E30424"/>
    <w:rsid w:val="69E351F9"/>
    <w:rsid w:val="69EA352F"/>
    <w:rsid w:val="69F212BC"/>
    <w:rsid w:val="69F85A1C"/>
    <w:rsid w:val="6A1C3C47"/>
    <w:rsid w:val="6A2447EF"/>
    <w:rsid w:val="6A2E3EA0"/>
    <w:rsid w:val="6A34700B"/>
    <w:rsid w:val="6A4C11CB"/>
    <w:rsid w:val="6A660465"/>
    <w:rsid w:val="6A881BC4"/>
    <w:rsid w:val="6A9E3BC1"/>
    <w:rsid w:val="6AB96645"/>
    <w:rsid w:val="6AC369BD"/>
    <w:rsid w:val="6AF3448E"/>
    <w:rsid w:val="6AFF30FF"/>
    <w:rsid w:val="6B060BF5"/>
    <w:rsid w:val="6B140792"/>
    <w:rsid w:val="6B1D5BBD"/>
    <w:rsid w:val="6B361121"/>
    <w:rsid w:val="6B4216B7"/>
    <w:rsid w:val="6B4F58B8"/>
    <w:rsid w:val="6B990934"/>
    <w:rsid w:val="6BA240C1"/>
    <w:rsid w:val="6BDE73B3"/>
    <w:rsid w:val="6BDF4F70"/>
    <w:rsid w:val="6C120E7D"/>
    <w:rsid w:val="6C240F7A"/>
    <w:rsid w:val="6C387C99"/>
    <w:rsid w:val="6C4D4053"/>
    <w:rsid w:val="6C534F03"/>
    <w:rsid w:val="6C6421C5"/>
    <w:rsid w:val="6C8319D7"/>
    <w:rsid w:val="6C8C6740"/>
    <w:rsid w:val="6CA87DFD"/>
    <w:rsid w:val="6CDA78C4"/>
    <w:rsid w:val="6D246892"/>
    <w:rsid w:val="6D550705"/>
    <w:rsid w:val="6D681009"/>
    <w:rsid w:val="6D6E298C"/>
    <w:rsid w:val="6D7A5B72"/>
    <w:rsid w:val="6D9848A5"/>
    <w:rsid w:val="6DE37068"/>
    <w:rsid w:val="6DF745F8"/>
    <w:rsid w:val="6E074EAE"/>
    <w:rsid w:val="6E211EB7"/>
    <w:rsid w:val="6E2C6C53"/>
    <w:rsid w:val="6E2F4292"/>
    <w:rsid w:val="6E3A02CB"/>
    <w:rsid w:val="6E493106"/>
    <w:rsid w:val="6E4C296A"/>
    <w:rsid w:val="6E5E6666"/>
    <w:rsid w:val="6E9F786A"/>
    <w:rsid w:val="6ED60E5A"/>
    <w:rsid w:val="6ED645B3"/>
    <w:rsid w:val="6EE6772C"/>
    <w:rsid w:val="6F0F1CF2"/>
    <w:rsid w:val="6F1454F0"/>
    <w:rsid w:val="6F1941DE"/>
    <w:rsid w:val="6F224C53"/>
    <w:rsid w:val="6F23376B"/>
    <w:rsid w:val="6F3B34E9"/>
    <w:rsid w:val="6F3F630F"/>
    <w:rsid w:val="6F7955F4"/>
    <w:rsid w:val="6FA001FA"/>
    <w:rsid w:val="6FA943CE"/>
    <w:rsid w:val="6FD35A4C"/>
    <w:rsid w:val="6FE822A6"/>
    <w:rsid w:val="701F1F15"/>
    <w:rsid w:val="70223A22"/>
    <w:rsid w:val="704331BE"/>
    <w:rsid w:val="7047707F"/>
    <w:rsid w:val="708D5EDD"/>
    <w:rsid w:val="70960A86"/>
    <w:rsid w:val="709C7DFB"/>
    <w:rsid w:val="70E03F3A"/>
    <w:rsid w:val="70F11F2F"/>
    <w:rsid w:val="710D636F"/>
    <w:rsid w:val="713B47E2"/>
    <w:rsid w:val="715058B1"/>
    <w:rsid w:val="715B27CA"/>
    <w:rsid w:val="715C4D8E"/>
    <w:rsid w:val="71605753"/>
    <w:rsid w:val="71721E0D"/>
    <w:rsid w:val="71906884"/>
    <w:rsid w:val="71B40FF2"/>
    <w:rsid w:val="71BE5929"/>
    <w:rsid w:val="71D60F75"/>
    <w:rsid w:val="71F63E94"/>
    <w:rsid w:val="721B0BB0"/>
    <w:rsid w:val="722A3ADF"/>
    <w:rsid w:val="723E6165"/>
    <w:rsid w:val="7285473C"/>
    <w:rsid w:val="72A20AE0"/>
    <w:rsid w:val="72C45357"/>
    <w:rsid w:val="73140293"/>
    <w:rsid w:val="7316279C"/>
    <w:rsid w:val="73263829"/>
    <w:rsid w:val="733140B0"/>
    <w:rsid w:val="73347D14"/>
    <w:rsid w:val="73614861"/>
    <w:rsid w:val="73685BF0"/>
    <w:rsid w:val="739D0FBC"/>
    <w:rsid w:val="73AE3E3E"/>
    <w:rsid w:val="73B52DB2"/>
    <w:rsid w:val="73B97F5B"/>
    <w:rsid w:val="73C74610"/>
    <w:rsid w:val="73E55492"/>
    <w:rsid w:val="73E55BE1"/>
    <w:rsid w:val="74156D71"/>
    <w:rsid w:val="74595C4F"/>
    <w:rsid w:val="745B4A18"/>
    <w:rsid w:val="74A73E99"/>
    <w:rsid w:val="74E811B7"/>
    <w:rsid w:val="750A5D89"/>
    <w:rsid w:val="750F1DC8"/>
    <w:rsid w:val="751F3F15"/>
    <w:rsid w:val="752616D5"/>
    <w:rsid w:val="7531785F"/>
    <w:rsid w:val="75333B50"/>
    <w:rsid w:val="753C058D"/>
    <w:rsid w:val="7541756C"/>
    <w:rsid w:val="75417570"/>
    <w:rsid w:val="7547276B"/>
    <w:rsid w:val="7548217D"/>
    <w:rsid w:val="7557054B"/>
    <w:rsid w:val="75660961"/>
    <w:rsid w:val="757A4038"/>
    <w:rsid w:val="75894C8E"/>
    <w:rsid w:val="75C609BB"/>
    <w:rsid w:val="75CE53CF"/>
    <w:rsid w:val="75F278FB"/>
    <w:rsid w:val="760771D2"/>
    <w:rsid w:val="76111E37"/>
    <w:rsid w:val="762B0DD8"/>
    <w:rsid w:val="76697649"/>
    <w:rsid w:val="768E530F"/>
    <w:rsid w:val="76AC6D7E"/>
    <w:rsid w:val="76B46CC0"/>
    <w:rsid w:val="76C2369F"/>
    <w:rsid w:val="76D44FD5"/>
    <w:rsid w:val="76F45F6F"/>
    <w:rsid w:val="770D5428"/>
    <w:rsid w:val="771E5719"/>
    <w:rsid w:val="772967FA"/>
    <w:rsid w:val="772D3AF3"/>
    <w:rsid w:val="77305847"/>
    <w:rsid w:val="77333695"/>
    <w:rsid w:val="77384140"/>
    <w:rsid w:val="774379F3"/>
    <w:rsid w:val="77486E30"/>
    <w:rsid w:val="77531D7A"/>
    <w:rsid w:val="77612ECB"/>
    <w:rsid w:val="77733156"/>
    <w:rsid w:val="77766BC1"/>
    <w:rsid w:val="77882379"/>
    <w:rsid w:val="7796460A"/>
    <w:rsid w:val="779A0801"/>
    <w:rsid w:val="77A24D9E"/>
    <w:rsid w:val="77AE1DAD"/>
    <w:rsid w:val="77FF1A83"/>
    <w:rsid w:val="78386FD2"/>
    <w:rsid w:val="783F2973"/>
    <w:rsid w:val="78485FF0"/>
    <w:rsid w:val="785D1EBF"/>
    <w:rsid w:val="78702F73"/>
    <w:rsid w:val="78B13B86"/>
    <w:rsid w:val="78C57B4B"/>
    <w:rsid w:val="78D33AFD"/>
    <w:rsid w:val="78FA5DD0"/>
    <w:rsid w:val="790D2B37"/>
    <w:rsid w:val="792C2AE7"/>
    <w:rsid w:val="792E51E6"/>
    <w:rsid w:val="796E0176"/>
    <w:rsid w:val="79AC7A48"/>
    <w:rsid w:val="79B311E2"/>
    <w:rsid w:val="79E13C31"/>
    <w:rsid w:val="7A041D57"/>
    <w:rsid w:val="7A2745E2"/>
    <w:rsid w:val="7A347D8A"/>
    <w:rsid w:val="7A4805B8"/>
    <w:rsid w:val="7A562740"/>
    <w:rsid w:val="7A8F511A"/>
    <w:rsid w:val="7AAD18A6"/>
    <w:rsid w:val="7AE86FF5"/>
    <w:rsid w:val="7AEA15E0"/>
    <w:rsid w:val="7B013A9A"/>
    <w:rsid w:val="7B2019BD"/>
    <w:rsid w:val="7B3A265D"/>
    <w:rsid w:val="7B8B06A3"/>
    <w:rsid w:val="7BAF43BF"/>
    <w:rsid w:val="7BB621DC"/>
    <w:rsid w:val="7BBC2F7D"/>
    <w:rsid w:val="7BD400D4"/>
    <w:rsid w:val="7BD749ED"/>
    <w:rsid w:val="7BDE019B"/>
    <w:rsid w:val="7BE9416F"/>
    <w:rsid w:val="7C4B1DF3"/>
    <w:rsid w:val="7C757CA8"/>
    <w:rsid w:val="7C9802D3"/>
    <w:rsid w:val="7C9B039E"/>
    <w:rsid w:val="7C9B5288"/>
    <w:rsid w:val="7CA6044B"/>
    <w:rsid w:val="7CD11122"/>
    <w:rsid w:val="7CE02F0D"/>
    <w:rsid w:val="7D5471E5"/>
    <w:rsid w:val="7D782FFF"/>
    <w:rsid w:val="7D7C29D4"/>
    <w:rsid w:val="7D9A1C61"/>
    <w:rsid w:val="7DA26DC0"/>
    <w:rsid w:val="7DA85BC0"/>
    <w:rsid w:val="7DAA0555"/>
    <w:rsid w:val="7DAE00C3"/>
    <w:rsid w:val="7DB912C0"/>
    <w:rsid w:val="7DB94B8C"/>
    <w:rsid w:val="7DE83E39"/>
    <w:rsid w:val="7E0A410C"/>
    <w:rsid w:val="7E324E80"/>
    <w:rsid w:val="7E41388C"/>
    <w:rsid w:val="7E446659"/>
    <w:rsid w:val="7E470B9B"/>
    <w:rsid w:val="7E4B6574"/>
    <w:rsid w:val="7E6C1C1B"/>
    <w:rsid w:val="7E7C4D97"/>
    <w:rsid w:val="7E947D74"/>
    <w:rsid w:val="7E9E0480"/>
    <w:rsid w:val="7EC92E7E"/>
    <w:rsid w:val="7ECF1219"/>
    <w:rsid w:val="7ECF746B"/>
    <w:rsid w:val="7ED47C49"/>
    <w:rsid w:val="7EEB5BA5"/>
    <w:rsid w:val="7EFA6EFD"/>
    <w:rsid w:val="7F0C6837"/>
    <w:rsid w:val="7F301A67"/>
    <w:rsid w:val="7F4C47FD"/>
    <w:rsid w:val="7F4D009C"/>
    <w:rsid w:val="7F791CA5"/>
    <w:rsid w:val="7F880762"/>
    <w:rsid w:val="7FAE16E8"/>
    <w:rsid w:val="7FBD3767"/>
    <w:rsid w:val="7FD5203D"/>
    <w:rsid w:val="7FF65726"/>
    <w:rsid w:val="7FFA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unhideWhenUsed/>
    <w:qFormat/>
    <w:uiPriority w:val="99"/>
    <w:pPr>
      <w:spacing w:after="120"/>
      <w:ind w:left="420" w:leftChars="200"/>
    </w:pPr>
  </w:style>
  <w:style w:type="paragraph" w:styleId="4">
    <w:name w:val="annotation text"/>
    <w:basedOn w:val="1"/>
    <w:link w:val="43"/>
    <w:semiHidden/>
    <w:unhideWhenUsed/>
    <w:qFormat/>
    <w:uiPriority w:val="99"/>
  </w:style>
  <w:style w:type="paragraph" w:styleId="5">
    <w:name w:val="Body Text"/>
    <w:basedOn w:val="1"/>
    <w:qFormat/>
    <w:uiPriority w:val="1"/>
    <w:pPr>
      <w:ind w:left="1068"/>
    </w:pPr>
    <w:rPr>
      <w:sz w:val="32"/>
      <w:szCs w:val="3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30"/>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1">
    <w:name w:val="Title"/>
    <w:basedOn w:val="1"/>
    <w:next w:val="1"/>
    <w:link w:val="29"/>
    <w:qFormat/>
    <w:uiPriority w:val="10"/>
    <w:pPr>
      <w:spacing w:before="240" w:after="60"/>
      <w:jc w:val="center"/>
      <w:outlineLvl w:val="0"/>
    </w:pPr>
    <w:rPr>
      <w:rFonts w:asciiTheme="majorHAnsi" w:hAnsiTheme="majorHAnsi" w:cstheme="majorBidi"/>
      <w:b/>
      <w:bCs/>
      <w:sz w:val="32"/>
      <w:szCs w:val="32"/>
    </w:rPr>
  </w:style>
  <w:style w:type="paragraph" w:styleId="12">
    <w:name w:val="annotation subject"/>
    <w:basedOn w:val="4"/>
    <w:next w:val="4"/>
    <w:link w:val="44"/>
    <w:semiHidden/>
    <w:unhideWhenUsed/>
    <w:qFormat/>
    <w:uiPriority w:val="99"/>
    <w:rPr>
      <w:b/>
      <w:bCs/>
    </w:rPr>
  </w:style>
  <w:style w:type="character" w:styleId="15">
    <w:name w:val="Strong"/>
    <w:basedOn w:val="14"/>
    <w:qFormat/>
    <w:uiPriority w:val="0"/>
    <w:rPr>
      <w:rFonts w:cs="Times New Roman"/>
      <w:b/>
      <w:bCs/>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unhideWhenUsed/>
    <w:qFormat/>
    <w:uiPriority w:val="99"/>
    <w:rPr>
      <w:color w:val="0000FF" w:themeColor="hyperlink"/>
      <w:u w:val="single"/>
      <w14:textFill>
        <w14:solidFill>
          <w14:schemeClr w14:val="hlink"/>
        </w14:solidFill>
      </w14:textFill>
    </w:rPr>
  </w:style>
  <w:style w:type="character" w:styleId="21">
    <w:name w:val="HTML Code"/>
    <w:basedOn w:val="14"/>
    <w:semiHidden/>
    <w:unhideWhenUsed/>
    <w:qFormat/>
    <w:uiPriority w:val="99"/>
    <w:rPr>
      <w:rFonts w:ascii="Courier New" w:hAnsi="Courier New"/>
      <w:sz w:val="20"/>
    </w:rPr>
  </w:style>
  <w:style w:type="character" w:styleId="22">
    <w:name w:val="annotation reference"/>
    <w:basedOn w:val="14"/>
    <w:semiHidden/>
    <w:unhideWhenUsed/>
    <w:qFormat/>
    <w:uiPriority w:val="99"/>
    <w:rPr>
      <w:sz w:val="21"/>
      <w:szCs w:val="21"/>
    </w:rPr>
  </w:style>
  <w:style w:type="character" w:styleId="23">
    <w:name w:val="HTML Cite"/>
    <w:basedOn w:val="14"/>
    <w:semiHidden/>
    <w:unhideWhenUsed/>
    <w:qFormat/>
    <w:uiPriority w:val="99"/>
  </w:style>
  <w:style w:type="character" w:customStyle="1" w:styleId="24">
    <w:name w:val="页眉 Char"/>
    <w:basedOn w:val="14"/>
    <w:link w:val="9"/>
    <w:qFormat/>
    <w:uiPriority w:val="99"/>
    <w:rPr>
      <w:sz w:val="18"/>
      <w:szCs w:val="18"/>
    </w:rPr>
  </w:style>
  <w:style w:type="character" w:customStyle="1" w:styleId="25">
    <w:name w:val="页脚 Char"/>
    <w:basedOn w:val="14"/>
    <w:link w:val="8"/>
    <w:qFormat/>
    <w:uiPriority w:val="99"/>
    <w:rPr>
      <w:sz w:val="18"/>
      <w:szCs w:val="18"/>
    </w:rPr>
  </w:style>
  <w:style w:type="paragraph" w:styleId="26">
    <w:name w:val="List Paragraph"/>
    <w:basedOn w:val="1"/>
    <w:qFormat/>
    <w:uiPriority w:val="34"/>
    <w:pPr>
      <w:widowControl/>
      <w:autoSpaceDE/>
      <w:autoSpaceDN/>
      <w:adjustRightInd/>
      <w:ind w:firstLine="420" w:firstLineChars="200"/>
    </w:pPr>
    <w:rPr>
      <w:rFonts w:hint="default" w:cs="宋体"/>
      <w:szCs w:val="24"/>
    </w:rPr>
  </w:style>
  <w:style w:type="character" w:customStyle="1" w:styleId="27">
    <w:name w:val="日期 Char"/>
    <w:basedOn w:val="14"/>
    <w:link w:val="6"/>
    <w:semiHidden/>
    <w:qFormat/>
    <w:uiPriority w:val="99"/>
    <w:rPr>
      <w:rFonts w:ascii="宋体" w:hAnsi="宋体" w:eastAsia="宋体" w:cs="Times New Roman"/>
      <w:kern w:val="0"/>
      <w:sz w:val="24"/>
      <w:szCs w:val="20"/>
    </w:rPr>
  </w:style>
  <w:style w:type="paragraph" w:customStyle="1" w:styleId="28">
    <w:name w:val="列出段落1"/>
    <w:basedOn w:val="1"/>
    <w:qFormat/>
    <w:uiPriority w:val="34"/>
    <w:pPr>
      <w:ind w:firstLine="420" w:firstLineChars="200"/>
    </w:pPr>
    <w:rPr>
      <w:szCs w:val="22"/>
    </w:rPr>
  </w:style>
  <w:style w:type="character" w:customStyle="1" w:styleId="29">
    <w:name w:val="标题 Char"/>
    <w:basedOn w:val="14"/>
    <w:link w:val="11"/>
    <w:qFormat/>
    <w:uiPriority w:val="10"/>
    <w:rPr>
      <w:rFonts w:asciiTheme="majorHAnsi" w:hAnsiTheme="majorHAnsi" w:cstheme="majorBidi"/>
      <w:b/>
      <w:bCs/>
      <w:sz w:val="32"/>
      <w:szCs w:val="32"/>
    </w:rPr>
  </w:style>
  <w:style w:type="character" w:customStyle="1" w:styleId="30">
    <w:name w:val="批注框文本 Char"/>
    <w:basedOn w:val="14"/>
    <w:link w:val="7"/>
    <w:semiHidden/>
    <w:qFormat/>
    <w:uiPriority w:val="99"/>
    <w:rPr>
      <w:rFonts w:ascii="宋体" w:hAnsi="宋体"/>
      <w:sz w:val="18"/>
      <w:szCs w:val="18"/>
    </w:rPr>
  </w:style>
  <w:style w:type="character" w:customStyle="1" w:styleId="31">
    <w:name w:val="ref"/>
    <w:basedOn w:val="14"/>
    <w:qFormat/>
    <w:uiPriority w:val="0"/>
  </w:style>
  <w:style w:type="character" w:customStyle="1" w:styleId="32">
    <w:name w:val="icon_video"/>
    <w:basedOn w:val="14"/>
    <w:qFormat/>
    <w:uiPriority w:val="0"/>
  </w:style>
  <w:style w:type="character" w:customStyle="1" w:styleId="33">
    <w:name w:val="one"/>
    <w:basedOn w:val="14"/>
    <w:qFormat/>
    <w:uiPriority w:val="0"/>
    <w:rPr>
      <w:color w:val="003366"/>
    </w:rPr>
  </w:style>
  <w:style w:type="character" w:customStyle="1" w:styleId="34">
    <w:name w:val="loan"/>
    <w:basedOn w:val="14"/>
    <w:qFormat/>
    <w:uiPriority w:val="0"/>
  </w:style>
  <w:style w:type="character" w:customStyle="1" w:styleId="35">
    <w:name w:val="gwds_nopic"/>
    <w:basedOn w:val="14"/>
    <w:qFormat/>
    <w:uiPriority w:val="0"/>
  </w:style>
  <w:style w:type="character" w:customStyle="1" w:styleId="36">
    <w:name w:val="gwds_nopic1"/>
    <w:basedOn w:val="14"/>
    <w:qFormat/>
    <w:uiPriority w:val="0"/>
  </w:style>
  <w:style w:type="character" w:customStyle="1" w:styleId="37">
    <w:name w:val="gwds_nopic2"/>
    <w:basedOn w:val="14"/>
    <w:qFormat/>
    <w:uiPriority w:val="0"/>
    <w:rPr>
      <w:u w:val="single"/>
    </w:rPr>
  </w:style>
  <w:style w:type="character" w:customStyle="1" w:styleId="38">
    <w:name w:val="font"/>
    <w:basedOn w:val="14"/>
    <w:qFormat/>
    <w:uiPriority w:val="0"/>
  </w:style>
  <w:style w:type="character" w:customStyle="1" w:styleId="39">
    <w:name w:val="font1"/>
    <w:basedOn w:val="14"/>
    <w:qFormat/>
    <w:uiPriority w:val="0"/>
  </w:style>
  <w:style w:type="character" w:customStyle="1" w:styleId="40">
    <w:name w:val="laypage_curr"/>
    <w:basedOn w:val="14"/>
    <w:qFormat/>
    <w:uiPriority w:val="0"/>
    <w:rPr>
      <w:color w:val="FFFDF4"/>
      <w:shd w:val="clear" w:color="auto" w:fill="0B67A6"/>
    </w:rPr>
  </w:style>
  <w:style w:type="character" w:customStyle="1" w:styleId="41">
    <w:name w:val="hover12"/>
    <w:basedOn w:val="14"/>
    <w:qFormat/>
    <w:uiPriority w:val="0"/>
    <w:rPr>
      <w:color w:val="015293"/>
    </w:rPr>
  </w:style>
  <w:style w:type="character" w:customStyle="1" w:styleId="42">
    <w:name w:val="hover13"/>
    <w:basedOn w:val="14"/>
    <w:qFormat/>
    <w:uiPriority w:val="0"/>
    <w:rPr>
      <w:color w:val="015293"/>
    </w:rPr>
  </w:style>
  <w:style w:type="character" w:customStyle="1" w:styleId="43">
    <w:name w:val="批注文字 Char"/>
    <w:basedOn w:val="14"/>
    <w:link w:val="4"/>
    <w:semiHidden/>
    <w:qFormat/>
    <w:uiPriority w:val="99"/>
    <w:rPr>
      <w:rFonts w:ascii="宋体" w:hAnsi="宋体"/>
      <w:sz w:val="24"/>
    </w:rPr>
  </w:style>
  <w:style w:type="character" w:customStyle="1" w:styleId="44">
    <w:name w:val="批注主题 Char"/>
    <w:basedOn w:val="43"/>
    <w:link w:val="12"/>
    <w:qFormat/>
    <w:uiPriority w:val="0"/>
    <w:rPr>
      <w:rFonts w:ascii="宋体" w:hAnsi="宋体"/>
      <w:sz w:val="24"/>
    </w:rPr>
  </w:style>
  <w:style w:type="character" w:customStyle="1" w:styleId="45">
    <w:name w:val="bg02"/>
    <w:basedOn w:val="14"/>
    <w:qFormat/>
    <w:uiPriority w:val="0"/>
  </w:style>
  <w:style w:type="character" w:customStyle="1" w:styleId="46">
    <w:name w:val="m01"/>
    <w:basedOn w:val="14"/>
    <w:qFormat/>
    <w:uiPriority w:val="0"/>
  </w:style>
  <w:style w:type="character" w:customStyle="1" w:styleId="47">
    <w:name w:val="m011"/>
    <w:basedOn w:val="14"/>
    <w:qFormat/>
    <w:uiPriority w:val="0"/>
  </w:style>
  <w:style w:type="character" w:customStyle="1" w:styleId="48">
    <w:name w:val="hover18"/>
    <w:basedOn w:val="14"/>
    <w:qFormat/>
    <w:uiPriority w:val="0"/>
    <w:rPr>
      <w:color w:val="015293"/>
    </w:rPr>
  </w:style>
  <w:style w:type="character" w:customStyle="1" w:styleId="49">
    <w:name w:val="name"/>
    <w:basedOn w:val="14"/>
    <w:qFormat/>
    <w:uiPriority w:val="0"/>
    <w:rPr>
      <w:color w:val="6A6A6A"/>
      <w:u w:val="single"/>
    </w:rPr>
  </w:style>
  <w:style w:type="character" w:customStyle="1" w:styleId="50">
    <w:name w:val="dates"/>
    <w:basedOn w:val="14"/>
    <w:qFormat/>
    <w:uiPriority w:val="0"/>
  </w:style>
  <w:style w:type="character" w:customStyle="1" w:styleId="51">
    <w:name w:val="more4"/>
    <w:basedOn w:val="14"/>
    <w:qFormat/>
    <w:uiPriority w:val="0"/>
    <w:rPr>
      <w:color w:val="666666"/>
      <w:sz w:val="18"/>
      <w:szCs w:val="18"/>
    </w:rPr>
  </w:style>
  <w:style w:type="character" w:customStyle="1" w:styleId="52">
    <w:name w:val="tabg"/>
    <w:basedOn w:val="14"/>
    <w:qFormat/>
    <w:uiPriority w:val="0"/>
    <w:rPr>
      <w:color w:val="FFFFFF"/>
      <w:sz w:val="27"/>
      <w:szCs w:val="27"/>
    </w:rPr>
  </w:style>
  <w:style w:type="character" w:customStyle="1" w:styleId="53">
    <w:name w:val="bg01"/>
    <w:basedOn w:val="14"/>
    <w:qFormat/>
    <w:uiPriority w:val="0"/>
  </w:style>
  <w:style w:type="character" w:customStyle="1" w:styleId="54">
    <w:name w:val="hover19"/>
    <w:basedOn w:val="14"/>
    <w:qFormat/>
    <w:uiPriority w:val="0"/>
    <w:rPr>
      <w:color w:val="015293"/>
    </w:rPr>
  </w:style>
  <w:style w:type="character" w:customStyle="1" w:styleId="55">
    <w:name w:val="more"/>
    <w:basedOn w:val="14"/>
    <w:qFormat/>
    <w:uiPriority w:val="0"/>
    <w:rPr>
      <w:color w:val="666666"/>
      <w:sz w:val="18"/>
      <w:szCs w:val="18"/>
    </w:rPr>
  </w:style>
  <w:style w:type="character" w:customStyle="1" w:styleId="56">
    <w:name w:val="font2"/>
    <w:basedOn w:val="14"/>
    <w:qFormat/>
    <w:uiPriority w:val="0"/>
  </w:style>
  <w:style w:type="character" w:customStyle="1" w:styleId="57">
    <w:name w:val="font3"/>
    <w:basedOn w:val="14"/>
    <w:qFormat/>
    <w:uiPriority w:val="0"/>
  </w:style>
  <w:style w:type="character" w:customStyle="1" w:styleId="58">
    <w:name w:val="noline"/>
    <w:basedOn w:val="14"/>
    <w:qFormat/>
    <w:uiPriority w:val="0"/>
  </w:style>
  <w:style w:type="character" w:customStyle="1" w:styleId="59">
    <w:name w:val="place"/>
    <w:basedOn w:val="14"/>
    <w:qFormat/>
    <w:uiPriority w:val="0"/>
    <w:rPr>
      <w:rFonts w:ascii="微软雅黑" w:hAnsi="微软雅黑" w:eastAsia="微软雅黑" w:cs="微软雅黑"/>
      <w:color w:val="888888"/>
      <w:sz w:val="25"/>
      <w:szCs w:val="25"/>
    </w:rPr>
  </w:style>
  <w:style w:type="character" w:customStyle="1" w:styleId="60">
    <w:name w:val="place1"/>
    <w:basedOn w:val="14"/>
    <w:qFormat/>
    <w:uiPriority w:val="0"/>
  </w:style>
  <w:style w:type="character" w:customStyle="1" w:styleId="61">
    <w:name w:val="place2"/>
    <w:basedOn w:val="14"/>
    <w:qFormat/>
    <w:uiPriority w:val="0"/>
  </w:style>
  <w:style w:type="character" w:customStyle="1" w:styleId="62">
    <w:name w:val="place3"/>
    <w:basedOn w:val="14"/>
    <w:qFormat/>
    <w:uiPriority w:val="0"/>
  </w:style>
  <w:style w:type="character" w:customStyle="1" w:styleId="63">
    <w:name w:val="hover16"/>
    <w:basedOn w:val="14"/>
    <w:qFormat/>
    <w:uiPriority w:val="0"/>
    <w:rPr>
      <w:color w:val="025291"/>
    </w:rPr>
  </w:style>
  <w:style w:type="character" w:customStyle="1" w:styleId="64">
    <w:name w:val="hover15"/>
    <w:basedOn w:val="14"/>
    <w:qFormat/>
    <w:uiPriority w:val="0"/>
    <w:rPr>
      <w:color w:val="025291"/>
    </w:rPr>
  </w:style>
  <w:style w:type="character" w:customStyle="1" w:styleId="65">
    <w:name w:val="after"/>
    <w:basedOn w:val="14"/>
    <w:qFormat/>
    <w:uiPriority w:val="0"/>
  </w:style>
  <w:style w:type="character" w:customStyle="1" w:styleId="66">
    <w:name w:val="after1"/>
    <w:basedOn w:val="14"/>
    <w:qFormat/>
    <w:uiPriority w:val="0"/>
    <w:rPr>
      <w:shd w:val="clear" w:color="auto" w:fill="D60000"/>
    </w:rPr>
  </w:style>
  <w:style w:type="character" w:customStyle="1" w:styleId="67">
    <w:name w:val="after2"/>
    <w:basedOn w:val="14"/>
    <w:qFormat/>
    <w:uiPriority w:val="0"/>
  </w:style>
  <w:style w:type="character" w:customStyle="1" w:styleId="68">
    <w:name w:val="after3"/>
    <w:basedOn w:val="14"/>
    <w:qFormat/>
    <w:uiPriority w:val="0"/>
    <w:rPr>
      <w:vanish/>
    </w:rPr>
  </w:style>
  <w:style w:type="character" w:customStyle="1" w:styleId="69">
    <w:name w:val="selected"/>
    <w:basedOn w:val="14"/>
    <w:qFormat/>
    <w:uiPriority w:val="0"/>
  </w:style>
  <w:style w:type="paragraph" w:customStyle="1" w:styleId="70">
    <w:name w:val="faguicon_p"/>
    <w:basedOn w:val="1"/>
    <w:qFormat/>
    <w:uiPriority w:val="0"/>
    <w:pPr>
      <w:ind w:firstLine="480"/>
    </w:pPr>
    <w:rPr>
      <w:rFonts w:ascii="微软雅黑" w:hAnsi="微软雅黑" w:eastAsia="微软雅黑" w:cs="微软雅黑"/>
    </w:rPr>
  </w:style>
  <w:style w:type="character" w:customStyle="1" w:styleId="71">
    <w:name w:val="span_chapterTitle"/>
    <w:qFormat/>
    <w:uiPriority w:val="0"/>
    <w:rPr>
      <w:b/>
      <w:bCs/>
      <w:sz w:val="24"/>
      <w:szCs w:val="24"/>
    </w:rPr>
  </w:style>
  <w:style w:type="character" w:customStyle="1" w:styleId="72">
    <w:name w:val="span_bianTitle"/>
    <w:qFormat/>
    <w:uiPriority w:val="0"/>
    <w:rPr>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0BBCF-2501-408F-977D-5FCE437580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3696</Words>
  <Characters>4084</Characters>
  <Lines>37</Lines>
  <Paragraphs>10</Paragraphs>
  <TotalTime>1</TotalTime>
  <ScaleCrop>false</ScaleCrop>
  <LinksUpToDate>false</LinksUpToDate>
  <CharactersWithSpaces>4272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聂红军</cp:lastModifiedBy>
  <cp:lastPrinted>2021-01-29T05:35:00Z</cp:lastPrinted>
  <dcterms:modified xsi:type="dcterms:W3CDTF">2022-06-05T11:26:13Z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1A139F409BA54024BC058FFA767DF1BE</vt:lpwstr>
  </property>
</Properties>
</file>