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both"/>
        <w:rPr>
          <w:rFonts w:hint="eastAsia" w:cs="仿宋" w:asciiTheme="minorEastAsia" w:hAnsiTheme="minorEastAsia"/>
          <w:b/>
          <w:kern w:val="0"/>
          <w:sz w:val="30"/>
          <w:szCs w:val="30"/>
          <w:lang w:eastAsia="zh-CN"/>
        </w:rPr>
      </w:pPr>
      <w:r>
        <w:rPr>
          <w:rFonts w:hint="eastAsia" w:cs="仿宋" w:asciiTheme="minorEastAsia" w:hAnsiTheme="minorEastAsia"/>
          <w:b/>
          <w:kern w:val="0"/>
          <w:sz w:val="30"/>
          <w:szCs w:val="30"/>
          <w:lang w:eastAsia="zh-CN"/>
        </w:rPr>
        <w:drawing>
          <wp:anchor distT="0" distB="0" distL="114300" distR="114300" simplePos="0" relativeHeight="251659264" behindDoc="0" locked="0" layoutInCell="1" allowOverlap="1">
            <wp:simplePos x="0" y="0"/>
            <wp:positionH relativeFrom="column">
              <wp:posOffset>-1019175</wp:posOffset>
            </wp:positionH>
            <wp:positionV relativeFrom="paragraph">
              <wp:posOffset>-1000125</wp:posOffset>
            </wp:positionV>
            <wp:extent cx="7752715" cy="10857865"/>
            <wp:effectExtent l="0" t="0" r="635" b="635"/>
            <wp:wrapNone/>
            <wp:docPr id="1" name="图片 1" descr="4.企业合规经营与责任追究专业人才培训专题班(2)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企业合规经营与责任追究专业人才培训专题班(2)_00"/>
                    <pic:cNvPicPr>
                      <a:picLocks noChangeAspect="1"/>
                    </pic:cNvPicPr>
                  </pic:nvPicPr>
                  <pic:blipFill>
                    <a:blip r:embed="rId5"/>
                    <a:stretch>
                      <a:fillRect/>
                    </a:stretch>
                  </pic:blipFill>
                  <pic:spPr>
                    <a:xfrm>
                      <a:off x="0" y="0"/>
                      <a:ext cx="7752715" cy="10857865"/>
                    </a:xfrm>
                    <a:prstGeom prst="rect">
                      <a:avLst/>
                    </a:prstGeom>
                  </pic:spPr>
                </pic:pic>
              </a:graphicData>
            </a:graphic>
          </wp:anchor>
        </w:drawing>
      </w: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r>
        <w:rPr>
          <w:rFonts w:hint="eastAsia" w:cs="仿宋" w:asciiTheme="minorEastAsia" w:hAnsiTheme="minorEastAsia"/>
          <w:b/>
          <w:kern w:val="0"/>
          <w:sz w:val="30"/>
          <w:szCs w:val="30"/>
          <w:lang w:eastAsia="zh-CN"/>
        </w:rPr>
        <w:drawing>
          <wp:anchor distT="0" distB="0" distL="114300" distR="114300" simplePos="0" relativeHeight="251660288" behindDoc="0" locked="0" layoutInCell="1" allowOverlap="1">
            <wp:simplePos x="0" y="0"/>
            <wp:positionH relativeFrom="column">
              <wp:posOffset>-971550</wp:posOffset>
            </wp:positionH>
            <wp:positionV relativeFrom="paragraph">
              <wp:posOffset>-981075</wp:posOffset>
            </wp:positionV>
            <wp:extent cx="7705090" cy="10848340"/>
            <wp:effectExtent l="0" t="0" r="10160" b="10160"/>
            <wp:wrapNone/>
            <wp:docPr id="2" name="图片 2" descr="4.企业合规经营与责任追究专业人才培训专题班(2)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企业合规经营与责任追究专业人才培训专题班(2)_01"/>
                    <pic:cNvPicPr>
                      <a:picLocks noChangeAspect="1"/>
                    </pic:cNvPicPr>
                  </pic:nvPicPr>
                  <pic:blipFill>
                    <a:blip r:embed="rId6"/>
                    <a:stretch>
                      <a:fillRect/>
                    </a:stretch>
                  </pic:blipFill>
                  <pic:spPr>
                    <a:xfrm>
                      <a:off x="0" y="0"/>
                      <a:ext cx="7705090" cy="10848340"/>
                    </a:xfrm>
                    <a:prstGeom prst="rect">
                      <a:avLst/>
                    </a:prstGeom>
                  </pic:spPr>
                </pic:pic>
              </a:graphicData>
            </a:graphic>
          </wp:anchor>
        </w:drawing>
      </w: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cs="仿宋" w:asciiTheme="minorEastAsia" w:hAnsiTheme="minorEastAsia"/>
          <w:b/>
          <w:kern w:val="0"/>
          <w:sz w:val="30"/>
          <w:szCs w:val="30"/>
          <w:lang w:eastAsia="zh-CN"/>
        </w:rPr>
      </w:pPr>
    </w:p>
    <w:p>
      <w:pPr>
        <w:adjustRightInd w:val="0"/>
        <w:snapToGrid w:val="0"/>
        <w:spacing w:line="600" w:lineRule="exact"/>
        <w:jc w:val="both"/>
        <w:rPr>
          <w:rFonts w:hint="eastAsia" w:ascii="仿宋" w:hAnsi="仿宋" w:eastAsia="仿宋" w:cs="仿宋"/>
          <w:sz w:val="28"/>
          <w:szCs w:val="28"/>
        </w:rPr>
      </w:pPr>
      <w:r>
        <w:rPr>
          <w:rFonts w:hint="eastAsia" w:cs="仿宋" w:asciiTheme="minorEastAsia" w:hAnsiTheme="minorEastAsia"/>
          <w:b/>
          <w:kern w:val="0"/>
          <w:sz w:val="30"/>
          <w:szCs w:val="30"/>
          <w:lang w:eastAsia="zh-CN"/>
        </w:rPr>
        <w:t>附件</w:t>
      </w:r>
      <w:r>
        <w:rPr>
          <w:rFonts w:hint="eastAsia" w:cs="仿宋" w:asciiTheme="minorEastAsia" w:hAnsiTheme="minorEastAsia"/>
          <w:b/>
          <w:kern w:val="0"/>
          <w:sz w:val="30"/>
          <w:szCs w:val="30"/>
          <w:lang w:val="en-US" w:eastAsia="zh-CN"/>
        </w:rPr>
        <w:t>1</w:t>
      </w:r>
    </w:p>
    <w:p>
      <w:pPr>
        <w:spacing w:line="360" w:lineRule="auto"/>
        <w:rPr>
          <w:rFonts w:ascii="仿宋" w:hAnsi="仿宋" w:eastAsia="仿宋" w:cs="仿宋"/>
          <w:b/>
          <w:bCs/>
          <w:sz w:val="28"/>
          <w:szCs w:val="28"/>
        </w:rPr>
      </w:pPr>
      <w:r>
        <w:rPr>
          <w:rFonts w:hint="eastAsia" w:ascii="仿宋" w:hAnsi="仿宋" w:eastAsia="仿宋" w:cs="仿宋"/>
          <w:b/>
          <w:bCs/>
          <w:sz w:val="28"/>
          <w:szCs w:val="28"/>
        </w:rPr>
        <w:t>一、培训目的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深入贯彻党落实中央、国务院关于加强国有企业违规经营投资责任追究的决策部署，全面落实国企改革三年行动任务分工，建立全覆盖的出资人违规责任追究工作体系，为做强做优做大国有资本和国有企业，促进中央企业依法合规经营和高质量发展提供坚实保障。</w:t>
      </w:r>
    </w:p>
    <w:p>
      <w:pPr>
        <w:spacing w:line="360" w:lineRule="auto"/>
        <w:rPr>
          <w:rFonts w:ascii="仿宋" w:hAnsi="仿宋" w:eastAsia="仿宋" w:cs="仿宋"/>
          <w:b/>
          <w:bCs/>
          <w:sz w:val="28"/>
          <w:szCs w:val="28"/>
        </w:rPr>
      </w:pPr>
      <w:r>
        <w:rPr>
          <w:rFonts w:hint="eastAsia" w:ascii="仿宋" w:hAnsi="仿宋" w:eastAsia="仿宋" w:cs="仿宋"/>
          <w:b/>
          <w:bCs/>
          <w:sz w:val="28"/>
          <w:szCs w:val="28"/>
        </w:rPr>
        <w:t>二、培训对象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1.企业各级管理人员、风险管理人员、法务人员等；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2.政府有关部门、事业单位和高等院校和科研机构的中层合规管理人员；</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3.注册会计师事务所、税务所、金融、保险、证券等单位的管理人员；</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4.从事会计、审计、税务、财务、金融等相关职业的有关人员。</w:t>
      </w:r>
    </w:p>
    <w:p>
      <w:pPr>
        <w:pStyle w:val="2"/>
        <w:ind w:left="0" w:firstLine="0" w:firstLineChars="0"/>
        <w:rPr>
          <w:rFonts w:hAnsi="仿宋" w:cs="仿宋"/>
          <w:sz w:val="28"/>
          <w:szCs w:val="28"/>
        </w:rPr>
      </w:pPr>
      <w:r>
        <w:rPr>
          <w:rFonts w:hint="eastAsia" w:hAnsi="仿宋" w:cs="仿宋"/>
          <w:b/>
          <w:bCs/>
          <w:sz w:val="28"/>
          <w:szCs w:val="28"/>
        </w:rPr>
        <w:t>三、课程设置</w:t>
      </w:r>
    </w:p>
    <w:tbl>
      <w:tblPr>
        <w:tblStyle w:val="14"/>
        <w:tblpPr w:leftFromText="180" w:rightFromText="180" w:vertAnchor="text" w:horzAnchor="page" w:tblpX="1498" w:tblpY="2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6"/>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916" w:type="dxa"/>
            <w:vAlign w:val="center"/>
          </w:tcPr>
          <w:p>
            <w:pPr>
              <w:pStyle w:val="11"/>
              <w:widowControl/>
              <w:snapToGrid w:val="0"/>
              <w:spacing w:beforeAutospacing="0" w:afterAutospacing="0" w:line="360" w:lineRule="auto"/>
              <w:jc w:val="center"/>
              <w:rPr>
                <w:rFonts w:ascii="仿宋" w:hAnsi="仿宋" w:eastAsia="仿宋" w:cs="仿宋"/>
                <w:b/>
                <w:bCs/>
                <w:sz w:val="28"/>
                <w:szCs w:val="28"/>
              </w:rPr>
            </w:pPr>
            <w:r>
              <w:rPr>
                <w:rFonts w:hint="eastAsia" w:ascii="仿宋" w:hAnsi="仿宋" w:eastAsia="仿宋" w:cs="仿宋"/>
                <w:b/>
                <w:bCs/>
                <w:sz w:val="28"/>
                <w:szCs w:val="28"/>
              </w:rPr>
              <w:t>政策解读</w:t>
            </w:r>
          </w:p>
        </w:tc>
        <w:tc>
          <w:tcPr>
            <w:tcW w:w="6139" w:type="dxa"/>
          </w:tcPr>
          <w:p>
            <w:pPr>
              <w:pStyle w:val="11"/>
              <w:widowControl/>
              <w:snapToGrid w:val="0"/>
              <w:spacing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1.关于做好2022年中央企业违规经营投资责任追究工作的通知重点解读</w:t>
            </w:r>
          </w:p>
          <w:p>
            <w:pPr>
              <w:pStyle w:val="11"/>
              <w:widowControl/>
              <w:snapToGrid w:val="0"/>
              <w:spacing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2.《中央企业重大经营风险事件报告工作规则》重点解读</w:t>
            </w:r>
          </w:p>
          <w:p>
            <w:pPr>
              <w:pStyle w:val="11"/>
              <w:widowControl/>
              <w:snapToGrid w:val="0"/>
              <w:spacing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3.《关于进一步深化法治央企建设的意见》重点解读</w:t>
            </w:r>
          </w:p>
          <w:p>
            <w:pPr>
              <w:pStyle w:val="11"/>
              <w:widowControl/>
              <w:snapToGrid w:val="0"/>
              <w:spacing w:beforeAutospacing="0" w:afterAutospacing="0" w:line="360" w:lineRule="auto"/>
              <w:jc w:val="both"/>
              <w:rPr>
                <w:rFonts w:ascii="仿宋" w:hAnsi="仿宋" w:eastAsia="仿宋" w:cs="仿宋"/>
                <w:b/>
                <w:bCs/>
                <w:sz w:val="28"/>
                <w:szCs w:val="28"/>
                <w:highlight w:val="yellow"/>
              </w:rPr>
            </w:pPr>
            <w:r>
              <w:rPr>
                <w:rFonts w:hint="eastAsia" w:ascii="仿宋" w:hAnsi="仿宋" w:eastAsia="仿宋" w:cs="仿宋"/>
                <w:sz w:val="28"/>
                <w:szCs w:val="28"/>
              </w:rPr>
              <w:t>4.《中央企业合规管理指引（试行）》重点解读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2916" w:type="dxa"/>
            <w:vAlign w:val="center"/>
          </w:tcPr>
          <w:p>
            <w:pPr>
              <w:pStyle w:val="11"/>
              <w:widowControl/>
              <w:snapToGrid w:val="0"/>
              <w:spacing w:beforeAutospacing="0" w:afterAutospacing="0"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企业合规相关法规</w:t>
            </w:r>
          </w:p>
        </w:tc>
        <w:tc>
          <w:tcPr>
            <w:tcW w:w="6139" w:type="dxa"/>
          </w:tcPr>
          <w:p>
            <w:pPr>
              <w:pStyle w:val="11"/>
              <w:widowControl/>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1.公司运营中的法律风险防范</w:t>
            </w:r>
          </w:p>
          <w:p>
            <w:pPr>
              <w:pStyle w:val="11"/>
              <w:widowControl/>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2.合同法律风险防范</w:t>
            </w:r>
          </w:p>
          <w:p>
            <w:pPr>
              <w:pStyle w:val="11"/>
              <w:widowControl/>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3.企业投融资中的法律风险防范</w:t>
            </w:r>
          </w:p>
          <w:p>
            <w:pPr>
              <w:pStyle w:val="11"/>
              <w:widowControl/>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4.企业劳动用工法律风险防范</w:t>
            </w:r>
          </w:p>
          <w:p>
            <w:pPr>
              <w:pStyle w:val="11"/>
              <w:widowControl/>
              <w:snapToGrid w:val="0"/>
              <w:spacing w:beforeAutospacing="0" w:afterAutospacing="0" w:line="360" w:lineRule="auto"/>
              <w:jc w:val="both"/>
              <w:rPr>
                <w:rFonts w:ascii="仿宋" w:hAnsi="仿宋" w:eastAsia="仿宋" w:cs="仿宋"/>
                <w:b/>
                <w:bCs/>
                <w:color w:val="000000"/>
                <w:sz w:val="28"/>
                <w:szCs w:val="28"/>
              </w:rPr>
            </w:pPr>
            <w:r>
              <w:rPr>
                <w:rFonts w:hint="eastAsia" w:ascii="仿宋" w:hAnsi="仿宋" w:eastAsia="仿宋" w:cs="仿宋"/>
                <w:color w:val="000000"/>
                <w:sz w:val="28"/>
                <w:szCs w:val="28"/>
              </w:rPr>
              <w:t>5.涉外合同中的法律风险防范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vAlign w:val="center"/>
          </w:tcPr>
          <w:p>
            <w:pPr>
              <w:pStyle w:val="11"/>
              <w:widowControl/>
              <w:snapToGrid w:val="0"/>
              <w:spacing w:beforeAutospacing="0" w:afterAutospacing="0"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合规管理</w:t>
            </w:r>
          </w:p>
        </w:tc>
        <w:tc>
          <w:tcPr>
            <w:tcW w:w="6139" w:type="dxa"/>
          </w:tcPr>
          <w:p>
            <w:pPr>
              <w:pStyle w:val="11"/>
              <w:widowControl/>
              <w:numPr>
                <w:ilvl w:val="0"/>
                <w:numId w:val="1"/>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合规风险的识别、监控与应对</w:t>
            </w:r>
          </w:p>
          <w:p>
            <w:pPr>
              <w:pStyle w:val="11"/>
              <w:widowControl/>
              <w:numPr>
                <w:ilvl w:val="0"/>
                <w:numId w:val="1"/>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合规审查机制</w:t>
            </w:r>
          </w:p>
          <w:p>
            <w:pPr>
              <w:pStyle w:val="11"/>
              <w:widowControl/>
              <w:snapToGrid w:val="0"/>
              <w:spacing w:beforeAutospacing="0" w:afterAutospacing="0" w:line="360" w:lineRule="auto"/>
              <w:jc w:val="both"/>
              <w:rPr>
                <w:rFonts w:ascii="仿宋" w:hAnsi="仿宋" w:eastAsia="仿宋" w:cs="仿宋"/>
                <w:b/>
                <w:bCs/>
                <w:color w:val="000000"/>
                <w:sz w:val="28"/>
                <w:szCs w:val="28"/>
              </w:rPr>
            </w:pPr>
            <w:r>
              <w:rPr>
                <w:rFonts w:hint="eastAsia" w:ascii="仿宋" w:hAnsi="仿宋" w:eastAsia="仿宋" w:cs="仿宋"/>
                <w:color w:val="000000"/>
                <w:sz w:val="28"/>
                <w:szCs w:val="28"/>
              </w:rPr>
              <w:t>3.合规检查机制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vAlign w:val="center"/>
          </w:tcPr>
          <w:p>
            <w:pPr>
              <w:pStyle w:val="11"/>
              <w:widowControl/>
              <w:snapToGrid w:val="0"/>
              <w:spacing w:beforeAutospacing="0" w:afterAutospacing="0"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内部控制</w:t>
            </w:r>
          </w:p>
        </w:tc>
        <w:tc>
          <w:tcPr>
            <w:tcW w:w="6139" w:type="dxa"/>
          </w:tcPr>
          <w:p>
            <w:pPr>
              <w:pStyle w:val="11"/>
              <w:widowControl/>
              <w:numPr>
                <w:ilvl w:val="0"/>
                <w:numId w:val="2"/>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内部控制基础概述</w:t>
            </w:r>
          </w:p>
          <w:p>
            <w:pPr>
              <w:pStyle w:val="11"/>
              <w:widowControl/>
              <w:snapToGrid w:val="0"/>
              <w:spacing w:beforeAutospacing="0" w:afterAutospacing="0" w:line="360" w:lineRule="auto"/>
              <w:jc w:val="both"/>
              <w:rPr>
                <w:rFonts w:ascii="仿宋" w:hAnsi="仿宋" w:eastAsia="仿宋" w:cs="仿宋"/>
                <w:b/>
                <w:bCs/>
                <w:color w:val="000000"/>
                <w:sz w:val="28"/>
                <w:szCs w:val="28"/>
              </w:rPr>
            </w:pPr>
            <w:r>
              <w:rPr>
                <w:rFonts w:hint="eastAsia" w:ascii="仿宋" w:hAnsi="仿宋" w:eastAsia="仿宋" w:cs="仿宋"/>
                <w:color w:val="000000"/>
                <w:sz w:val="28"/>
                <w:szCs w:val="28"/>
              </w:rPr>
              <w:t>2.企业内部控制的具体指引及应用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vAlign w:val="center"/>
          </w:tcPr>
          <w:p>
            <w:pPr>
              <w:pStyle w:val="11"/>
              <w:widowControl/>
              <w:snapToGrid w:val="0"/>
              <w:spacing w:beforeAutospacing="0" w:afterAutospacing="0"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全面风险管理</w:t>
            </w:r>
          </w:p>
        </w:tc>
        <w:tc>
          <w:tcPr>
            <w:tcW w:w="6139" w:type="dxa"/>
          </w:tcPr>
          <w:p>
            <w:pPr>
              <w:pStyle w:val="11"/>
              <w:widowControl/>
              <w:numPr>
                <w:ilvl w:val="0"/>
                <w:numId w:val="3"/>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风险与风险管理</w:t>
            </w:r>
          </w:p>
          <w:p>
            <w:pPr>
              <w:pStyle w:val="11"/>
              <w:widowControl/>
              <w:numPr>
                <w:ilvl w:val="0"/>
                <w:numId w:val="3"/>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企业风险评估</w:t>
            </w:r>
          </w:p>
          <w:p>
            <w:pPr>
              <w:pStyle w:val="11"/>
              <w:widowControl/>
              <w:numPr>
                <w:ilvl w:val="0"/>
                <w:numId w:val="3"/>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企业风险管理及应用</w:t>
            </w:r>
          </w:p>
          <w:p>
            <w:pPr>
              <w:pStyle w:val="11"/>
              <w:widowControl/>
              <w:snapToGrid w:val="0"/>
              <w:spacing w:beforeAutospacing="0" w:afterAutospacing="0" w:line="360" w:lineRule="auto"/>
              <w:jc w:val="both"/>
              <w:rPr>
                <w:rFonts w:ascii="仿宋" w:hAnsi="仿宋" w:eastAsia="仿宋" w:cs="仿宋"/>
                <w:b/>
                <w:bCs/>
                <w:color w:val="000000"/>
                <w:sz w:val="28"/>
                <w:szCs w:val="28"/>
              </w:rPr>
            </w:pPr>
            <w:r>
              <w:rPr>
                <w:rFonts w:hint="eastAsia" w:ascii="仿宋" w:hAnsi="仿宋" w:eastAsia="仿宋" w:cs="仿宋"/>
                <w:color w:val="000000"/>
                <w:sz w:val="28"/>
                <w:szCs w:val="28"/>
              </w:rPr>
              <w:t>4.企业全面风险管理综合案例分析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916" w:type="dxa"/>
            <w:vAlign w:val="center"/>
          </w:tcPr>
          <w:p>
            <w:pPr>
              <w:pStyle w:val="11"/>
              <w:widowControl/>
              <w:snapToGrid w:val="0"/>
              <w:spacing w:beforeAutospacing="0" w:afterAutospacing="0"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内部审计</w:t>
            </w:r>
          </w:p>
        </w:tc>
        <w:tc>
          <w:tcPr>
            <w:tcW w:w="6139" w:type="dxa"/>
          </w:tcPr>
          <w:p>
            <w:pPr>
              <w:pStyle w:val="11"/>
              <w:widowControl/>
              <w:numPr>
                <w:ilvl w:val="0"/>
                <w:numId w:val="4"/>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内部审计的本质</w:t>
            </w:r>
          </w:p>
          <w:p>
            <w:pPr>
              <w:pStyle w:val="11"/>
              <w:widowControl/>
              <w:numPr>
                <w:ilvl w:val="0"/>
                <w:numId w:val="4"/>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内部审计对内部控制的评价</w:t>
            </w:r>
          </w:p>
          <w:p>
            <w:pPr>
              <w:pStyle w:val="11"/>
              <w:widowControl/>
              <w:snapToGrid w:val="0"/>
              <w:spacing w:beforeAutospacing="0" w:afterAutospacing="0" w:line="360" w:lineRule="auto"/>
              <w:jc w:val="both"/>
              <w:rPr>
                <w:rFonts w:ascii="仿宋" w:hAnsi="仿宋" w:eastAsia="仿宋" w:cs="仿宋"/>
                <w:b/>
                <w:bCs/>
                <w:color w:val="000000"/>
                <w:sz w:val="28"/>
                <w:szCs w:val="28"/>
              </w:rPr>
            </w:pPr>
            <w:r>
              <w:rPr>
                <w:rFonts w:hint="eastAsia" w:ascii="仿宋" w:hAnsi="仿宋" w:eastAsia="仿宋" w:cs="仿宋"/>
                <w:color w:val="000000"/>
                <w:sz w:val="28"/>
                <w:szCs w:val="28"/>
              </w:rPr>
              <w:t>3.内部审计对企业风险管理的评价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2916" w:type="dxa"/>
            <w:vAlign w:val="center"/>
          </w:tcPr>
          <w:p>
            <w:pPr>
              <w:pStyle w:val="11"/>
              <w:widowControl/>
              <w:snapToGrid w:val="0"/>
              <w:spacing w:beforeAutospacing="0" w:afterAutospacing="0"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内部合规运营管理</w:t>
            </w:r>
          </w:p>
        </w:tc>
        <w:tc>
          <w:tcPr>
            <w:tcW w:w="6139" w:type="dxa"/>
          </w:tcPr>
          <w:p>
            <w:pPr>
              <w:pStyle w:val="11"/>
              <w:widowControl/>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1.如何认识企业内部的合规管理</w:t>
            </w:r>
          </w:p>
          <w:p>
            <w:pPr>
              <w:pStyle w:val="11"/>
              <w:widowControl/>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2.合规管理制度体系的构建</w:t>
            </w:r>
          </w:p>
          <w:p>
            <w:pPr>
              <w:pStyle w:val="11"/>
              <w:widowControl/>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3.合规管理制度设计与合规风险识别</w:t>
            </w:r>
          </w:p>
          <w:p>
            <w:pPr>
              <w:pStyle w:val="11"/>
              <w:widowControl/>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4.合规审核的精细化管理</w:t>
            </w:r>
          </w:p>
          <w:p>
            <w:pPr>
              <w:pStyle w:val="11"/>
              <w:widowControl/>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5.合规宣传与合规培训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916" w:type="dxa"/>
            <w:vAlign w:val="center"/>
          </w:tcPr>
          <w:p>
            <w:pPr>
              <w:pStyle w:val="11"/>
              <w:widowControl/>
              <w:snapToGrid w:val="0"/>
              <w:spacing w:beforeAutospacing="0" w:afterAutospacing="0"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合规管理体系构建</w:t>
            </w:r>
          </w:p>
        </w:tc>
        <w:tc>
          <w:tcPr>
            <w:tcW w:w="6139" w:type="dxa"/>
          </w:tcPr>
          <w:p>
            <w:pPr>
              <w:pStyle w:val="11"/>
              <w:widowControl/>
              <w:numPr>
                <w:ilvl w:val="0"/>
                <w:numId w:val="5"/>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合规管理体系基本构成</w:t>
            </w:r>
          </w:p>
          <w:p>
            <w:pPr>
              <w:pStyle w:val="11"/>
              <w:widowControl/>
              <w:numPr>
                <w:ilvl w:val="0"/>
                <w:numId w:val="5"/>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合规管理体系的构建</w:t>
            </w:r>
          </w:p>
          <w:p>
            <w:pPr>
              <w:pStyle w:val="11"/>
              <w:widowControl/>
              <w:numPr>
                <w:ilvl w:val="0"/>
                <w:numId w:val="5"/>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合规体系实例样态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916" w:type="dxa"/>
            <w:vAlign w:val="center"/>
          </w:tcPr>
          <w:p>
            <w:pPr>
              <w:pStyle w:val="11"/>
              <w:widowControl/>
              <w:snapToGrid w:val="0"/>
              <w:spacing w:beforeAutospacing="0" w:afterAutospacing="0"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合规评价与结果应用</w:t>
            </w:r>
          </w:p>
        </w:tc>
        <w:tc>
          <w:tcPr>
            <w:tcW w:w="6139" w:type="dxa"/>
          </w:tcPr>
          <w:p>
            <w:pPr>
              <w:pStyle w:val="11"/>
              <w:widowControl/>
              <w:numPr>
                <w:ilvl w:val="0"/>
                <w:numId w:val="6"/>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合规评价的实施与应用</w:t>
            </w:r>
          </w:p>
          <w:p>
            <w:pPr>
              <w:pStyle w:val="11"/>
              <w:widowControl/>
              <w:numPr>
                <w:ilvl w:val="0"/>
                <w:numId w:val="6"/>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合规考核机制与指标设定</w:t>
            </w:r>
          </w:p>
          <w:p>
            <w:pPr>
              <w:pStyle w:val="11"/>
              <w:widowControl/>
              <w:numPr>
                <w:ilvl w:val="0"/>
                <w:numId w:val="6"/>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合规行为的调查与处理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916" w:type="dxa"/>
            <w:vAlign w:val="center"/>
          </w:tcPr>
          <w:p>
            <w:pPr>
              <w:pStyle w:val="11"/>
              <w:widowControl/>
              <w:snapToGrid w:val="0"/>
              <w:spacing w:beforeAutospacing="0" w:afterAutospacing="0"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业务领域合规管理的综合案例分析</w:t>
            </w:r>
          </w:p>
        </w:tc>
        <w:tc>
          <w:tcPr>
            <w:tcW w:w="6139" w:type="dxa"/>
          </w:tcPr>
          <w:p>
            <w:pPr>
              <w:pStyle w:val="11"/>
              <w:widowControl/>
              <w:numPr>
                <w:ilvl w:val="0"/>
                <w:numId w:val="7"/>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合规相关定义与发展趋势</w:t>
            </w:r>
          </w:p>
          <w:p>
            <w:pPr>
              <w:pStyle w:val="11"/>
              <w:widowControl/>
              <w:numPr>
                <w:ilvl w:val="0"/>
                <w:numId w:val="7"/>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企业违规经营投资责任追究</w:t>
            </w:r>
          </w:p>
          <w:p>
            <w:pPr>
              <w:pStyle w:val="11"/>
              <w:widowControl/>
              <w:numPr>
                <w:ilvl w:val="0"/>
                <w:numId w:val="7"/>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企业合规管理领域重点与难点</w:t>
            </w:r>
          </w:p>
          <w:p>
            <w:pPr>
              <w:pStyle w:val="11"/>
              <w:widowControl/>
              <w:numPr>
                <w:ilvl w:val="0"/>
                <w:numId w:val="7"/>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企业综合业务管理合规管理案例分析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16" w:type="dxa"/>
            <w:vAlign w:val="center"/>
          </w:tcPr>
          <w:p>
            <w:pPr>
              <w:pStyle w:val="11"/>
              <w:widowControl/>
              <w:snapToGrid w:val="0"/>
              <w:spacing w:beforeAutospacing="0" w:afterAutospacing="0"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合规管理人才培养与文化建设</w:t>
            </w:r>
          </w:p>
        </w:tc>
        <w:tc>
          <w:tcPr>
            <w:tcW w:w="6139" w:type="dxa"/>
          </w:tcPr>
          <w:p>
            <w:pPr>
              <w:pStyle w:val="11"/>
              <w:widowControl/>
              <w:numPr>
                <w:ilvl w:val="0"/>
                <w:numId w:val="8"/>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企业合规管理人才培养</w:t>
            </w:r>
          </w:p>
          <w:p>
            <w:pPr>
              <w:pStyle w:val="11"/>
              <w:widowControl/>
              <w:numPr>
                <w:ilvl w:val="0"/>
                <w:numId w:val="8"/>
              </w:numPr>
              <w:snapToGrid w:val="0"/>
              <w:spacing w:beforeAutospacing="0" w:afterAutospacing="0" w:line="360" w:lineRule="auto"/>
              <w:jc w:val="both"/>
              <w:rPr>
                <w:rFonts w:ascii="仿宋" w:hAnsi="仿宋" w:eastAsia="仿宋" w:cs="仿宋"/>
                <w:color w:val="000000"/>
                <w:sz w:val="28"/>
                <w:szCs w:val="28"/>
              </w:rPr>
            </w:pPr>
            <w:r>
              <w:rPr>
                <w:rFonts w:hint="eastAsia" w:ascii="仿宋" w:hAnsi="仿宋" w:eastAsia="仿宋" w:cs="仿宋"/>
                <w:color w:val="000000"/>
                <w:sz w:val="28"/>
                <w:szCs w:val="28"/>
              </w:rPr>
              <w:t>企业合规文化建设</w:t>
            </w:r>
          </w:p>
        </w:tc>
      </w:tr>
    </w:tbl>
    <w:p>
      <w:pPr>
        <w:pStyle w:val="2"/>
        <w:ind w:left="0" w:firstLine="0" w:firstLineChars="0"/>
        <w:rPr>
          <w:rFonts w:hAnsi="仿宋" w:cs="仿宋"/>
          <w:b/>
          <w:bCs/>
          <w:sz w:val="28"/>
          <w:szCs w:val="28"/>
        </w:rPr>
      </w:pPr>
      <w:r>
        <w:rPr>
          <w:rFonts w:hint="eastAsia" w:hAnsi="仿宋" w:cs="仿宋"/>
          <w:b/>
          <w:bCs/>
          <w:sz w:val="28"/>
          <w:szCs w:val="28"/>
        </w:rPr>
        <w:t>四、项目优势</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（1）师资力量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师资力量是由行业企业类的权威专家和高校的专业研究专家组成，满足理论+实战的教学要求。</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（2）科学合理的课程设计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整个项目的课程体系设计都是依据国家新职业标准的要求，由权威专家和专业师资依据项目的需要共同研发和打造的，所以具有非常高的权威性和科学性。</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（3）提升学员的思维能力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通过对整个项目的学习和培训，不仅能获得项目知识，还能取得证书，最重要的是还能提升大家的战略思维和企业合规的风险管控及操作能力。</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（4）真实的企业案例教学</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整个项目的教学过程中，融入了真实的企业案例，突出案例实战教学的特色，可以使大家更好的掌握项目所需要的理论知识和扩展知识，达到学以致用的效果。</w:t>
      </w:r>
    </w:p>
    <w:p>
      <w:pPr>
        <w:spacing w:line="360" w:lineRule="auto"/>
        <w:ind w:firstLine="560" w:firstLineChars="200"/>
        <w:rPr>
          <w:rFonts w:ascii="仿宋" w:hAnsi="仿宋" w:eastAsia="仿宋" w:cs="仿宋"/>
          <w:b/>
          <w:bCs/>
          <w:sz w:val="28"/>
          <w:szCs w:val="28"/>
        </w:rPr>
      </w:pPr>
      <w:r>
        <w:rPr>
          <w:rFonts w:hint="eastAsia" w:ascii="仿宋" w:hAnsi="仿宋" w:eastAsia="仿宋" w:cs="仿宋"/>
          <w:b/>
          <w:bCs/>
          <w:sz w:val="28"/>
          <w:szCs w:val="28"/>
        </w:rPr>
        <w:t>五、培训时间</w:t>
      </w:r>
    </w:p>
    <w:p>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cs="宋体"/>
          <w:sz w:val="30"/>
          <w:szCs w:val="30"/>
        </w:rPr>
      </w:pPr>
      <w:r>
        <w:rPr>
          <w:rFonts w:hint="eastAsia" w:cs="宋体"/>
          <w:sz w:val="30"/>
          <w:szCs w:val="30"/>
        </w:rPr>
        <w:t>2022年09月16日—09月19日    西安市（16日全天报到）</w:t>
      </w:r>
    </w:p>
    <w:p>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cs="宋体"/>
          <w:sz w:val="30"/>
          <w:szCs w:val="30"/>
        </w:rPr>
      </w:pPr>
      <w:r>
        <w:rPr>
          <w:rFonts w:hint="eastAsia" w:cs="宋体"/>
          <w:sz w:val="30"/>
          <w:szCs w:val="30"/>
        </w:rPr>
        <w:t>2022年09月23日—09月26日    长沙市（23日全天报到）</w:t>
      </w:r>
    </w:p>
    <w:p>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cs="宋体"/>
          <w:sz w:val="30"/>
          <w:szCs w:val="30"/>
        </w:rPr>
      </w:pPr>
      <w:r>
        <w:rPr>
          <w:rFonts w:hint="eastAsia" w:cs="宋体"/>
          <w:sz w:val="30"/>
          <w:szCs w:val="30"/>
        </w:rPr>
        <w:t>2022年10月21日—10月24日    成都市（21日全天报到）</w:t>
      </w:r>
    </w:p>
    <w:p>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cs="宋体"/>
          <w:sz w:val="30"/>
          <w:szCs w:val="30"/>
        </w:rPr>
      </w:pPr>
      <w:r>
        <w:rPr>
          <w:rFonts w:hint="eastAsia" w:cs="宋体"/>
          <w:sz w:val="30"/>
          <w:szCs w:val="30"/>
        </w:rPr>
        <w:t>2022年11月04日—11月07日    合肥市（04日全天报到）</w:t>
      </w:r>
    </w:p>
    <w:p>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cs="宋体"/>
          <w:sz w:val="30"/>
          <w:szCs w:val="30"/>
        </w:rPr>
      </w:pPr>
      <w:r>
        <w:rPr>
          <w:rFonts w:hint="eastAsia" w:cs="宋体"/>
          <w:sz w:val="30"/>
          <w:szCs w:val="30"/>
        </w:rPr>
        <w:t>2022年11月18日—11月21日    重庆市（18日全天报到）</w:t>
      </w:r>
    </w:p>
    <w:p>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cs="宋体"/>
          <w:sz w:val="30"/>
          <w:szCs w:val="30"/>
        </w:rPr>
      </w:pPr>
      <w:r>
        <w:rPr>
          <w:rFonts w:hint="eastAsia" w:cs="宋体"/>
          <w:sz w:val="30"/>
          <w:szCs w:val="30"/>
        </w:rPr>
        <w:t>2022年12月02日—12月05日    武汉市（02日全天报到）</w:t>
      </w:r>
    </w:p>
    <w:p>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cs="宋体"/>
          <w:sz w:val="30"/>
          <w:szCs w:val="30"/>
        </w:rPr>
      </w:pPr>
      <w:r>
        <w:rPr>
          <w:rFonts w:hint="eastAsia" w:cs="宋体"/>
          <w:sz w:val="30"/>
          <w:szCs w:val="30"/>
        </w:rPr>
        <w:t>2022年12月16日—12月19日    昆明市（16日全天报到）</w:t>
      </w:r>
    </w:p>
    <w:p>
      <w:pPr>
        <w:snapToGrid w:val="0"/>
        <w:spacing w:line="360" w:lineRule="auto"/>
        <w:ind w:firstLine="600" w:firstLineChars="200"/>
        <w:rPr>
          <w:rFonts w:hint="eastAsia" w:cs="宋体"/>
          <w:sz w:val="30"/>
          <w:szCs w:val="30"/>
        </w:rPr>
      </w:pPr>
      <w:r>
        <w:rPr>
          <w:rFonts w:hint="eastAsia" w:cs="宋体"/>
          <w:sz w:val="30"/>
          <w:szCs w:val="30"/>
        </w:rPr>
        <w:t>2023年01月06日—01月09日    厦门市（06日全天报到）</w:t>
      </w:r>
    </w:p>
    <w:p>
      <w:pPr>
        <w:snapToGrid w:val="0"/>
        <w:spacing w:line="360" w:lineRule="auto"/>
        <w:rPr>
          <w:rFonts w:ascii="仿宋" w:hAnsi="仿宋" w:eastAsia="仿宋" w:cs="仿宋"/>
          <w:b/>
          <w:bCs/>
          <w:color w:val="000000" w:themeColor="text1"/>
          <w:spacing w:val="8"/>
          <w:sz w:val="28"/>
          <w:szCs w:val="28"/>
          <w14:textFill>
            <w14:solidFill>
              <w14:schemeClr w14:val="tx1"/>
            </w14:solidFill>
          </w14:textFill>
        </w:rPr>
      </w:pPr>
      <w:r>
        <w:rPr>
          <w:rFonts w:hint="eastAsia" w:ascii="仿宋" w:hAnsi="仿宋" w:eastAsia="仿宋" w:cs="仿宋"/>
          <w:b/>
          <w:bCs/>
          <w:color w:val="000000" w:themeColor="text1"/>
          <w:spacing w:val="8"/>
          <w:sz w:val="28"/>
          <w:szCs w:val="28"/>
          <w14:textFill>
            <w14:solidFill>
              <w14:schemeClr w14:val="tx1"/>
            </w14:solidFill>
          </w14:textFill>
        </w:rPr>
        <w:t>备注：根据疫情影响每个月采取线上线下相结合的授课形式。</w:t>
      </w:r>
    </w:p>
    <w:p>
      <w:pPr>
        <w:spacing w:line="360" w:lineRule="auto"/>
        <w:ind w:firstLine="560" w:firstLineChars="200"/>
        <w:rPr>
          <w:rFonts w:ascii="仿宋" w:hAnsi="仿宋" w:eastAsia="仿宋" w:cs="仿宋"/>
          <w:b/>
          <w:bCs/>
          <w:sz w:val="28"/>
          <w:szCs w:val="28"/>
        </w:rPr>
      </w:pPr>
      <w:r>
        <w:rPr>
          <w:rFonts w:hint="eastAsia" w:ascii="仿宋" w:hAnsi="仿宋" w:eastAsia="仿宋" w:cs="仿宋"/>
          <w:b/>
          <w:bCs/>
          <w:sz w:val="28"/>
          <w:szCs w:val="28"/>
        </w:rPr>
        <w:t>六、证书颁发</w:t>
      </w:r>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完成课程培训学习，由职业经理研究中心颁发《企业</w:t>
      </w:r>
      <w:r>
        <w:rPr>
          <w:rFonts w:ascii="仿宋" w:hAnsi="仿宋" w:eastAsia="仿宋" w:cs="仿宋"/>
          <w:sz w:val="28"/>
          <w:szCs w:val="28"/>
        </w:rPr>
        <w:t>改革与管理创新培训班</w:t>
      </w:r>
      <w:r>
        <w:rPr>
          <w:rFonts w:hint="eastAsia" w:ascii="仿宋" w:hAnsi="仿宋" w:eastAsia="仿宋" w:cs="仿宋"/>
          <w:sz w:val="28"/>
          <w:szCs w:val="28"/>
        </w:rPr>
        <w:t>（专题班）——企业合规经营与责任追究专业人才培训班结业证书》。</w:t>
      </w:r>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请学员自备身份证复印件、最高学历证明复印件扫描版及二寸免冠彩色蓝底照片电子版。</w:t>
      </w:r>
    </w:p>
    <w:p>
      <w:pPr>
        <w:numPr>
          <w:ilvl w:val="0"/>
          <w:numId w:val="9"/>
        </w:numPr>
        <w:spacing w:line="360" w:lineRule="auto"/>
        <w:ind w:firstLine="560" w:firstLineChars="200"/>
        <w:rPr>
          <w:rFonts w:ascii="仿宋" w:hAnsi="仿宋" w:eastAsia="仿宋" w:cs="仿宋"/>
          <w:b/>
          <w:bCs/>
          <w:sz w:val="28"/>
          <w:szCs w:val="28"/>
        </w:rPr>
      </w:pPr>
      <w:r>
        <w:rPr>
          <w:rFonts w:hint="eastAsia" w:ascii="仿宋" w:hAnsi="仿宋" w:eastAsia="仿宋" w:cs="仿宋"/>
          <w:b/>
          <w:bCs/>
          <w:sz w:val="28"/>
          <w:szCs w:val="28"/>
        </w:rPr>
        <w:t>收费标准</w:t>
      </w:r>
    </w:p>
    <w:p>
      <w:pPr>
        <w:adjustRightInd w:val="0"/>
        <w:snapToGrid w:val="0"/>
        <w:spacing w:line="540" w:lineRule="exact"/>
        <w:ind w:firstLine="632" w:firstLineChars="200"/>
        <w:rPr>
          <w:rFonts w:ascii="Times New Roman" w:hAnsi="Times New Roman" w:eastAsia="仿宋_GB2312"/>
          <w:spacing w:val="8"/>
          <w:sz w:val="30"/>
          <w:szCs w:val="30"/>
        </w:rPr>
      </w:pPr>
      <w:r>
        <w:rPr>
          <w:rFonts w:ascii="Times New Roman" w:hAnsi="Times New Roman" w:eastAsia="仿宋_GB2312"/>
          <w:spacing w:val="8"/>
          <w:sz w:val="30"/>
          <w:szCs w:val="30"/>
        </w:rPr>
        <w:t xml:space="preserve">A. </w:t>
      </w:r>
      <w:r>
        <w:rPr>
          <w:rFonts w:hint="eastAsia" w:ascii="Times New Roman" w:hAnsi="Times New Roman" w:eastAsia="仿宋_GB2312"/>
          <w:spacing w:val="8"/>
          <w:sz w:val="30"/>
          <w:szCs w:val="30"/>
        </w:rPr>
        <w:t>48</w:t>
      </w:r>
      <w:r>
        <w:rPr>
          <w:rFonts w:ascii="Times New Roman" w:hAnsi="Times New Roman" w:eastAsia="仿宋_GB2312"/>
          <w:spacing w:val="8"/>
          <w:sz w:val="30"/>
          <w:szCs w:val="30"/>
        </w:rPr>
        <w:t>00元/人（含培训、资料、电子课件、场地及培训期间午餐），住宿统一安排，费用自理。</w:t>
      </w:r>
    </w:p>
    <w:p>
      <w:pPr>
        <w:adjustRightInd w:val="0"/>
        <w:snapToGrid w:val="0"/>
        <w:spacing w:line="540" w:lineRule="exact"/>
        <w:ind w:firstLine="632" w:firstLineChars="200"/>
        <w:rPr>
          <w:rFonts w:ascii="Times New Roman" w:hAnsi="Times New Roman" w:eastAsia="仿宋_GB2312"/>
          <w:spacing w:val="8"/>
          <w:sz w:val="30"/>
          <w:szCs w:val="30"/>
        </w:rPr>
      </w:pPr>
      <w:r>
        <w:rPr>
          <w:rFonts w:ascii="Times New Roman" w:hAnsi="Times New Roman" w:eastAsia="仿宋_GB2312"/>
          <w:spacing w:val="8"/>
          <w:sz w:val="30"/>
          <w:szCs w:val="30"/>
        </w:rPr>
        <w:t>B.</w:t>
      </w:r>
      <w:r>
        <w:rPr>
          <w:rFonts w:hint="eastAsia" w:ascii="Times New Roman" w:hAnsi="Times New Roman" w:eastAsia="仿宋_GB2312"/>
          <w:spacing w:val="8"/>
          <w:sz w:val="30"/>
          <w:szCs w:val="30"/>
        </w:rPr>
        <w:t>68</w:t>
      </w:r>
      <w:r>
        <w:rPr>
          <w:rFonts w:ascii="Times New Roman" w:hAnsi="Times New Roman" w:eastAsia="仿宋_GB2312"/>
          <w:spacing w:val="8"/>
          <w:sz w:val="30"/>
          <w:szCs w:val="30"/>
        </w:rPr>
        <w:t>00元/人（含培训、资料、电子课件、场地、证书申报及培训期间午餐），住宿统一安排，费用自理。</w:t>
      </w:r>
      <w:r>
        <w:rPr>
          <w:rFonts w:hint="eastAsia" w:ascii="Times New Roman" w:hAnsi="Times New Roman" w:eastAsia="仿宋_GB2312"/>
          <w:spacing w:val="8"/>
          <w:sz w:val="30"/>
          <w:szCs w:val="30"/>
        </w:rPr>
        <w:t>申报证书</w:t>
      </w:r>
      <w:r>
        <w:rPr>
          <w:rFonts w:ascii="Times New Roman" w:hAnsi="Times New Roman" w:eastAsia="仿宋_GB2312"/>
          <w:spacing w:val="8"/>
          <w:sz w:val="30"/>
          <w:szCs w:val="30"/>
        </w:rPr>
        <w:t>需提供二寸白底免冠彩色照片（电子版）、身份证（复印件）、学历证书（复印件）各一份。</w:t>
      </w:r>
    </w:p>
    <w:p>
      <w:pPr>
        <w:spacing w:line="360" w:lineRule="auto"/>
        <w:ind w:firstLine="560"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凡报名参加线上学习课程的学员，可免费参加相关主题线下课程一次。</w:t>
      </w:r>
    </w:p>
    <w:p>
      <w:pPr>
        <w:numPr>
          <w:ilvl w:val="0"/>
          <w:numId w:val="9"/>
        </w:numPr>
        <w:spacing w:line="360" w:lineRule="auto"/>
        <w:ind w:firstLine="560" w:firstLineChars="200"/>
        <w:rPr>
          <w:rFonts w:ascii="仿宋" w:hAnsi="仿宋" w:eastAsia="仿宋" w:cs="仿宋"/>
          <w:b/>
          <w:bCs/>
          <w:sz w:val="28"/>
          <w:szCs w:val="28"/>
        </w:rPr>
      </w:pPr>
      <w:r>
        <w:rPr>
          <w:rFonts w:hint="eastAsia" w:ascii="仿宋" w:hAnsi="仿宋" w:eastAsia="仿宋" w:cs="仿宋"/>
          <w:b/>
          <w:bCs/>
          <w:sz w:val="28"/>
          <w:szCs w:val="28"/>
        </w:rPr>
        <w:t>联系方式</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 xml:space="preserve">报名负责人：聂主任18211071700（微信）   </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 xml:space="preserve">电  话：010-87697580      邮    箱：zqgphwz@126.com  </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 xml:space="preserve">qq咨询：3177524020     网址查询：http://www.zqgpchina.cn/ </w:t>
      </w: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spacing w:line="400" w:lineRule="exact"/>
        <w:jc w:val="center"/>
        <w:textAlignment w:val="baseline"/>
        <w:rPr>
          <w:rFonts w:hint="eastAsia" w:ascii="仿宋" w:hAnsi="仿宋" w:eastAsia="仿宋" w:cs="仿宋_GB2312"/>
          <w:b/>
          <w:color w:val="2F2F2F"/>
          <w:sz w:val="32"/>
          <w:szCs w:val="32"/>
          <w:shd w:val="clear" w:color="auto" w:fill="FFFFFF"/>
        </w:rPr>
      </w:pPr>
    </w:p>
    <w:p>
      <w:pPr>
        <w:spacing w:line="400" w:lineRule="exact"/>
        <w:jc w:val="center"/>
        <w:textAlignment w:val="baseline"/>
        <w:rPr>
          <w:rFonts w:ascii="宋体" w:hAnsi="宋体" w:eastAsia="宋体" w:cs="宋体"/>
          <w:sz w:val="28"/>
          <w:szCs w:val="28"/>
        </w:rPr>
      </w:pPr>
      <w:r>
        <w:rPr>
          <w:rFonts w:hint="eastAsia" w:ascii="仿宋" w:hAnsi="仿宋" w:eastAsia="仿宋" w:cs="仿宋_GB2312"/>
          <w:b/>
          <w:color w:val="2F2F2F"/>
          <w:sz w:val="32"/>
          <w:szCs w:val="32"/>
          <w:shd w:val="clear" w:color="auto" w:fill="FFFFFF"/>
        </w:rPr>
        <w:t>附件：</w:t>
      </w:r>
      <w:r>
        <w:rPr>
          <w:rFonts w:hint="eastAsia" w:ascii="仿宋" w:hAnsi="仿宋" w:eastAsia="仿宋" w:cs="仿宋"/>
          <w:b/>
          <w:bCs/>
          <w:color w:val="000000"/>
          <w:kern w:val="0"/>
          <w:sz w:val="32"/>
          <w:szCs w:val="32"/>
        </w:rPr>
        <w:t>企业</w:t>
      </w:r>
      <w:r>
        <w:rPr>
          <w:rFonts w:ascii="仿宋" w:hAnsi="仿宋" w:eastAsia="仿宋" w:cs="仿宋"/>
          <w:b/>
          <w:bCs/>
          <w:color w:val="000000"/>
          <w:kern w:val="0"/>
          <w:sz w:val="32"/>
          <w:szCs w:val="32"/>
        </w:rPr>
        <w:t>改革与管理创新培训班</w:t>
      </w:r>
      <w:r>
        <w:rPr>
          <w:rFonts w:hint="eastAsia" w:ascii="仿宋" w:hAnsi="仿宋" w:eastAsia="仿宋" w:cs="仿宋"/>
          <w:b/>
          <w:bCs/>
          <w:color w:val="000000"/>
          <w:kern w:val="0"/>
          <w:sz w:val="32"/>
          <w:szCs w:val="32"/>
        </w:rPr>
        <w:t>（专题班）——企业合规经营与责任追究专业人才培训班报名表</w:t>
      </w:r>
    </w:p>
    <w:p>
      <w:pPr>
        <w:spacing w:line="400" w:lineRule="exact"/>
        <w:jc w:val="center"/>
        <w:textAlignment w:val="baseline"/>
        <w:rPr>
          <w:rFonts w:ascii="仿宋" w:hAnsi="仿宋" w:eastAsia="仿宋" w:cs="仿宋"/>
          <w:b/>
          <w:bCs/>
          <w:color w:val="000000"/>
          <w:kern w:val="0"/>
          <w:sz w:val="32"/>
          <w:szCs w:val="32"/>
        </w:rPr>
      </w:pPr>
    </w:p>
    <w:tbl>
      <w:tblPr>
        <w:tblStyle w:val="13"/>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性 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bookmarkStart w:id="0" w:name="_GoBack"/>
            <w:bookmarkEnd w:id="0"/>
            <w:r>
              <w:rPr>
                <w:rFonts w:hint="eastAsia" w:ascii="仿宋" w:hAnsi="仿宋" w:eastAsia="仿宋" w:cs="仿宋"/>
                <w:bCs/>
                <w:color w:val="000000" w:themeColor="text1"/>
                <w:sz w:val="24"/>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住宿标准</w:t>
            </w:r>
          </w:p>
        </w:tc>
        <w:tc>
          <w:tcPr>
            <w:tcW w:w="8159" w:type="dxa"/>
            <w:gridSpan w:val="5"/>
            <w:vAlign w:val="center"/>
          </w:tcPr>
          <w:p>
            <w:pPr>
              <w:tabs>
                <w:tab w:val="left" w:pos="567"/>
                <w:tab w:val="left" w:pos="709"/>
              </w:tabs>
              <w:spacing w:line="300" w:lineRule="exact"/>
              <w:ind w:firstLine="960" w:firstLineChars="4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《企业</w:t>
            </w:r>
            <w:r>
              <w:rPr>
                <w:rFonts w:ascii="仿宋" w:hAnsi="仿宋" w:eastAsia="仿宋" w:cs="仿宋"/>
                <w:bCs/>
                <w:color w:val="000000" w:themeColor="text1"/>
                <w:sz w:val="24"/>
                <w14:textFill>
                  <w14:solidFill>
                    <w14:schemeClr w14:val="tx1"/>
                  </w14:solidFill>
                </w14:textFill>
              </w:rPr>
              <w:t>改革与管理创新培训班</w:t>
            </w:r>
            <w:r>
              <w:rPr>
                <w:rFonts w:hint="eastAsia" w:ascii="仿宋" w:hAnsi="仿宋" w:eastAsia="仿宋" w:cs="仿宋"/>
                <w:bCs/>
                <w:color w:val="000000" w:themeColor="text1"/>
                <w:sz w:val="24"/>
                <w14:textFill>
                  <w14:solidFill>
                    <w14:schemeClr w14:val="tx1"/>
                  </w14:solidFill>
                </w14:textFill>
              </w:rPr>
              <w:t>（专题班）——企业合规经营与责任追究专业人才培训班结业</w:t>
            </w:r>
            <w:r>
              <w:rPr>
                <w:rFonts w:ascii="仿宋" w:hAnsi="仿宋" w:eastAsia="仿宋" w:cs="仿宋"/>
                <w:bCs/>
                <w:color w:val="000000" w:themeColor="text1"/>
                <w:sz w:val="24"/>
                <w14:textFill>
                  <w14:solidFill>
                    <w14:schemeClr w14:val="tx1"/>
                  </w14:solidFill>
                </w14:textFill>
              </w:rPr>
              <w:t>证书</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付款方式</w:t>
            </w:r>
          </w:p>
        </w:tc>
        <w:tc>
          <w:tcPr>
            <w:tcW w:w="4099" w:type="dxa"/>
            <w:gridSpan w:val="3"/>
            <w:vAlign w:val="center"/>
          </w:tcPr>
          <w:p>
            <w:pPr>
              <w:tabs>
                <w:tab w:val="left" w:pos="567"/>
                <w:tab w:val="left" w:pos="709"/>
              </w:tabs>
              <w:spacing w:line="300" w:lineRule="exact"/>
              <w:ind w:firstLine="960" w:firstLineChars="4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转 账</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现场</w:t>
            </w:r>
            <w:r>
              <w:rPr>
                <w:rFonts w:hint="eastAsia" w:ascii="仿宋" w:hAnsi="仿宋" w:eastAsia="仿宋" w:cs="仿宋"/>
                <w:bCs/>
                <w:color w:val="000000" w:themeColor="text1"/>
                <w:sz w:val="24"/>
                <w14:textFill>
                  <w14:solidFill>
                    <w14:schemeClr w14:val="tx1"/>
                  </w14:solidFill>
                </w14:textFill>
              </w:rPr>
              <w:sym w:font="Wingdings 2" w:char="00A3"/>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收款信息</w:t>
            </w:r>
          </w:p>
        </w:tc>
        <w:tc>
          <w:tcPr>
            <w:tcW w:w="8159" w:type="dxa"/>
            <w:gridSpan w:val="5"/>
          </w:tcPr>
          <w:p>
            <w:pPr>
              <w:widowControl/>
              <w:rPr>
                <w:rStyle w:val="16"/>
                <w:rFonts w:ascii="仿宋" w:hAnsi="仿宋" w:eastAsia="仿宋" w:cs="仿宋"/>
                <w:b w:val="0"/>
                <w:color w:val="000000"/>
                <w:sz w:val="24"/>
                <w:lang w:val="zh-CN"/>
              </w:rPr>
            </w:pPr>
            <w:r>
              <w:rPr>
                <w:rStyle w:val="16"/>
                <w:rFonts w:hint="eastAsia" w:ascii="仿宋" w:hAnsi="仿宋" w:eastAsia="仿宋" w:cs="仿宋"/>
                <w:b w:val="0"/>
                <w:color w:val="000000"/>
                <w:sz w:val="24"/>
              </w:rPr>
              <w:t>开户</w:t>
            </w:r>
            <w:r>
              <w:rPr>
                <w:rStyle w:val="16"/>
                <w:rFonts w:hint="eastAsia" w:ascii="仿宋" w:hAnsi="仿宋" w:eastAsia="仿宋" w:cs="仿宋"/>
                <w:b w:val="0"/>
                <w:color w:val="000000"/>
                <w:sz w:val="24"/>
                <w:lang w:val="zh-CN"/>
              </w:rPr>
              <w:t xml:space="preserve">名称： 北京中建科信管理咨询集团有限公司 </w:t>
            </w:r>
          </w:p>
          <w:p>
            <w:pPr>
              <w:widowControl/>
              <w:rPr>
                <w:rStyle w:val="16"/>
                <w:rFonts w:ascii="仿宋" w:hAnsi="仿宋" w:eastAsia="仿宋" w:cs="仿宋"/>
                <w:b w:val="0"/>
                <w:color w:val="000000"/>
                <w:sz w:val="24"/>
                <w:lang w:val="zh-CN"/>
              </w:rPr>
            </w:pPr>
            <w:r>
              <w:rPr>
                <w:rStyle w:val="16"/>
                <w:rFonts w:hint="eastAsia" w:ascii="仿宋" w:hAnsi="仿宋" w:eastAsia="仿宋" w:cs="仿宋"/>
                <w:b w:val="0"/>
                <w:color w:val="000000"/>
                <w:sz w:val="24"/>
                <w:lang w:val="zh-CN"/>
              </w:rPr>
              <w:t xml:space="preserve">开 户 行： 中国工商银行股份有限公司北京半壁店支行 </w:t>
            </w:r>
          </w:p>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Style w:val="16"/>
                <w:rFonts w:hint="eastAsia" w:ascii="仿宋" w:hAnsi="仿宋" w:eastAsia="仿宋" w:cs="仿宋"/>
                <w:b w:val="0"/>
                <w:color w:val="000000"/>
                <w:sz w:val="24"/>
                <w:lang w:val="zh-CN"/>
              </w:rPr>
              <w:t>账    号： 0200247009200068235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480" w:firstLineChars="2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以上课程内容均可赴企业内部培训，依据企业需求，量身定制课程。</w:t>
            </w:r>
          </w:p>
        </w:tc>
        <w:tc>
          <w:tcPr>
            <w:tcW w:w="4060" w:type="dxa"/>
            <w:gridSpan w:val="2"/>
            <w:vAlign w:val="center"/>
          </w:tcPr>
          <w:p>
            <w:pPr>
              <w:tabs>
                <w:tab w:val="left" w:pos="567"/>
                <w:tab w:val="left" w:pos="709"/>
              </w:tabs>
              <w:spacing w:line="300" w:lineRule="exact"/>
              <w:ind w:firstLine="480" w:firstLineChars="2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单位印章</w:t>
            </w:r>
          </w:p>
          <w:p>
            <w:pPr>
              <w:tabs>
                <w:tab w:val="left" w:pos="567"/>
                <w:tab w:val="left" w:pos="709"/>
              </w:tabs>
              <w:spacing w:line="300" w:lineRule="exact"/>
              <w:ind w:firstLine="240" w:firstLineChars="1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2022年  月  日</w:t>
            </w:r>
          </w:p>
        </w:tc>
      </w:tr>
    </w:tbl>
    <w:p>
      <w:pPr>
        <w:spacing w:line="42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报名负责人：聂主任18211071700（微信）   </w:t>
      </w:r>
    </w:p>
    <w:p>
      <w:pPr>
        <w:spacing w:line="42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电  话：010-87697580      邮    箱：zqgphwz@126.com  </w:t>
      </w:r>
    </w:p>
    <w:p>
      <w:pPr>
        <w:spacing w:line="420" w:lineRule="exact"/>
        <w:ind w:firstLine="560" w:firstLineChars="200"/>
        <w:rPr>
          <w:rFonts w:hint="eastAsia" w:ascii="仿宋" w:hAnsi="仿宋" w:eastAsia="仿宋" w:cs="仿宋"/>
          <w:b/>
          <w:bCs/>
          <w:color w:val="000000"/>
          <w:sz w:val="28"/>
          <w:szCs w:val="28"/>
        </w:rPr>
      </w:pPr>
      <w:r>
        <w:rPr>
          <w:rFonts w:hint="eastAsia" w:ascii="仿宋" w:hAnsi="仿宋" w:eastAsia="仿宋" w:cs="仿宋"/>
          <w:bCs/>
          <w:color w:val="000000"/>
          <w:sz w:val="28"/>
          <w:szCs w:val="28"/>
        </w:rPr>
        <w:t xml:space="preserve">qq咨询：3177524020       网址查询：http://www.zqgpchina.cn/ </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193027"/>
    <w:multiLevelType w:val="singleLevel"/>
    <w:tmpl w:val="85193027"/>
    <w:lvl w:ilvl="0" w:tentative="0">
      <w:start w:val="1"/>
      <w:numFmt w:val="decimal"/>
      <w:lvlText w:val="%1."/>
      <w:lvlJc w:val="left"/>
      <w:pPr>
        <w:tabs>
          <w:tab w:val="left" w:pos="312"/>
        </w:tabs>
      </w:pPr>
    </w:lvl>
  </w:abstractNum>
  <w:abstractNum w:abstractNumId="1">
    <w:nsid w:val="A270AA51"/>
    <w:multiLevelType w:val="singleLevel"/>
    <w:tmpl w:val="A270AA51"/>
    <w:lvl w:ilvl="0" w:tentative="0">
      <w:start w:val="1"/>
      <w:numFmt w:val="decimal"/>
      <w:lvlText w:val="%1."/>
      <w:lvlJc w:val="left"/>
      <w:pPr>
        <w:tabs>
          <w:tab w:val="left" w:pos="312"/>
        </w:tabs>
      </w:pPr>
    </w:lvl>
  </w:abstractNum>
  <w:abstractNum w:abstractNumId="2">
    <w:nsid w:val="B8CB9AC5"/>
    <w:multiLevelType w:val="singleLevel"/>
    <w:tmpl w:val="B8CB9AC5"/>
    <w:lvl w:ilvl="0" w:tentative="0">
      <w:start w:val="1"/>
      <w:numFmt w:val="decimal"/>
      <w:lvlText w:val="%1."/>
      <w:lvlJc w:val="left"/>
      <w:pPr>
        <w:tabs>
          <w:tab w:val="left" w:pos="312"/>
        </w:tabs>
      </w:pPr>
    </w:lvl>
  </w:abstractNum>
  <w:abstractNum w:abstractNumId="3">
    <w:nsid w:val="E273F521"/>
    <w:multiLevelType w:val="singleLevel"/>
    <w:tmpl w:val="E273F521"/>
    <w:lvl w:ilvl="0" w:tentative="0">
      <w:start w:val="1"/>
      <w:numFmt w:val="decimal"/>
      <w:lvlText w:val="%1."/>
      <w:lvlJc w:val="left"/>
      <w:pPr>
        <w:tabs>
          <w:tab w:val="left" w:pos="312"/>
        </w:tabs>
      </w:pPr>
    </w:lvl>
  </w:abstractNum>
  <w:abstractNum w:abstractNumId="4">
    <w:nsid w:val="53430336"/>
    <w:multiLevelType w:val="singleLevel"/>
    <w:tmpl w:val="53430336"/>
    <w:lvl w:ilvl="0" w:tentative="0">
      <w:start w:val="1"/>
      <w:numFmt w:val="decimal"/>
      <w:lvlText w:val="%1."/>
      <w:lvlJc w:val="left"/>
      <w:pPr>
        <w:tabs>
          <w:tab w:val="left" w:pos="312"/>
        </w:tabs>
      </w:pPr>
    </w:lvl>
  </w:abstractNum>
  <w:abstractNum w:abstractNumId="5">
    <w:nsid w:val="5950AAEB"/>
    <w:multiLevelType w:val="singleLevel"/>
    <w:tmpl w:val="5950AAEB"/>
    <w:lvl w:ilvl="0" w:tentative="0">
      <w:start w:val="1"/>
      <w:numFmt w:val="decimal"/>
      <w:lvlText w:val="%1."/>
      <w:lvlJc w:val="left"/>
      <w:pPr>
        <w:tabs>
          <w:tab w:val="left" w:pos="312"/>
        </w:tabs>
      </w:pPr>
    </w:lvl>
  </w:abstractNum>
  <w:abstractNum w:abstractNumId="6">
    <w:nsid w:val="59F607E7"/>
    <w:multiLevelType w:val="singleLevel"/>
    <w:tmpl w:val="59F607E7"/>
    <w:lvl w:ilvl="0" w:tentative="0">
      <w:start w:val="1"/>
      <w:numFmt w:val="decimal"/>
      <w:lvlText w:val="%1."/>
      <w:lvlJc w:val="left"/>
      <w:pPr>
        <w:tabs>
          <w:tab w:val="left" w:pos="312"/>
        </w:tabs>
      </w:pPr>
    </w:lvl>
  </w:abstractNum>
  <w:abstractNum w:abstractNumId="7">
    <w:nsid w:val="5CF2F09C"/>
    <w:multiLevelType w:val="singleLevel"/>
    <w:tmpl w:val="5CF2F09C"/>
    <w:lvl w:ilvl="0" w:tentative="0">
      <w:start w:val="1"/>
      <w:numFmt w:val="decimal"/>
      <w:lvlText w:val="%1."/>
      <w:lvlJc w:val="left"/>
      <w:pPr>
        <w:tabs>
          <w:tab w:val="left" w:pos="312"/>
        </w:tabs>
      </w:pPr>
    </w:lvl>
  </w:abstractNum>
  <w:abstractNum w:abstractNumId="8">
    <w:nsid w:val="7B066C6C"/>
    <w:multiLevelType w:val="singleLevel"/>
    <w:tmpl w:val="7B066C6C"/>
    <w:lvl w:ilvl="0" w:tentative="0">
      <w:start w:val="7"/>
      <w:numFmt w:val="chineseCounting"/>
      <w:suff w:val="nothing"/>
      <w:lvlText w:val="%1、"/>
      <w:lvlJc w:val="left"/>
      <w:rPr>
        <w:rFonts w:hint="eastAsia"/>
      </w:rPr>
    </w:lvl>
  </w:abstractNum>
  <w:num w:numId="1">
    <w:abstractNumId w:val="1"/>
  </w:num>
  <w:num w:numId="2">
    <w:abstractNumId w:val="7"/>
  </w:num>
  <w:num w:numId="3">
    <w:abstractNumId w:val="4"/>
  </w:num>
  <w:num w:numId="4">
    <w:abstractNumId w:val="0"/>
  </w:num>
  <w:num w:numId="5">
    <w:abstractNumId w:val="5"/>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TFkODdkZTRjNTI5MmQ5ZTc4N2MxOTFlY2Y5NTEifQ=="/>
  </w:docVars>
  <w:rsids>
    <w:rsidRoot w:val="44E9335A"/>
    <w:rsid w:val="00126710"/>
    <w:rsid w:val="002C39CE"/>
    <w:rsid w:val="00360560"/>
    <w:rsid w:val="00395C35"/>
    <w:rsid w:val="003A6547"/>
    <w:rsid w:val="003C6F66"/>
    <w:rsid w:val="003D5947"/>
    <w:rsid w:val="0040499C"/>
    <w:rsid w:val="00415D1C"/>
    <w:rsid w:val="00481D36"/>
    <w:rsid w:val="00526BDC"/>
    <w:rsid w:val="005D6205"/>
    <w:rsid w:val="006355AD"/>
    <w:rsid w:val="0082157E"/>
    <w:rsid w:val="008F2C45"/>
    <w:rsid w:val="009B18AB"/>
    <w:rsid w:val="00A206A9"/>
    <w:rsid w:val="00BD35DD"/>
    <w:rsid w:val="00EC4B55"/>
    <w:rsid w:val="00FC06C5"/>
    <w:rsid w:val="00FD215A"/>
    <w:rsid w:val="00FE4497"/>
    <w:rsid w:val="01060441"/>
    <w:rsid w:val="01421494"/>
    <w:rsid w:val="01A15D73"/>
    <w:rsid w:val="01CF0DA4"/>
    <w:rsid w:val="029619A6"/>
    <w:rsid w:val="02E90150"/>
    <w:rsid w:val="039F1C20"/>
    <w:rsid w:val="04550B80"/>
    <w:rsid w:val="047A710A"/>
    <w:rsid w:val="04C16BC8"/>
    <w:rsid w:val="04FA09BD"/>
    <w:rsid w:val="050776D8"/>
    <w:rsid w:val="05171D67"/>
    <w:rsid w:val="054D205E"/>
    <w:rsid w:val="05A46876"/>
    <w:rsid w:val="05F2495B"/>
    <w:rsid w:val="07112A5D"/>
    <w:rsid w:val="07A53C3E"/>
    <w:rsid w:val="07B9102D"/>
    <w:rsid w:val="08926BCB"/>
    <w:rsid w:val="08A94F8B"/>
    <w:rsid w:val="08DA409C"/>
    <w:rsid w:val="08FD6CB2"/>
    <w:rsid w:val="09667FA0"/>
    <w:rsid w:val="099D6A32"/>
    <w:rsid w:val="09F61F78"/>
    <w:rsid w:val="0A12645E"/>
    <w:rsid w:val="0A173A74"/>
    <w:rsid w:val="0A551239"/>
    <w:rsid w:val="0A8F6B0C"/>
    <w:rsid w:val="0A9902CD"/>
    <w:rsid w:val="0AC97C17"/>
    <w:rsid w:val="0AD60CDF"/>
    <w:rsid w:val="0C0B2673"/>
    <w:rsid w:val="0C227AE8"/>
    <w:rsid w:val="0C2C5409"/>
    <w:rsid w:val="0C4061DF"/>
    <w:rsid w:val="0DE678B2"/>
    <w:rsid w:val="0E1972AF"/>
    <w:rsid w:val="0E4233E9"/>
    <w:rsid w:val="0EAF1C6A"/>
    <w:rsid w:val="0EB03625"/>
    <w:rsid w:val="0F0F62D9"/>
    <w:rsid w:val="0F847A0B"/>
    <w:rsid w:val="0FF64005"/>
    <w:rsid w:val="10A4297D"/>
    <w:rsid w:val="10E076D3"/>
    <w:rsid w:val="11930F72"/>
    <w:rsid w:val="11D126FB"/>
    <w:rsid w:val="11DD5DA6"/>
    <w:rsid w:val="123D3247"/>
    <w:rsid w:val="13832745"/>
    <w:rsid w:val="13A077A0"/>
    <w:rsid w:val="159D1048"/>
    <w:rsid w:val="1664395B"/>
    <w:rsid w:val="176149D8"/>
    <w:rsid w:val="179A5EE0"/>
    <w:rsid w:val="17D83BEE"/>
    <w:rsid w:val="188D15CA"/>
    <w:rsid w:val="18DA1F8B"/>
    <w:rsid w:val="190351F6"/>
    <w:rsid w:val="19673843"/>
    <w:rsid w:val="197C398C"/>
    <w:rsid w:val="19953C6C"/>
    <w:rsid w:val="199C3ED4"/>
    <w:rsid w:val="19AD5418"/>
    <w:rsid w:val="1B0E2D7B"/>
    <w:rsid w:val="1BCB7717"/>
    <w:rsid w:val="1C392D6D"/>
    <w:rsid w:val="1C3E4B02"/>
    <w:rsid w:val="1C7F404A"/>
    <w:rsid w:val="1DC2259A"/>
    <w:rsid w:val="1DC70D9B"/>
    <w:rsid w:val="1F464796"/>
    <w:rsid w:val="1FA00455"/>
    <w:rsid w:val="1FDC5E15"/>
    <w:rsid w:val="1FE36DC5"/>
    <w:rsid w:val="1FE41427"/>
    <w:rsid w:val="201B25E5"/>
    <w:rsid w:val="203C65B2"/>
    <w:rsid w:val="206C4EE8"/>
    <w:rsid w:val="207C4E98"/>
    <w:rsid w:val="20B56A55"/>
    <w:rsid w:val="20D208F4"/>
    <w:rsid w:val="21647201"/>
    <w:rsid w:val="21E27415"/>
    <w:rsid w:val="21E72BD4"/>
    <w:rsid w:val="22A03834"/>
    <w:rsid w:val="234B4A63"/>
    <w:rsid w:val="25C20C10"/>
    <w:rsid w:val="25D007BE"/>
    <w:rsid w:val="26894844"/>
    <w:rsid w:val="268A5BE9"/>
    <w:rsid w:val="26A94B0A"/>
    <w:rsid w:val="27C03714"/>
    <w:rsid w:val="28200713"/>
    <w:rsid w:val="283D182A"/>
    <w:rsid w:val="284C4BB8"/>
    <w:rsid w:val="28525195"/>
    <w:rsid w:val="290D196F"/>
    <w:rsid w:val="29475A5D"/>
    <w:rsid w:val="29777E28"/>
    <w:rsid w:val="29DD074D"/>
    <w:rsid w:val="2BA61154"/>
    <w:rsid w:val="2BAA2935"/>
    <w:rsid w:val="2C5139EA"/>
    <w:rsid w:val="2CC517C2"/>
    <w:rsid w:val="2DB44479"/>
    <w:rsid w:val="2E896B2E"/>
    <w:rsid w:val="2F83582A"/>
    <w:rsid w:val="301E2C2B"/>
    <w:rsid w:val="305540D9"/>
    <w:rsid w:val="306F49A9"/>
    <w:rsid w:val="314F063B"/>
    <w:rsid w:val="32C16B2B"/>
    <w:rsid w:val="3335259D"/>
    <w:rsid w:val="33DC3D3A"/>
    <w:rsid w:val="34B2494A"/>
    <w:rsid w:val="34D3033C"/>
    <w:rsid w:val="352C6DFA"/>
    <w:rsid w:val="35F677F1"/>
    <w:rsid w:val="36282906"/>
    <w:rsid w:val="36B34F06"/>
    <w:rsid w:val="3712297D"/>
    <w:rsid w:val="376B164D"/>
    <w:rsid w:val="377D5CA1"/>
    <w:rsid w:val="38864FC5"/>
    <w:rsid w:val="389D3370"/>
    <w:rsid w:val="38A67B08"/>
    <w:rsid w:val="38DA1C02"/>
    <w:rsid w:val="38E82AFE"/>
    <w:rsid w:val="392D3120"/>
    <w:rsid w:val="39740DFE"/>
    <w:rsid w:val="398636AB"/>
    <w:rsid w:val="3A856147"/>
    <w:rsid w:val="3B665E05"/>
    <w:rsid w:val="3B717BF6"/>
    <w:rsid w:val="3BA7165C"/>
    <w:rsid w:val="3BD145C3"/>
    <w:rsid w:val="3C057493"/>
    <w:rsid w:val="3C0D4BF8"/>
    <w:rsid w:val="3C627A79"/>
    <w:rsid w:val="3CF81A16"/>
    <w:rsid w:val="3D1C6313"/>
    <w:rsid w:val="3D9C63D7"/>
    <w:rsid w:val="3DC44310"/>
    <w:rsid w:val="3DF23AF3"/>
    <w:rsid w:val="3E6758F0"/>
    <w:rsid w:val="3E6C774A"/>
    <w:rsid w:val="3E93040B"/>
    <w:rsid w:val="3FA246AC"/>
    <w:rsid w:val="3FC40ABE"/>
    <w:rsid w:val="40853ED1"/>
    <w:rsid w:val="40AF6BC4"/>
    <w:rsid w:val="40E67640"/>
    <w:rsid w:val="412C6686"/>
    <w:rsid w:val="41AF2851"/>
    <w:rsid w:val="41E11356"/>
    <w:rsid w:val="41E4533B"/>
    <w:rsid w:val="42626C49"/>
    <w:rsid w:val="42921A3C"/>
    <w:rsid w:val="42A877B8"/>
    <w:rsid w:val="42E239E4"/>
    <w:rsid w:val="43207D25"/>
    <w:rsid w:val="43D5724D"/>
    <w:rsid w:val="449B6C3A"/>
    <w:rsid w:val="44E9335A"/>
    <w:rsid w:val="45241EF2"/>
    <w:rsid w:val="45871C01"/>
    <w:rsid w:val="45B7173F"/>
    <w:rsid w:val="464A121D"/>
    <w:rsid w:val="46A74467"/>
    <w:rsid w:val="46C61088"/>
    <w:rsid w:val="4706213D"/>
    <w:rsid w:val="47E537D9"/>
    <w:rsid w:val="48EC258F"/>
    <w:rsid w:val="49210E8D"/>
    <w:rsid w:val="49922183"/>
    <w:rsid w:val="49D67A09"/>
    <w:rsid w:val="4AAC699A"/>
    <w:rsid w:val="4AF96718"/>
    <w:rsid w:val="4B192A1A"/>
    <w:rsid w:val="4B340A63"/>
    <w:rsid w:val="4B3E25A0"/>
    <w:rsid w:val="4B776027"/>
    <w:rsid w:val="4BBC590A"/>
    <w:rsid w:val="4BED1A83"/>
    <w:rsid w:val="4D0B144D"/>
    <w:rsid w:val="4D20222F"/>
    <w:rsid w:val="4E17137F"/>
    <w:rsid w:val="4E877BB9"/>
    <w:rsid w:val="4F66756E"/>
    <w:rsid w:val="4F925850"/>
    <w:rsid w:val="5041158F"/>
    <w:rsid w:val="504D6937"/>
    <w:rsid w:val="509D4F72"/>
    <w:rsid w:val="50DB7B7F"/>
    <w:rsid w:val="51422FAD"/>
    <w:rsid w:val="51E660DE"/>
    <w:rsid w:val="52BE63B4"/>
    <w:rsid w:val="52F21417"/>
    <w:rsid w:val="533B630C"/>
    <w:rsid w:val="53A62227"/>
    <w:rsid w:val="54225104"/>
    <w:rsid w:val="54B84CD0"/>
    <w:rsid w:val="54D400E9"/>
    <w:rsid w:val="55564AD5"/>
    <w:rsid w:val="55E15141"/>
    <w:rsid w:val="570B3487"/>
    <w:rsid w:val="571E6A26"/>
    <w:rsid w:val="58EF739F"/>
    <w:rsid w:val="59122D41"/>
    <w:rsid w:val="59380C41"/>
    <w:rsid w:val="593E2A3E"/>
    <w:rsid w:val="598478A4"/>
    <w:rsid w:val="599F7845"/>
    <w:rsid w:val="59B2428D"/>
    <w:rsid w:val="59D5494A"/>
    <w:rsid w:val="59F67CAE"/>
    <w:rsid w:val="5A444C00"/>
    <w:rsid w:val="5B5655D0"/>
    <w:rsid w:val="5B6C629A"/>
    <w:rsid w:val="5B7D2841"/>
    <w:rsid w:val="5C2F6C47"/>
    <w:rsid w:val="5C6F40E9"/>
    <w:rsid w:val="5CE72A90"/>
    <w:rsid w:val="5DDF6AD2"/>
    <w:rsid w:val="5E37292B"/>
    <w:rsid w:val="5F917F4A"/>
    <w:rsid w:val="5FEC7E16"/>
    <w:rsid w:val="5FF45053"/>
    <w:rsid w:val="60DD5FF3"/>
    <w:rsid w:val="61293C2F"/>
    <w:rsid w:val="61322EC6"/>
    <w:rsid w:val="61F87323"/>
    <w:rsid w:val="62DE544A"/>
    <w:rsid w:val="63FF2724"/>
    <w:rsid w:val="64947BD5"/>
    <w:rsid w:val="64CC14FA"/>
    <w:rsid w:val="658F3BCD"/>
    <w:rsid w:val="65E007E0"/>
    <w:rsid w:val="66752F56"/>
    <w:rsid w:val="669E67B8"/>
    <w:rsid w:val="679E206F"/>
    <w:rsid w:val="67C06EA1"/>
    <w:rsid w:val="67D976C1"/>
    <w:rsid w:val="68394F5F"/>
    <w:rsid w:val="68D7002A"/>
    <w:rsid w:val="697E1591"/>
    <w:rsid w:val="69824B79"/>
    <w:rsid w:val="69D922AF"/>
    <w:rsid w:val="6A000C13"/>
    <w:rsid w:val="6A621736"/>
    <w:rsid w:val="6A95664F"/>
    <w:rsid w:val="6AC81AC2"/>
    <w:rsid w:val="6AFF5619"/>
    <w:rsid w:val="6B3B530A"/>
    <w:rsid w:val="6B59757F"/>
    <w:rsid w:val="6BF11345"/>
    <w:rsid w:val="6C783951"/>
    <w:rsid w:val="6D340D90"/>
    <w:rsid w:val="6D3E48EC"/>
    <w:rsid w:val="6E0C3015"/>
    <w:rsid w:val="6E607840"/>
    <w:rsid w:val="6E964C46"/>
    <w:rsid w:val="6F031CB1"/>
    <w:rsid w:val="6F1937FE"/>
    <w:rsid w:val="6F651153"/>
    <w:rsid w:val="6F8C7356"/>
    <w:rsid w:val="6FBD061C"/>
    <w:rsid w:val="708A4AD3"/>
    <w:rsid w:val="70FE2170"/>
    <w:rsid w:val="71252D13"/>
    <w:rsid w:val="720439CF"/>
    <w:rsid w:val="720B5189"/>
    <w:rsid w:val="7244187E"/>
    <w:rsid w:val="72CF033A"/>
    <w:rsid w:val="72FA708E"/>
    <w:rsid w:val="7334057E"/>
    <w:rsid w:val="739D03BA"/>
    <w:rsid w:val="73BE5958"/>
    <w:rsid w:val="74121F82"/>
    <w:rsid w:val="74536F72"/>
    <w:rsid w:val="74C56B26"/>
    <w:rsid w:val="74F00DA3"/>
    <w:rsid w:val="75293D0F"/>
    <w:rsid w:val="7691481E"/>
    <w:rsid w:val="769E4B67"/>
    <w:rsid w:val="76AD43AF"/>
    <w:rsid w:val="76EE14A7"/>
    <w:rsid w:val="78A21197"/>
    <w:rsid w:val="78AA0E52"/>
    <w:rsid w:val="790E1A98"/>
    <w:rsid w:val="79E656C0"/>
    <w:rsid w:val="7A0B4AC9"/>
    <w:rsid w:val="7A26189B"/>
    <w:rsid w:val="7AB371E8"/>
    <w:rsid w:val="7B097470"/>
    <w:rsid w:val="7B170470"/>
    <w:rsid w:val="7B176B4E"/>
    <w:rsid w:val="7B4A55B4"/>
    <w:rsid w:val="7C243341"/>
    <w:rsid w:val="7C6F69EB"/>
    <w:rsid w:val="7DCA0222"/>
    <w:rsid w:val="7E6B07A2"/>
    <w:rsid w:val="7E766111"/>
    <w:rsid w:val="7F026F2E"/>
    <w:rsid w:val="7F744DAD"/>
    <w:rsid w:val="7FB43032"/>
    <w:rsid w:val="7FE348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1440"/>
      </w:tabs>
      <w:spacing w:after="0" w:line="360" w:lineRule="auto"/>
      <w:ind w:left="176" w:leftChars="0" w:firstLine="420" w:firstLineChars="200"/>
    </w:pPr>
    <w:rPr>
      <w:rFonts w:ascii="仿宋" w:hAnsi="Times New Roman" w:eastAsia="仿宋"/>
    </w:rPr>
  </w:style>
  <w:style w:type="paragraph" w:styleId="3">
    <w:name w:val="Body Text Indent"/>
    <w:basedOn w:val="1"/>
    <w:semiHidden/>
    <w:unhideWhenUsed/>
    <w:qFormat/>
    <w:uiPriority w:val="99"/>
    <w:pPr>
      <w:spacing w:after="120"/>
      <w:ind w:left="420" w:leftChars="200"/>
    </w:pPr>
  </w:style>
  <w:style w:type="paragraph" w:styleId="5">
    <w:name w:val="annotation text"/>
    <w:basedOn w:val="1"/>
    <w:link w:val="23"/>
    <w:qFormat/>
    <w:uiPriority w:val="0"/>
    <w:pPr>
      <w:jc w:val="left"/>
    </w:pPr>
  </w:style>
  <w:style w:type="paragraph" w:styleId="6">
    <w:name w:val="Body Text"/>
    <w:basedOn w:val="1"/>
    <w:qFormat/>
    <w:uiPriority w:val="0"/>
    <w:pPr>
      <w:spacing w:line="500" w:lineRule="exact"/>
    </w:pPr>
    <w:rPr>
      <w:sz w:val="24"/>
      <w:szCs w:val="20"/>
    </w:rPr>
  </w:style>
  <w:style w:type="paragraph" w:styleId="7">
    <w:name w:val="Balloon Text"/>
    <w:basedOn w:val="1"/>
    <w:link w:val="25"/>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annotation subject"/>
    <w:basedOn w:val="5"/>
    <w:next w:val="5"/>
    <w:link w:val="24"/>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page number"/>
    <w:basedOn w:val="15"/>
    <w:qFormat/>
    <w:uiPriority w:val="0"/>
  </w:style>
  <w:style w:type="character" w:styleId="18">
    <w:name w:val="Emphasis"/>
    <w:basedOn w:val="15"/>
    <w:qFormat/>
    <w:uiPriority w:val="0"/>
    <w:rPr>
      <w:i/>
    </w:rPr>
  </w:style>
  <w:style w:type="character" w:styleId="19">
    <w:name w:val="Hyperlink"/>
    <w:basedOn w:val="15"/>
    <w:qFormat/>
    <w:uiPriority w:val="0"/>
    <w:rPr>
      <w:color w:val="0000FF"/>
      <w:u w:val="single"/>
    </w:rPr>
  </w:style>
  <w:style w:type="character" w:styleId="20">
    <w:name w:val="annotation reference"/>
    <w:basedOn w:val="15"/>
    <w:uiPriority w:val="0"/>
    <w:rPr>
      <w:sz w:val="21"/>
      <w:szCs w:val="21"/>
    </w:rPr>
  </w:style>
  <w:style w:type="paragraph" w:customStyle="1" w:styleId="21">
    <w:name w:val="Table Paragraph"/>
    <w:basedOn w:val="1"/>
    <w:qFormat/>
    <w:uiPriority w:val="1"/>
    <w:rPr>
      <w:rFonts w:ascii="仿宋" w:hAnsi="仿宋" w:eastAsia="仿宋" w:cs="仿宋"/>
    </w:rPr>
  </w:style>
  <w:style w:type="paragraph" w:customStyle="1" w:styleId="22">
    <w:name w:val="pgc-h-arrow-right"/>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3">
    <w:name w:val="批注文字 字符"/>
    <w:basedOn w:val="15"/>
    <w:link w:val="5"/>
    <w:uiPriority w:val="0"/>
    <w:rPr>
      <w:rFonts w:asciiTheme="minorHAnsi" w:hAnsiTheme="minorHAnsi" w:eastAsiaTheme="minorEastAsia" w:cstheme="minorBidi"/>
      <w:kern w:val="2"/>
      <w:sz w:val="21"/>
      <w:szCs w:val="24"/>
    </w:rPr>
  </w:style>
  <w:style w:type="character" w:customStyle="1" w:styleId="24">
    <w:name w:val="批注主题 字符"/>
    <w:basedOn w:val="23"/>
    <w:link w:val="12"/>
    <w:uiPriority w:val="0"/>
    <w:rPr>
      <w:rFonts w:asciiTheme="minorHAnsi" w:hAnsiTheme="minorHAnsi" w:eastAsiaTheme="minorEastAsia" w:cstheme="minorBidi"/>
      <w:b/>
      <w:bCs/>
      <w:kern w:val="2"/>
      <w:sz w:val="21"/>
      <w:szCs w:val="24"/>
    </w:rPr>
  </w:style>
  <w:style w:type="character" w:customStyle="1" w:styleId="25">
    <w:name w:val="批注框文本 字符"/>
    <w:basedOn w:val="15"/>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1886</Words>
  <Characters>2083</Characters>
  <Lines>20</Lines>
  <Paragraphs>5</Paragraphs>
  <TotalTime>6</TotalTime>
  <ScaleCrop>false</ScaleCrop>
  <LinksUpToDate>false</LinksUpToDate>
  <CharactersWithSpaces>2228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2021-04-28T01:55:00Z</dcterms:created>
  <dc:creator>唐琪leeson</dc:creator>
  <cp:lastModifiedBy>聂红军</cp:lastModifiedBy>
  <dcterms:modified xsi:type="dcterms:W3CDTF">2022-09-01T03:34:53Z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48BF73E6044E4632A2575CAAFD26D675</vt:lpwstr>
  </property>
</Properties>
</file>