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宋体" w:hAnsi="宋体" w:cs="宋体"/>
          <w:color w:val="FF0000"/>
          <w:spacing w:val="-11"/>
          <w:w w:val="80"/>
          <w:sz w:val="84"/>
          <w:szCs w:val="84"/>
        </w:rPr>
      </w:pPr>
      <w:r>
        <w:rPr>
          <w:rFonts w:hint="eastAsia" w:ascii="宋体" w:hAnsi="宋体" w:cs="宋体"/>
          <w:color w:val="FF0000"/>
          <w:spacing w:val="-73"/>
          <w:w w:val="80"/>
          <w:sz w:val="84"/>
          <w:szCs w:val="84"/>
        </w:rPr>
        <w:t>北</w:t>
      </w:r>
      <w:r>
        <w:rPr>
          <w:rFonts w:hint="eastAsia" w:ascii="宋体" w:hAnsi="宋体" w:cs="宋体"/>
          <w:color w:val="FF0000"/>
          <w:spacing w:val="-70"/>
          <w:w w:val="80"/>
          <w:sz w:val="84"/>
          <w:szCs w:val="84"/>
        </w:rPr>
        <w:t>京建</w:t>
      </w:r>
      <w:r>
        <w:rPr>
          <w:rFonts w:hint="eastAsia" w:ascii="宋体" w:hAnsi="宋体" w:cs="宋体"/>
          <w:color w:val="FF0000"/>
          <w:spacing w:val="-73"/>
          <w:w w:val="80"/>
          <w:sz w:val="84"/>
          <w:szCs w:val="84"/>
        </w:rPr>
        <w:t>术</w:t>
      </w:r>
      <w:r>
        <w:rPr>
          <w:rFonts w:hint="eastAsia" w:ascii="宋体" w:hAnsi="宋体" w:cs="宋体"/>
          <w:color w:val="FF0000"/>
          <w:spacing w:val="-70"/>
          <w:w w:val="80"/>
          <w:sz w:val="84"/>
          <w:szCs w:val="84"/>
        </w:rPr>
        <w:t>信息</w:t>
      </w:r>
      <w:r>
        <w:rPr>
          <w:rFonts w:hint="eastAsia" w:ascii="宋体" w:hAnsi="宋体" w:cs="宋体"/>
          <w:color w:val="FF0000"/>
          <w:spacing w:val="-73"/>
          <w:w w:val="80"/>
          <w:sz w:val="84"/>
          <w:szCs w:val="84"/>
        </w:rPr>
        <w:t>科</w:t>
      </w:r>
      <w:r>
        <w:rPr>
          <w:rFonts w:hint="eastAsia" w:ascii="宋体" w:hAnsi="宋体" w:cs="宋体"/>
          <w:color w:val="FF0000"/>
          <w:spacing w:val="-70"/>
          <w:w w:val="80"/>
          <w:sz w:val="84"/>
          <w:szCs w:val="84"/>
        </w:rPr>
        <w:t>技研</w:t>
      </w:r>
      <w:r>
        <w:rPr>
          <w:rFonts w:hint="eastAsia" w:ascii="宋体" w:hAnsi="宋体" w:cs="宋体"/>
          <w:color w:val="FF0000"/>
          <w:spacing w:val="-73"/>
          <w:w w:val="80"/>
          <w:sz w:val="84"/>
          <w:szCs w:val="84"/>
        </w:rPr>
        <w:t>究</w:t>
      </w:r>
      <w:r>
        <w:rPr>
          <w:rFonts w:hint="eastAsia" w:ascii="宋体" w:hAnsi="宋体" w:cs="宋体"/>
          <w:color w:val="FF0000"/>
          <w:spacing w:val="-70"/>
          <w:w w:val="80"/>
          <w:sz w:val="84"/>
          <w:szCs w:val="84"/>
        </w:rPr>
        <w:t>院有</w:t>
      </w:r>
      <w:r>
        <w:rPr>
          <w:rFonts w:hint="eastAsia" w:ascii="宋体" w:hAnsi="宋体" w:cs="宋体"/>
          <w:color w:val="FF0000"/>
          <w:spacing w:val="-73"/>
          <w:w w:val="80"/>
          <w:sz w:val="84"/>
          <w:szCs w:val="84"/>
        </w:rPr>
        <w:t>限</w:t>
      </w:r>
      <w:r>
        <w:rPr>
          <w:rFonts w:hint="eastAsia" w:ascii="宋体" w:hAnsi="宋体" w:cs="宋体"/>
          <w:color w:val="FF0000"/>
          <w:spacing w:val="-70"/>
          <w:w w:val="80"/>
          <w:sz w:val="84"/>
          <w:szCs w:val="84"/>
        </w:rPr>
        <w:t>公</w:t>
      </w:r>
      <w:r>
        <w:rPr>
          <w:rFonts w:hint="eastAsia" w:ascii="宋体" w:hAnsi="宋体" w:cs="宋体"/>
          <w:color w:val="FF0000"/>
          <w:spacing w:val="-11"/>
          <w:w w:val="80"/>
          <w:sz w:val="84"/>
          <w:szCs w:val="84"/>
        </w:rPr>
        <w:t>司</w:t>
      </w:r>
    </w:p>
    <w:p>
      <w:pPr>
        <w:jc w:val="center"/>
        <w:rPr>
          <w:rFonts w:ascii="仿宋" w:hAnsi="仿宋" w:eastAsia="仿宋" w:cs="仿宋"/>
          <w:sz w:val="24"/>
          <w:szCs w:val="24"/>
        </w:rPr>
      </w:pPr>
      <w:r>
        <w:rPr>
          <w:rFonts w:hint="eastAsia" w:ascii="仿宋" w:hAnsi="仿宋" w:eastAsia="仿宋" w:cs="仿宋"/>
          <w:sz w:val="24"/>
          <w:szCs w:val="24"/>
        </w:rPr>
        <w:t>建术[2022]09号</w:t>
      </w:r>
    </w:p>
    <w:p>
      <w:pPr>
        <w:jc w:val="center"/>
        <w:rPr>
          <w:rFonts w:ascii="仿宋" w:hAnsi="仿宋" w:eastAsia="仿宋" w:cs="仿宋"/>
          <w:sz w:val="24"/>
          <w:szCs w:val="24"/>
        </w:rPr>
      </w:pPr>
      <w:r>
        <mc:AlternateContent>
          <mc:Choice Requires="wps">
            <w:drawing>
              <wp:anchor distT="0" distB="0" distL="114300" distR="114300" simplePos="0" relativeHeight="251659264" behindDoc="0" locked="0" layoutInCell="1" allowOverlap="1">
                <wp:simplePos x="0" y="0"/>
                <wp:positionH relativeFrom="column">
                  <wp:posOffset>-605790</wp:posOffset>
                </wp:positionH>
                <wp:positionV relativeFrom="paragraph">
                  <wp:posOffset>159385</wp:posOffset>
                </wp:positionV>
                <wp:extent cx="6334760" cy="635"/>
                <wp:effectExtent l="0" t="0" r="0" b="0"/>
                <wp:wrapNone/>
                <wp:docPr id="1" name="直线 2"/>
                <wp:cNvGraphicFramePr/>
                <a:graphic xmlns:a="http://schemas.openxmlformats.org/drawingml/2006/main">
                  <a:graphicData uri="http://schemas.microsoft.com/office/word/2010/wordprocessingShape">
                    <wps:wsp>
                      <wps:cNvCnPr/>
                      <wps:spPr>
                        <a:xfrm>
                          <a:off x="175260" y="1582420"/>
                          <a:ext cx="6334760" cy="635"/>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47.7pt;margin-top:12.55pt;height:0.05pt;width:498.8pt;z-index:251659264;mso-width-relative:page;mso-height-relative:page;" filled="f" stroked="t" coordsize="21600,21600" o:gfxdata="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PaYeX2QAAAAkBAAAPAAAAAAAAAAEAIAAAACIAAABkcnMvZG93bnJldi54&#10;bWxQSwECFAAUAAAACACHTuJATVi6rvkBAAD3AwAADgAAAAAAAAABACAAAAAoAQAAZHJzL2Uyb0Rv&#10;Yy54bWxQSwUGAAAAAAYABgBZAQAAkwUAAAAA&#10;">
                <v:fill on="f" focussize="0,0"/>
                <v:stroke weight="1.5pt" color="#FF0000" joinstyle="round"/>
                <v:imagedata o:title=""/>
                <o:lock v:ext="edit" aspectratio="f"/>
              </v:line>
            </w:pict>
          </mc:Fallback>
        </mc:AlternateContent>
      </w:r>
    </w:p>
    <w:p>
      <w:pPr>
        <w:jc w:val="center"/>
        <w:rPr>
          <w:rFonts w:ascii="宋体" w:hAnsi="宋体" w:eastAsia="宋体" w:cs="宋体"/>
          <w:b/>
          <w:sz w:val="30"/>
          <w:szCs w:val="30"/>
        </w:rPr>
      </w:pPr>
      <w:r>
        <w:rPr>
          <w:rFonts w:hint="eastAsia" w:ascii="宋体" w:hAnsi="宋体" w:eastAsia="宋体" w:cs="宋体"/>
          <w:b/>
          <w:sz w:val="30"/>
          <w:szCs w:val="30"/>
        </w:rPr>
        <w:t>EPC项目招投标、造价管控、索赔与审计实务疑难问题解析专题培训</w:t>
      </w:r>
    </w:p>
    <w:p>
      <w:pPr>
        <w:widowControl/>
        <w:autoSpaceDE w:val="0"/>
        <w:autoSpaceDN w:val="0"/>
        <w:adjustRightInd w:val="0"/>
        <w:spacing w:line="380" w:lineRule="exact"/>
        <w:jc w:val="center"/>
        <w:rPr>
          <w:rStyle w:val="10"/>
          <w:rFonts w:ascii="Helvetica" w:hAnsi="Helvetica" w:cs="Helvetica"/>
          <w:color w:val="AB1942"/>
          <w:shd w:val="clear" w:color="auto" w:fill="FFFFFF"/>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b/>
          <w:bCs/>
          <w:sz w:val="28"/>
          <w:szCs w:val="28"/>
        </w:rPr>
      </w:pPr>
      <w:r>
        <w:rPr>
          <w:b/>
          <w:bCs/>
          <w:sz w:val="28"/>
          <w:szCs w:val="28"/>
        </w:rPr>
        <w:t>各有关单位：</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sz w:val="28"/>
          <w:szCs w:val="28"/>
        </w:rPr>
      </w:pPr>
      <w:r>
        <w:rPr>
          <w:rFonts w:hint="eastAsia"/>
          <w:sz w:val="28"/>
          <w:szCs w:val="28"/>
        </w:rPr>
        <w:t>工程总承包模式反映了市场专业化分工趋势和风险规避要求，</w:t>
      </w:r>
      <w:r>
        <w:rPr>
          <w:sz w:val="28"/>
          <w:szCs w:val="28"/>
        </w:rPr>
        <w:t>并促进建筑业改革不断迈上新的台阶。</w:t>
      </w:r>
      <w:r>
        <w:rPr>
          <w:rFonts w:hint="eastAsia"/>
          <w:sz w:val="28"/>
          <w:szCs w:val="28"/>
        </w:rPr>
        <w:t>住建部、国家发改委联合发布《房屋建筑和市政基础设施项目工程总承包管理办法》（[2019]12号）并于2020年3月1日正式施行。住房和城乡建设部、市场监管总局制定了《建设项目工程总承包合同（示范文本）》（GF-2020-0216），自2021年1月1日起执行。</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sz w:val="28"/>
          <w:szCs w:val="28"/>
        </w:rPr>
      </w:pPr>
      <w:r>
        <w:rPr>
          <w:rFonts w:hint="eastAsia"/>
          <w:sz w:val="28"/>
          <w:szCs w:val="28"/>
        </w:rPr>
        <w:t>这些新规范，对EPC项目招投标提出哪些新要求？对风险分担进行哪些细化规定？对总包方、分包方有哪些影响？</w:t>
      </w:r>
      <w:r>
        <w:rPr>
          <w:sz w:val="28"/>
          <w:szCs w:val="28"/>
        </w:rPr>
        <w:t>EPC</w:t>
      </w:r>
      <w:r>
        <w:rPr>
          <w:rFonts w:hint="eastAsia"/>
          <w:sz w:val="28"/>
          <w:szCs w:val="28"/>
        </w:rPr>
        <w:t>项目造价具有独有的特色。E</w:t>
      </w:r>
      <w:r>
        <w:rPr>
          <w:sz w:val="28"/>
          <w:szCs w:val="28"/>
        </w:rPr>
        <w:t>PC</w:t>
      </w:r>
      <w:r>
        <w:rPr>
          <w:rFonts w:hint="eastAsia"/>
          <w:sz w:val="28"/>
          <w:szCs w:val="28"/>
        </w:rPr>
        <w:t>项目如何计价，合同价格如何约定？如何约定总价包干？工期进度和风险分担如何调整合同价款？变更调整价款有哪些风险？结算索赔计量计价需要注意哪些问题？招投标、合同签订履约、分包、计量计价、变更索赔与结算等过程如何合理有效地管控造价？还需要结合实务进行深入解析。同时预结算审核和竣工结算审计，也始终影响着各参建方，如何应对官方审计和财政评审，变被动为主动，确保较好的经济效益，都是需要探讨的重点内容。</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ascii="Calibri" w:hAnsi="Calibri"/>
          <w:sz w:val="28"/>
          <w:szCs w:val="28"/>
        </w:rPr>
      </w:pPr>
      <w:r>
        <w:rPr>
          <w:rFonts w:hint="eastAsia" w:ascii="Calibri" w:hAnsi="Calibri" w:eastAsia="宋体" w:cs="宋体"/>
          <w:sz w:val="28"/>
          <w:szCs w:val="28"/>
        </w:rPr>
        <w:t>EPC项目</w:t>
      </w:r>
      <w:r>
        <w:rPr>
          <w:rFonts w:ascii="Calibri" w:hAnsi="Calibri" w:eastAsia="宋体" w:cs="宋体"/>
          <w:sz w:val="28"/>
          <w:szCs w:val="28"/>
        </w:rPr>
        <w:t>造价管控、计价分歧、合同纠纷、</w:t>
      </w:r>
      <w:r>
        <w:rPr>
          <w:rFonts w:hint="eastAsia" w:ascii="Calibri" w:hAnsi="Calibri" w:eastAsia="宋体" w:cs="宋体"/>
          <w:sz w:val="28"/>
          <w:szCs w:val="28"/>
        </w:rPr>
        <w:t>索赔</w:t>
      </w:r>
      <w:r>
        <w:rPr>
          <w:rFonts w:ascii="Calibri" w:hAnsi="Calibri" w:eastAsia="宋体" w:cs="宋体"/>
          <w:sz w:val="28"/>
          <w:szCs w:val="28"/>
        </w:rPr>
        <w:t>与结算审计疑难问题越来越引起各市场主体的高度重视。</w:t>
      </w:r>
      <w:r>
        <w:rPr>
          <w:rFonts w:hint="eastAsia" w:ascii="Calibri" w:hAnsi="Calibri"/>
          <w:sz w:val="28"/>
          <w:szCs w:val="28"/>
        </w:rPr>
        <w:t>EPC设计变更、人工材料涨价、计价纠纷、结算纠纷、工程款纠纷等等各类EPC项目造价问题严重困扰着各参建方，如何在造价层面予以防范？避免不必要的损失！以及产生纠纷后如何有效处理？EPC项目工程造价有哪些新特点？EPC合同纠纷的计价与结算有哪些热点与难点问题？如何确定EPC项目造价？这都是在EPC工程实践中亟需掌握的重中之重。</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sz w:val="28"/>
          <w:szCs w:val="28"/>
        </w:rPr>
      </w:pPr>
      <w:r>
        <w:rPr>
          <w:rFonts w:hint="eastAsia" w:ascii="Calibri" w:hAnsi="Calibri" w:eastAsia="宋体" w:cs="宋体"/>
          <w:sz w:val="28"/>
          <w:szCs w:val="28"/>
        </w:rPr>
        <w:t>为实现各方合作共赢的梦想，我司</w:t>
      </w:r>
      <w:r>
        <w:rPr>
          <w:rFonts w:ascii="Calibri" w:hAnsi="Calibri" w:eastAsia="宋体" w:cs="宋体"/>
          <w:sz w:val="28"/>
          <w:szCs w:val="28"/>
        </w:rPr>
        <w:t>决定举办</w:t>
      </w:r>
      <w:r>
        <w:rPr>
          <w:rFonts w:hint="eastAsia" w:ascii="Helvetica" w:hAnsi="Helvetica" w:cs="Helvetica"/>
          <w:b/>
          <w:color w:val="3E3E3E"/>
          <w:sz w:val="28"/>
          <w:szCs w:val="28"/>
        </w:rPr>
        <w:t>“</w:t>
      </w:r>
      <w:r>
        <w:rPr>
          <w:rFonts w:hint="eastAsia"/>
          <w:b/>
          <w:bCs/>
          <w:sz w:val="28"/>
          <w:szCs w:val="28"/>
        </w:rPr>
        <w:t>EPC项目招投标、造价管控、索赔与审计实务疑难问题解析专题培训班</w:t>
      </w:r>
      <w:r>
        <w:rPr>
          <w:rFonts w:hint="eastAsia" w:ascii="Helvetica" w:hAnsi="Helvetica" w:cs="Helvetica"/>
          <w:b/>
          <w:color w:val="3E3E3E"/>
          <w:sz w:val="28"/>
          <w:szCs w:val="28"/>
        </w:rPr>
        <w:t>”</w:t>
      </w:r>
      <w:r>
        <w:rPr>
          <w:rFonts w:ascii="Helvetica" w:hAnsi="Helvetica" w:cs="Helvetica"/>
          <w:color w:val="3E3E3E"/>
          <w:sz w:val="28"/>
          <w:szCs w:val="28"/>
        </w:rPr>
        <w:t>。</w:t>
      </w:r>
      <w:r>
        <w:rPr>
          <w:rFonts w:hint="eastAsia" w:ascii="Calibri" w:hAnsi="Calibri" w:eastAsia="宋体" w:cs="宋体"/>
          <w:sz w:val="28"/>
          <w:szCs w:val="28"/>
        </w:rPr>
        <w:t>现将有关事项通知如下：</w:t>
      </w:r>
    </w:p>
    <w:p>
      <w:pPr>
        <w:keepNext w:val="0"/>
        <w:keepLines w:val="0"/>
        <w:pageBreakBefore w:val="0"/>
        <w:widowControl/>
        <w:kinsoku/>
        <w:wordWrap/>
        <w:overflowPunct/>
        <w:topLinePunct w:val="0"/>
        <w:autoSpaceDE w:val="0"/>
        <w:autoSpaceDN w:val="0"/>
        <w:bidi w:val="0"/>
        <w:adjustRightInd w:val="0"/>
        <w:snapToGrid/>
        <w:spacing w:line="440" w:lineRule="exact"/>
        <w:jc w:val="left"/>
        <w:textAlignment w:val="auto"/>
        <w:rPr>
          <w:rFonts w:ascii="Calibri" w:hAnsi="Calibri" w:eastAsia="宋体" w:cs="Times New Roman"/>
          <w:b/>
          <w:bCs/>
          <w:sz w:val="28"/>
          <w:szCs w:val="28"/>
        </w:rPr>
      </w:pPr>
      <w:r>
        <w:rPr>
          <w:rFonts w:hint="eastAsia" w:ascii="Calibri" w:hAnsi="Calibri" w:eastAsia="宋体" w:cs="Times New Roman"/>
          <w:b/>
          <w:bCs/>
          <w:sz w:val="28"/>
          <w:szCs w:val="28"/>
        </w:rPr>
        <w:t>一、培训内容</w:t>
      </w:r>
    </w:p>
    <w:p>
      <w:pPr>
        <w:keepNext w:val="0"/>
        <w:keepLines w:val="0"/>
        <w:pageBreakBefore w:val="0"/>
        <w:kinsoku/>
        <w:wordWrap/>
        <w:overflowPunct/>
        <w:topLinePunct w:val="0"/>
        <w:bidi w:val="0"/>
        <w:snapToGrid/>
        <w:spacing w:line="440" w:lineRule="exact"/>
        <w:textAlignment w:val="auto"/>
        <w:rPr>
          <w:rFonts w:ascii="黑体" w:hAnsi="黑体" w:eastAsia="黑体"/>
          <w:b/>
          <w:bCs/>
          <w:sz w:val="28"/>
          <w:szCs w:val="28"/>
        </w:rPr>
      </w:pPr>
      <w:r>
        <w:rPr>
          <w:rFonts w:ascii="黑体" w:hAnsi="黑体" w:eastAsia="黑体"/>
          <w:b/>
          <w:bCs/>
          <w:sz w:val="28"/>
          <w:szCs w:val="28"/>
        </w:rPr>
        <w:t>（</w:t>
      </w:r>
      <w:r>
        <w:rPr>
          <w:rFonts w:hint="eastAsia" w:ascii="黑体" w:hAnsi="黑体" w:eastAsia="黑体"/>
          <w:b/>
          <w:bCs/>
          <w:sz w:val="28"/>
          <w:szCs w:val="28"/>
        </w:rPr>
        <w:t>一</w:t>
      </w:r>
      <w:r>
        <w:rPr>
          <w:rFonts w:ascii="黑体" w:hAnsi="黑体" w:eastAsia="黑体"/>
          <w:b/>
          <w:bCs/>
          <w:sz w:val="28"/>
          <w:szCs w:val="28"/>
        </w:rPr>
        <w:t>）</w:t>
      </w:r>
      <w:r>
        <w:rPr>
          <w:rFonts w:hint="eastAsia" w:ascii="黑体" w:hAnsi="黑体" w:eastAsia="黑体"/>
          <w:b/>
          <w:bCs/>
          <w:sz w:val="28"/>
          <w:szCs w:val="28"/>
        </w:rPr>
        <w:t>EPC项目</w:t>
      </w:r>
      <w:r>
        <w:rPr>
          <w:rFonts w:ascii="黑体" w:hAnsi="黑体" w:eastAsia="黑体"/>
          <w:b/>
          <w:bCs/>
          <w:sz w:val="28"/>
          <w:szCs w:val="28"/>
        </w:rPr>
        <w:t>招投标问题</w:t>
      </w:r>
    </w:p>
    <w:p>
      <w:pPr>
        <w:pStyle w:val="15"/>
        <w:keepNext w:val="0"/>
        <w:keepLines w:val="0"/>
        <w:pageBreakBefore w:val="0"/>
        <w:numPr>
          <w:ilvl w:val="0"/>
          <w:numId w:val="1"/>
        </w:numPr>
        <w:kinsoku/>
        <w:wordWrap/>
        <w:overflowPunct/>
        <w:topLinePunct w:val="0"/>
        <w:bidi w:val="0"/>
        <w:snapToGrid/>
        <w:spacing w:line="440" w:lineRule="exact"/>
        <w:ind w:firstLineChars="0"/>
        <w:textAlignment w:val="auto"/>
        <w:rPr>
          <w:sz w:val="28"/>
          <w:szCs w:val="28"/>
        </w:rPr>
      </w:pPr>
      <w:r>
        <w:rPr>
          <w:rFonts w:hint="eastAsia"/>
          <w:sz w:val="28"/>
          <w:szCs w:val="28"/>
        </w:rPr>
        <w:t>EPC工程总承包模式下，如何理解和定义工程变更和设计优化？</w:t>
      </w:r>
    </w:p>
    <w:p>
      <w:pPr>
        <w:pStyle w:val="15"/>
        <w:keepNext w:val="0"/>
        <w:keepLines w:val="0"/>
        <w:pageBreakBefore w:val="0"/>
        <w:numPr>
          <w:ilvl w:val="0"/>
          <w:numId w:val="1"/>
        </w:numPr>
        <w:kinsoku/>
        <w:wordWrap/>
        <w:overflowPunct/>
        <w:topLinePunct w:val="0"/>
        <w:bidi w:val="0"/>
        <w:snapToGrid/>
        <w:spacing w:line="440" w:lineRule="exact"/>
        <w:ind w:firstLineChars="0"/>
        <w:textAlignment w:val="auto"/>
        <w:rPr>
          <w:sz w:val="28"/>
          <w:szCs w:val="28"/>
        </w:rPr>
      </w:pPr>
      <w:r>
        <w:rPr>
          <w:sz w:val="28"/>
          <w:szCs w:val="28"/>
        </w:rPr>
        <w:t>EPC</w:t>
      </w:r>
      <w:r>
        <w:rPr>
          <w:rFonts w:hint="eastAsia"/>
          <w:sz w:val="28"/>
          <w:szCs w:val="28"/>
        </w:rPr>
        <w:t>量化设计任务书，明确各分区功能需求</w:t>
      </w:r>
    </w:p>
    <w:p>
      <w:pPr>
        <w:pStyle w:val="15"/>
        <w:keepNext w:val="0"/>
        <w:keepLines w:val="0"/>
        <w:pageBreakBefore w:val="0"/>
        <w:numPr>
          <w:ilvl w:val="0"/>
          <w:numId w:val="1"/>
        </w:numPr>
        <w:kinsoku/>
        <w:wordWrap/>
        <w:overflowPunct/>
        <w:topLinePunct w:val="0"/>
        <w:bidi w:val="0"/>
        <w:snapToGrid/>
        <w:spacing w:line="440" w:lineRule="exact"/>
        <w:ind w:firstLineChars="0"/>
        <w:textAlignment w:val="auto"/>
        <w:rPr>
          <w:sz w:val="28"/>
          <w:szCs w:val="28"/>
        </w:rPr>
      </w:pPr>
      <w:r>
        <w:rPr>
          <w:sz w:val="28"/>
          <w:szCs w:val="28"/>
        </w:rPr>
        <w:t>EPC</w:t>
      </w:r>
      <w:r>
        <w:rPr>
          <w:rFonts w:hint="eastAsia"/>
          <w:sz w:val="28"/>
          <w:szCs w:val="28"/>
        </w:rPr>
        <w:t>设计变更，以施工图为准，还是以初设图为准</w:t>
      </w:r>
    </w:p>
    <w:p>
      <w:pPr>
        <w:pStyle w:val="15"/>
        <w:keepNext w:val="0"/>
        <w:keepLines w:val="0"/>
        <w:pageBreakBefore w:val="0"/>
        <w:numPr>
          <w:ilvl w:val="0"/>
          <w:numId w:val="1"/>
        </w:numPr>
        <w:kinsoku/>
        <w:wordWrap/>
        <w:overflowPunct/>
        <w:topLinePunct w:val="0"/>
        <w:bidi w:val="0"/>
        <w:snapToGrid/>
        <w:spacing w:line="440" w:lineRule="exact"/>
        <w:ind w:firstLineChars="0"/>
        <w:textAlignment w:val="auto"/>
        <w:rPr>
          <w:color w:val="36363D"/>
          <w:sz w:val="28"/>
          <w:szCs w:val="28"/>
        </w:rPr>
      </w:pPr>
      <w:r>
        <w:rPr>
          <w:rFonts w:hint="eastAsia"/>
          <w:color w:val="36363D"/>
          <w:sz w:val="28"/>
          <w:szCs w:val="28"/>
        </w:rPr>
        <w:t>E</w:t>
      </w:r>
      <w:r>
        <w:rPr>
          <w:color w:val="36363D"/>
          <w:sz w:val="28"/>
          <w:szCs w:val="28"/>
        </w:rPr>
        <w:t>PC</w:t>
      </w:r>
      <w:r>
        <w:rPr>
          <w:rFonts w:hint="eastAsia"/>
          <w:color w:val="36363D"/>
          <w:sz w:val="28"/>
          <w:szCs w:val="28"/>
        </w:rPr>
        <w:t>项目估算、概算、初设、施工图，土建、设备采购由哪些部分批准？</w:t>
      </w:r>
    </w:p>
    <w:p>
      <w:pPr>
        <w:pStyle w:val="15"/>
        <w:keepNext w:val="0"/>
        <w:keepLines w:val="0"/>
        <w:pageBreakBefore w:val="0"/>
        <w:numPr>
          <w:ilvl w:val="0"/>
          <w:numId w:val="1"/>
        </w:numPr>
        <w:kinsoku/>
        <w:wordWrap/>
        <w:overflowPunct/>
        <w:topLinePunct w:val="0"/>
        <w:bidi w:val="0"/>
        <w:snapToGrid/>
        <w:spacing w:line="440" w:lineRule="exact"/>
        <w:ind w:firstLineChars="0"/>
        <w:textAlignment w:val="auto"/>
        <w:rPr>
          <w:color w:val="36363D"/>
          <w:sz w:val="28"/>
          <w:szCs w:val="28"/>
        </w:rPr>
      </w:pPr>
      <w:r>
        <w:rPr>
          <w:rFonts w:hint="eastAsia"/>
          <w:color w:val="36363D"/>
          <w:sz w:val="28"/>
          <w:szCs w:val="28"/>
        </w:rPr>
        <w:t>E</w:t>
      </w:r>
      <w:r>
        <w:rPr>
          <w:color w:val="36363D"/>
          <w:sz w:val="28"/>
          <w:szCs w:val="28"/>
        </w:rPr>
        <w:t>PC</w:t>
      </w:r>
      <w:r>
        <w:rPr>
          <w:rFonts w:hint="eastAsia"/>
          <w:color w:val="36363D"/>
          <w:sz w:val="28"/>
          <w:szCs w:val="28"/>
        </w:rPr>
        <w:t>项目五证办理、桩基础检测，由哪方办理，费用谁出？</w:t>
      </w:r>
    </w:p>
    <w:p>
      <w:pPr>
        <w:pStyle w:val="15"/>
        <w:keepNext w:val="0"/>
        <w:keepLines w:val="0"/>
        <w:pageBreakBefore w:val="0"/>
        <w:numPr>
          <w:ilvl w:val="0"/>
          <w:numId w:val="1"/>
        </w:numPr>
        <w:kinsoku/>
        <w:wordWrap/>
        <w:overflowPunct/>
        <w:topLinePunct w:val="0"/>
        <w:bidi w:val="0"/>
        <w:snapToGrid/>
        <w:spacing w:line="440" w:lineRule="exact"/>
        <w:ind w:firstLineChars="0"/>
        <w:textAlignment w:val="auto"/>
        <w:rPr>
          <w:sz w:val="28"/>
          <w:szCs w:val="28"/>
        </w:rPr>
      </w:pPr>
      <w:r>
        <w:rPr>
          <w:rFonts w:hint="eastAsia"/>
          <w:sz w:val="28"/>
          <w:szCs w:val="28"/>
        </w:rPr>
        <w:t>EPC优化节省的费用如何分配？如何控制降低质量的优化设计方案？如何管控工期？</w:t>
      </w:r>
    </w:p>
    <w:p>
      <w:pPr>
        <w:pStyle w:val="15"/>
        <w:keepNext w:val="0"/>
        <w:keepLines w:val="0"/>
        <w:pageBreakBefore w:val="0"/>
        <w:numPr>
          <w:ilvl w:val="0"/>
          <w:numId w:val="1"/>
        </w:numPr>
        <w:kinsoku/>
        <w:wordWrap/>
        <w:overflowPunct/>
        <w:topLinePunct w:val="0"/>
        <w:bidi w:val="0"/>
        <w:snapToGrid/>
        <w:spacing w:line="440" w:lineRule="exact"/>
        <w:ind w:firstLineChars="0"/>
        <w:textAlignment w:val="auto"/>
        <w:rPr>
          <w:sz w:val="28"/>
          <w:szCs w:val="28"/>
        </w:rPr>
      </w:pPr>
      <w:r>
        <w:rPr>
          <w:rFonts w:hint="eastAsia"/>
          <w:sz w:val="28"/>
          <w:szCs w:val="28"/>
        </w:rPr>
        <w:t>当设计单位出现供图不及时、设代不到位、方案不合理、要求不合理等问题时，如何处理？</w:t>
      </w:r>
    </w:p>
    <w:p>
      <w:pPr>
        <w:pStyle w:val="15"/>
        <w:keepNext w:val="0"/>
        <w:keepLines w:val="0"/>
        <w:pageBreakBefore w:val="0"/>
        <w:widowControl/>
        <w:numPr>
          <w:ilvl w:val="0"/>
          <w:numId w:val="1"/>
        </w:numPr>
        <w:kinsoku/>
        <w:wordWrap/>
        <w:overflowPunct/>
        <w:topLinePunct w:val="0"/>
        <w:autoSpaceDE w:val="0"/>
        <w:autoSpaceDN w:val="0"/>
        <w:bidi w:val="0"/>
        <w:adjustRightInd w:val="0"/>
        <w:snapToGrid/>
        <w:spacing w:line="440" w:lineRule="exact"/>
        <w:ind w:firstLineChars="0"/>
        <w:jc w:val="left"/>
        <w:textAlignment w:val="auto"/>
        <w:rPr>
          <w:sz w:val="28"/>
          <w:szCs w:val="28"/>
        </w:rPr>
      </w:pPr>
      <w:r>
        <w:rPr>
          <w:rFonts w:hint="eastAsia"/>
          <w:sz w:val="28"/>
          <w:szCs w:val="28"/>
        </w:rPr>
        <w:t>费率中标的总承包项目，其中达到招标规模的设备，是否需要公开招标？</w:t>
      </w:r>
    </w:p>
    <w:p>
      <w:pPr>
        <w:pStyle w:val="15"/>
        <w:keepNext w:val="0"/>
        <w:keepLines w:val="0"/>
        <w:pageBreakBefore w:val="0"/>
        <w:numPr>
          <w:ilvl w:val="0"/>
          <w:numId w:val="1"/>
        </w:numPr>
        <w:kinsoku/>
        <w:wordWrap/>
        <w:overflowPunct/>
        <w:topLinePunct w:val="0"/>
        <w:bidi w:val="0"/>
        <w:snapToGrid/>
        <w:spacing w:line="440" w:lineRule="exact"/>
        <w:ind w:firstLineChars="0"/>
        <w:textAlignment w:val="auto"/>
        <w:rPr>
          <w:sz w:val="28"/>
          <w:szCs w:val="28"/>
        </w:rPr>
      </w:pPr>
      <w:r>
        <w:rPr>
          <w:rFonts w:hint="eastAsia"/>
          <w:sz w:val="28"/>
          <w:szCs w:val="28"/>
        </w:rPr>
        <w:t>工程总承包，专业分包是否要进行招投标？</w:t>
      </w:r>
    </w:p>
    <w:p>
      <w:pPr>
        <w:pStyle w:val="15"/>
        <w:keepNext w:val="0"/>
        <w:keepLines w:val="0"/>
        <w:pageBreakBefore w:val="0"/>
        <w:numPr>
          <w:ilvl w:val="0"/>
          <w:numId w:val="1"/>
        </w:numPr>
        <w:kinsoku/>
        <w:wordWrap/>
        <w:overflowPunct/>
        <w:topLinePunct w:val="0"/>
        <w:bidi w:val="0"/>
        <w:snapToGrid/>
        <w:spacing w:line="440" w:lineRule="exact"/>
        <w:ind w:firstLineChars="0"/>
        <w:textAlignment w:val="auto"/>
        <w:rPr>
          <w:sz w:val="28"/>
          <w:szCs w:val="28"/>
        </w:rPr>
      </w:pPr>
      <w:r>
        <w:rPr>
          <w:rFonts w:hint="eastAsia"/>
          <w:sz w:val="28"/>
          <w:szCs w:val="28"/>
        </w:rPr>
        <w:t>工程总承包，总包方分包是否要进行招投标？</w:t>
      </w:r>
    </w:p>
    <w:p>
      <w:pPr>
        <w:pStyle w:val="15"/>
        <w:keepNext w:val="0"/>
        <w:keepLines w:val="0"/>
        <w:pageBreakBefore w:val="0"/>
        <w:numPr>
          <w:ilvl w:val="0"/>
          <w:numId w:val="1"/>
        </w:numPr>
        <w:kinsoku/>
        <w:wordWrap/>
        <w:overflowPunct/>
        <w:topLinePunct w:val="0"/>
        <w:bidi w:val="0"/>
        <w:snapToGrid/>
        <w:spacing w:line="440" w:lineRule="exact"/>
        <w:ind w:firstLineChars="0"/>
        <w:textAlignment w:val="auto"/>
        <w:rPr>
          <w:sz w:val="28"/>
          <w:szCs w:val="28"/>
        </w:rPr>
      </w:pPr>
      <w:r>
        <w:rPr>
          <w:rFonts w:hint="eastAsia"/>
          <w:sz w:val="28"/>
          <w:szCs w:val="28"/>
        </w:rPr>
        <w:t>工程总承包单位的资质要求</w:t>
      </w:r>
    </w:p>
    <w:p>
      <w:pPr>
        <w:pStyle w:val="15"/>
        <w:keepNext w:val="0"/>
        <w:keepLines w:val="0"/>
        <w:pageBreakBefore w:val="0"/>
        <w:numPr>
          <w:ilvl w:val="0"/>
          <w:numId w:val="1"/>
        </w:numPr>
        <w:kinsoku/>
        <w:wordWrap/>
        <w:overflowPunct/>
        <w:topLinePunct w:val="0"/>
        <w:bidi w:val="0"/>
        <w:snapToGrid/>
        <w:spacing w:line="440" w:lineRule="exact"/>
        <w:ind w:firstLineChars="0"/>
        <w:textAlignment w:val="auto"/>
        <w:rPr>
          <w:sz w:val="28"/>
          <w:szCs w:val="28"/>
        </w:rPr>
      </w:pPr>
      <w:r>
        <w:rPr>
          <w:rFonts w:hint="eastAsia"/>
          <w:sz w:val="28"/>
          <w:szCs w:val="28"/>
        </w:rPr>
        <w:t>工程总承包人可以依约将设计或施工业务分包给具有相应资质的单位，在此阶段的分包是否要进行招投标？</w:t>
      </w:r>
    </w:p>
    <w:p>
      <w:pPr>
        <w:pStyle w:val="15"/>
        <w:keepNext w:val="0"/>
        <w:keepLines w:val="0"/>
        <w:pageBreakBefore w:val="0"/>
        <w:numPr>
          <w:ilvl w:val="0"/>
          <w:numId w:val="1"/>
        </w:numPr>
        <w:kinsoku/>
        <w:wordWrap/>
        <w:overflowPunct/>
        <w:topLinePunct w:val="0"/>
        <w:bidi w:val="0"/>
        <w:snapToGrid/>
        <w:spacing w:line="440" w:lineRule="exact"/>
        <w:ind w:firstLineChars="0"/>
        <w:textAlignment w:val="auto"/>
        <w:rPr>
          <w:sz w:val="28"/>
          <w:szCs w:val="28"/>
        </w:rPr>
      </w:pPr>
      <w:r>
        <w:rPr>
          <w:rFonts w:hint="eastAsia"/>
          <w:sz w:val="28"/>
          <w:szCs w:val="28"/>
        </w:rPr>
        <w:t>前期设计服务企业可否参加工程总承包</w:t>
      </w:r>
    </w:p>
    <w:p>
      <w:pPr>
        <w:pStyle w:val="15"/>
        <w:keepNext w:val="0"/>
        <w:keepLines w:val="0"/>
        <w:pageBreakBefore w:val="0"/>
        <w:numPr>
          <w:ilvl w:val="0"/>
          <w:numId w:val="1"/>
        </w:numPr>
        <w:kinsoku/>
        <w:wordWrap/>
        <w:overflowPunct/>
        <w:topLinePunct w:val="0"/>
        <w:bidi w:val="0"/>
        <w:snapToGrid/>
        <w:spacing w:line="440" w:lineRule="exact"/>
        <w:ind w:firstLineChars="0"/>
        <w:textAlignment w:val="auto"/>
        <w:rPr>
          <w:sz w:val="28"/>
          <w:szCs w:val="28"/>
        </w:rPr>
      </w:pPr>
      <w:r>
        <w:rPr>
          <w:rFonts w:hint="eastAsia"/>
          <w:sz w:val="28"/>
          <w:szCs w:val="28"/>
        </w:rPr>
        <w:t>如果具有相应资质的施工或设计单位将工程或设计任务再进行专业分包时，仍是否要进行招投标？</w:t>
      </w:r>
    </w:p>
    <w:p>
      <w:pPr>
        <w:pStyle w:val="15"/>
        <w:keepNext w:val="0"/>
        <w:keepLines w:val="0"/>
        <w:pageBreakBefore w:val="0"/>
        <w:numPr>
          <w:ilvl w:val="0"/>
          <w:numId w:val="1"/>
        </w:numPr>
        <w:kinsoku/>
        <w:wordWrap/>
        <w:overflowPunct/>
        <w:topLinePunct w:val="0"/>
        <w:bidi w:val="0"/>
        <w:snapToGrid/>
        <w:spacing w:line="440" w:lineRule="exact"/>
        <w:ind w:firstLineChars="0"/>
        <w:textAlignment w:val="auto"/>
        <w:rPr>
          <w:sz w:val="28"/>
          <w:szCs w:val="28"/>
        </w:rPr>
      </w:pPr>
      <w:r>
        <w:rPr>
          <w:rFonts w:hint="eastAsia"/>
          <w:sz w:val="28"/>
          <w:szCs w:val="28"/>
        </w:rPr>
        <w:t>设计单位作为联合体牵头人的情况下，设计单位在项目管理方面应该承担怎样的职责？</w:t>
      </w:r>
    </w:p>
    <w:p>
      <w:pPr>
        <w:pStyle w:val="15"/>
        <w:keepNext w:val="0"/>
        <w:keepLines w:val="0"/>
        <w:pageBreakBefore w:val="0"/>
        <w:numPr>
          <w:ilvl w:val="0"/>
          <w:numId w:val="1"/>
        </w:numPr>
        <w:kinsoku/>
        <w:wordWrap/>
        <w:overflowPunct/>
        <w:topLinePunct w:val="0"/>
        <w:bidi w:val="0"/>
        <w:snapToGrid/>
        <w:spacing w:line="440" w:lineRule="exact"/>
        <w:ind w:firstLineChars="0"/>
        <w:textAlignment w:val="auto"/>
        <w:rPr>
          <w:sz w:val="28"/>
          <w:szCs w:val="28"/>
        </w:rPr>
      </w:pPr>
      <w:r>
        <w:rPr>
          <w:rFonts w:hint="eastAsia"/>
          <w:sz w:val="28"/>
          <w:szCs w:val="28"/>
        </w:rPr>
        <w:t>设计方案投标补偿激励办法</w:t>
      </w:r>
    </w:p>
    <w:p>
      <w:pPr>
        <w:pStyle w:val="15"/>
        <w:keepNext w:val="0"/>
        <w:keepLines w:val="0"/>
        <w:pageBreakBefore w:val="0"/>
        <w:numPr>
          <w:ilvl w:val="0"/>
          <w:numId w:val="1"/>
        </w:numPr>
        <w:kinsoku/>
        <w:wordWrap/>
        <w:overflowPunct/>
        <w:topLinePunct w:val="0"/>
        <w:bidi w:val="0"/>
        <w:snapToGrid/>
        <w:spacing w:line="440" w:lineRule="exact"/>
        <w:ind w:firstLineChars="0"/>
        <w:textAlignment w:val="auto"/>
        <w:rPr>
          <w:sz w:val="28"/>
          <w:szCs w:val="28"/>
        </w:rPr>
      </w:pPr>
      <w:r>
        <w:rPr>
          <w:rFonts w:hint="eastAsia"/>
          <w:sz w:val="28"/>
          <w:szCs w:val="28"/>
        </w:rPr>
        <w:t>项目实施过程中出现与合同约定严重偏离的情形时，如进度滞后、施工质量不理想等，如何处理？</w:t>
      </w:r>
    </w:p>
    <w:p>
      <w:pPr>
        <w:pStyle w:val="15"/>
        <w:keepNext w:val="0"/>
        <w:keepLines w:val="0"/>
        <w:pageBreakBefore w:val="0"/>
        <w:numPr>
          <w:ilvl w:val="0"/>
          <w:numId w:val="1"/>
        </w:numPr>
        <w:kinsoku/>
        <w:wordWrap/>
        <w:overflowPunct/>
        <w:topLinePunct w:val="0"/>
        <w:bidi w:val="0"/>
        <w:snapToGrid/>
        <w:spacing w:line="440" w:lineRule="exact"/>
        <w:ind w:firstLineChars="0"/>
        <w:textAlignment w:val="auto"/>
        <w:rPr>
          <w:sz w:val="28"/>
          <w:szCs w:val="28"/>
        </w:rPr>
      </w:pPr>
      <w:r>
        <w:rPr>
          <w:rFonts w:hint="eastAsia"/>
          <w:sz w:val="28"/>
          <w:szCs w:val="28"/>
        </w:rPr>
        <w:t>优化调整中标设计方案</w:t>
      </w:r>
    </w:p>
    <w:p>
      <w:pPr>
        <w:pStyle w:val="15"/>
        <w:keepNext w:val="0"/>
        <w:keepLines w:val="0"/>
        <w:pageBreakBefore w:val="0"/>
        <w:numPr>
          <w:ilvl w:val="0"/>
          <w:numId w:val="1"/>
        </w:numPr>
        <w:kinsoku/>
        <w:wordWrap/>
        <w:overflowPunct/>
        <w:topLinePunct w:val="0"/>
        <w:bidi w:val="0"/>
        <w:snapToGrid/>
        <w:spacing w:line="440" w:lineRule="exact"/>
        <w:ind w:firstLineChars="0"/>
        <w:textAlignment w:val="auto"/>
        <w:rPr>
          <w:sz w:val="28"/>
          <w:szCs w:val="28"/>
        </w:rPr>
      </w:pPr>
      <w:r>
        <w:rPr>
          <w:rFonts w:hint="eastAsia"/>
          <w:sz w:val="28"/>
          <w:szCs w:val="28"/>
        </w:rPr>
        <w:t>再发包与专业分包</w:t>
      </w:r>
    </w:p>
    <w:p>
      <w:pPr>
        <w:pStyle w:val="15"/>
        <w:keepNext w:val="0"/>
        <w:keepLines w:val="0"/>
        <w:pageBreakBefore w:val="0"/>
        <w:numPr>
          <w:ilvl w:val="0"/>
          <w:numId w:val="1"/>
        </w:numPr>
        <w:kinsoku/>
        <w:wordWrap/>
        <w:overflowPunct/>
        <w:topLinePunct w:val="0"/>
        <w:bidi w:val="0"/>
        <w:snapToGrid/>
        <w:spacing w:line="440" w:lineRule="exact"/>
        <w:ind w:firstLineChars="0"/>
        <w:textAlignment w:val="auto"/>
        <w:rPr>
          <w:sz w:val="28"/>
          <w:szCs w:val="28"/>
        </w:rPr>
      </w:pPr>
      <w:r>
        <w:rPr>
          <w:rFonts w:hint="eastAsia"/>
          <w:sz w:val="28"/>
          <w:szCs w:val="28"/>
        </w:rPr>
        <w:t>在工程总承包模式下，宜对小的设计变更的管制放宽，宜鼓励承包人进行施工阶段的设计优化，优化结余可按分级累进法参与结余资金的分成</w:t>
      </w:r>
    </w:p>
    <w:p>
      <w:pPr>
        <w:keepNext w:val="0"/>
        <w:keepLines w:val="0"/>
        <w:pageBreakBefore w:val="0"/>
        <w:kinsoku/>
        <w:wordWrap/>
        <w:overflowPunct/>
        <w:topLinePunct w:val="0"/>
        <w:bidi w:val="0"/>
        <w:snapToGrid/>
        <w:spacing w:line="440" w:lineRule="exact"/>
        <w:textAlignment w:val="auto"/>
        <w:rPr>
          <w:b/>
          <w:bCs/>
          <w:sz w:val="28"/>
          <w:szCs w:val="28"/>
        </w:rPr>
      </w:pPr>
      <w:r>
        <w:rPr>
          <w:rFonts w:ascii="黑体" w:hAnsi="黑体" w:eastAsia="黑体"/>
          <w:b/>
          <w:bCs/>
          <w:sz w:val="28"/>
          <w:szCs w:val="28"/>
        </w:rPr>
        <w:t>（</w:t>
      </w:r>
      <w:r>
        <w:rPr>
          <w:rFonts w:hint="eastAsia" w:ascii="黑体" w:hAnsi="黑体" w:eastAsia="黑体"/>
          <w:b/>
          <w:bCs/>
          <w:sz w:val="28"/>
          <w:szCs w:val="28"/>
        </w:rPr>
        <w:t>二</w:t>
      </w:r>
      <w:r>
        <w:rPr>
          <w:rFonts w:ascii="黑体" w:hAnsi="黑体" w:eastAsia="黑体"/>
          <w:b/>
          <w:bCs/>
          <w:sz w:val="28"/>
          <w:szCs w:val="28"/>
        </w:rPr>
        <w:t>）</w:t>
      </w:r>
      <w:r>
        <w:rPr>
          <w:rFonts w:hint="eastAsia" w:ascii="黑体" w:hAnsi="黑体" w:eastAsia="黑体"/>
          <w:b/>
          <w:bCs/>
          <w:sz w:val="28"/>
          <w:szCs w:val="28"/>
        </w:rPr>
        <w:t>EPC项目采购招标问题</w:t>
      </w:r>
    </w:p>
    <w:p>
      <w:pPr>
        <w:pStyle w:val="15"/>
        <w:keepNext w:val="0"/>
        <w:keepLines w:val="0"/>
        <w:pageBreakBefore w:val="0"/>
        <w:numPr>
          <w:ilvl w:val="0"/>
          <w:numId w:val="2"/>
        </w:numPr>
        <w:kinsoku/>
        <w:wordWrap/>
        <w:overflowPunct/>
        <w:topLinePunct w:val="0"/>
        <w:bidi w:val="0"/>
        <w:snapToGrid/>
        <w:spacing w:line="440" w:lineRule="exact"/>
        <w:ind w:firstLineChars="0"/>
        <w:textAlignment w:val="auto"/>
        <w:rPr>
          <w:sz w:val="28"/>
          <w:szCs w:val="28"/>
        </w:rPr>
      </w:pPr>
      <w:r>
        <w:rPr>
          <w:rFonts w:hint="eastAsia"/>
          <w:sz w:val="28"/>
          <w:szCs w:val="28"/>
        </w:rPr>
        <w:t>材料设备认质认价、询价，采购价格指数</w:t>
      </w:r>
      <w:r>
        <w:rPr>
          <w:sz w:val="28"/>
          <w:szCs w:val="28"/>
        </w:rPr>
        <w:t>PPI</w:t>
      </w:r>
      <w:r>
        <w:rPr>
          <w:rFonts w:hint="eastAsia"/>
          <w:sz w:val="28"/>
          <w:szCs w:val="28"/>
        </w:rPr>
        <w:t>对认价影响？</w:t>
      </w:r>
    </w:p>
    <w:p>
      <w:pPr>
        <w:pStyle w:val="15"/>
        <w:keepNext w:val="0"/>
        <w:keepLines w:val="0"/>
        <w:pageBreakBefore w:val="0"/>
        <w:numPr>
          <w:ilvl w:val="0"/>
          <w:numId w:val="2"/>
        </w:numPr>
        <w:kinsoku/>
        <w:wordWrap/>
        <w:overflowPunct/>
        <w:topLinePunct w:val="0"/>
        <w:bidi w:val="0"/>
        <w:snapToGrid/>
        <w:spacing w:line="440" w:lineRule="exact"/>
        <w:ind w:firstLineChars="0"/>
        <w:textAlignment w:val="auto"/>
        <w:rPr>
          <w:sz w:val="28"/>
          <w:szCs w:val="28"/>
        </w:rPr>
      </w:pPr>
      <w:r>
        <w:rPr>
          <w:rFonts w:hint="eastAsia"/>
          <w:sz w:val="28"/>
          <w:szCs w:val="28"/>
        </w:rPr>
        <w:t>采保费如何设置，包装、装货、运输、接收、卸货、存储和保护费用如何考虑？</w:t>
      </w:r>
    </w:p>
    <w:p>
      <w:pPr>
        <w:pStyle w:val="15"/>
        <w:keepNext w:val="0"/>
        <w:keepLines w:val="0"/>
        <w:pageBreakBefore w:val="0"/>
        <w:numPr>
          <w:ilvl w:val="0"/>
          <w:numId w:val="2"/>
        </w:numPr>
        <w:kinsoku/>
        <w:wordWrap/>
        <w:overflowPunct/>
        <w:topLinePunct w:val="0"/>
        <w:bidi w:val="0"/>
        <w:snapToGrid/>
        <w:spacing w:line="440" w:lineRule="exact"/>
        <w:ind w:firstLineChars="0"/>
        <w:textAlignment w:val="auto"/>
        <w:rPr>
          <w:sz w:val="28"/>
          <w:szCs w:val="28"/>
        </w:rPr>
      </w:pPr>
      <w:r>
        <w:rPr>
          <w:rFonts w:hint="eastAsia"/>
          <w:sz w:val="28"/>
          <w:szCs w:val="28"/>
        </w:rPr>
        <w:t>采购方式税率影响、邀标采购条件？</w:t>
      </w:r>
    </w:p>
    <w:p>
      <w:pPr>
        <w:pStyle w:val="15"/>
        <w:keepNext w:val="0"/>
        <w:keepLines w:val="0"/>
        <w:pageBreakBefore w:val="0"/>
        <w:numPr>
          <w:ilvl w:val="0"/>
          <w:numId w:val="2"/>
        </w:numPr>
        <w:kinsoku/>
        <w:wordWrap/>
        <w:overflowPunct/>
        <w:topLinePunct w:val="0"/>
        <w:bidi w:val="0"/>
        <w:snapToGrid/>
        <w:spacing w:line="440" w:lineRule="exact"/>
        <w:ind w:firstLineChars="0"/>
        <w:textAlignment w:val="auto"/>
        <w:rPr>
          <w:sz w:val="28"/>
          <w:szCs w:val="28"/>
        </w:rPr>
      </w:pPr>
      <w:r>
        <w:rPr>
          <w:rFonts w:hint="eastAsia"/>
          <w:sz w:val="28"/>
          <w:szCs w:val="28"/>
        </w:rPr>
        <w:t>采购品质要求量化</w:t>
      </w:r>
    </w:p>
    <w:p>
      <w:pPr>
        <w:pStyle w:val="15"/>
        <w:keepNext w:val="0"/>
        <w:keepLines w:val="0"/>
        <w:pageBreakBefore w:val="0"/>
        <w:numPr>
          <w:ilvl w:val="0"/>
          <w:numId w:val="2"/>
        </w:numPr>
        <w:kinsoku/>
        <w:wordWrap/>
        <w:overflowPunct/>
        <w:topLinePunct w:val="0"/>
        <w:bidi w:val="0"/>
        <w:snapToGrid/>
        <w:spacing w:line="440" w:lineRule="exact"/>
        <w:ind w:firstLineChars="0"/>
        <w:textAlignment w:val="auto"/>
        <w:rPr>
          <w:sz w:val="28"/>
          <w:szCs w:val="28"/>
        </w:rPr>
      </w:pPr>
      <w:r>
        <w:rPr>
          <w:rFonts w:hint="eastAsia"/>
          <w:sz w:val="28"/>
          <w:szCs w:val="28"/>
        </w:rPr>
        <w:t>采购深化一体化、样品现场一体化</w:t>
      </w:r>
    </w:p>
    <w:p>
      <w:pPr>
        <w:pStyle w:val="15"/>
        <w:keepNext w:val="0"/>
        <w:keepLines w:val="0"/>
        <w:pageBreakBefore w:val="0"/>
        <w:numPr>
          <w:ilvl w:val="0"/>
          <w:numId w:val="2"/>
        </w:numPr>
        <w:kinsoku/>
        <w:wordWrap/>
        <w:overflowPunct/>
        <w:topLinePunct w:val="0"/>
        <w:bidi w:val="0"/>
        <w:snapToGrid/>
        <w:spacing w:line="440" w:lineRule="exact"/>
        <w:ind w:firstLineChars="0"/>
        <w:textAlignment w:val="auto"/>
        <w:rPr>
          <w:sz w:val="28"/>
          <w:szCs w:val="28"/>
        </w:rPr>
      </w:pPr>
      <w:r>
        <w:rPr>
          <w:rFonts w:hint="eastAsia"/>
          <w:sz w:val="28"/>
          <w:szCs w:val="28"/>
        </w:rPr>
        <w:t>甲供材料能不能作为合同取费基数？</w:t>
      </w:r>
    </w:p>
    <w:p>
      <w:pPr>
        <w:pStyle w:val="15"/>
        <w:keepNext w:val="0"/>
        <w:keepLines w:val="0"/>
        <w:pageBreakBefore w:val="0"/>
        <w:widowControl/>
        <w:numPr>
          <w:ilvl w:val="0"/>
          <w:numId w:val="2"/>
        </w:numPr>
        <w:kinsoku/>
        <w:wordWrap/>
        <w:overflowPunct/>
        <w:topLinePunct w:val="0"/>
        <w:bidi w:val="0"/>
        <w:snapToGrid/>
        <w:spacing w:line="440" w:lineRule="exact"/>
        <w:ind w:firstLineChars="0"/>
        <w:jc w:val="left"/>
        <w:textAlignment w:val="auto"/>
        <w:rPr>
          <w:sz w:val="28"/>
          <w:szCs w:val="28"/>
        </w:rPr>
      </w:pPr>
      <w:r>
        <w:rPr>
          <w:rFonts w:hint="eastAsia"/>
          <w:sz w:val="28"/>
          <w:szCs w:val="28"/>
        </w:rPr>
        <w:t>同一单位工程内工程变更，单独招标，是否构成肢解分包？</w:t>
      </w:r>
    </w:p>
    <w:p>
      <w:pPr>
        <w:pStyle w:val="15"/>
        <w:keepNext w:val="0"/>
        <w:keepLines w:val="0"/>
        <w:pageBreakBefore w:val="0"/>
        <w:widowControl/>
        <w:numPr>
          <w:ilvl w:val="0"/>
          <w:numId w:val="2"/>
        </w:numPr>
        <w:kinsoku/>
        <w:wordWrap/>
        <w:overflowPunct/>
        <w:topLinePunct w:val="0"/>
        <w:bidi w:val="0"/>
        <w:snapToGrid/>
        <w:spacing w:line="440" w:lineRule="exact"/>
        <w:ind w:firstLineChars="0"/>
        <w:jc w:val="left"/>
        <w:textAlignment w:val="auto"/>
        <w:rPr>
          <w:sz w:val="28"/>
          <w:szCs w:val="28"/>
        </w:rPr>
      </w:pPr>
      <w:r>
        <w:rPr>
          <w:rFonts w:hint="eastAsia"/>
          <w:sz w:val="28"/>
          <w:szCs w:val="28"/>
        </w:rPr>
        <w:t>投标人须知、通用条款、专用条款约定不一致，如何处理</w:t>
      </w:r>
      <w:r>
        <w:rPr>
          <w:sz w:val="28"/>
          <w:szCs w:val="28"/>
        </w:rPr>
        <w:t>?</w:t>
      </w:r>
    </w:p>
    <w:p>
      <w:pPr>
        <w:pStyle w:val="15"/>
        <w:keepNext w:val="0"/>
        <w:keepLines w:val="0"/>
        <w:pageBreakBefore w:val="0"/>
        <w:widowControl/>
        <w:numPr>
          <w:ilvl w:val="0"/>
          <w:numId w:val="2"/>
        </w:numPr>
        <w:kinsoku/>
        <w:wordWrap/>
        <w:overflowPunct/>
        <w:topLinePunct w:val="0"/>
        <w:bidi w:val="0"/>
        <w:snapToGrid/>
        <w:spacing w:line="440" w:lineRule="exact"/>
        <w:ind w:firstLineChars="0"/>
        <w:jc w:val="left"/>
        <w:textAlignment w:val="auto"/>
        <w:rPr>
          <w:sz w:val="28"/>
          <w:szCs w:val="28"/>
        </w:rPr>
      </w:pPr>
      <w:r>
        <w:rPr>
          <w:rFonts w:hint="eastAsia"/>
          <w:sz w:val="28"/>
          <w:szCs w:val="28"/>
        </w:rPr>
        <w:t>图纸量少于招标量，如何结算？按总价合同结算还是按实际完成的图纸结算</w:t>
      </w:r>
      <w:r>
        <w:rPr>
          <w:sz w:val="28"/>
          <w:szCs w:val="28"/>
        </w:rPr>
        <w:t>?</w:t>
      </w:r>
    </w:p>
    <w:p>
      <w:pPr>
        <w:pStyle w:val="15"/>
        <w:keepNext w:val="0"/>
        <w:keepLines w:val="0"/>
        <w:pageBreakBefore w:val="0"/>
        <w:widowControl/>
        <w:numPr>
          <w:ilvl w:val="0"/>
          <w:numId w:val="2"/>
        </w:numPr>
        <w:kinsoku/>
        <w:wordWrap/>
        <w:overflowPunct/>
        <w:topLinePunct w:val="0"/>
        <w:bidi w:val="0"/>
        <w:snapToGrid/>
        <w:spacing w:line="440" w:lineRule="exact"/>
        <w:ind w:firstLineChars="0"/>
        <w:jc w:val="left"/>
        <w:textAlignment w:val="auto"/>
        <w:rPr>
          <w:sz w:val="28"/>
          <w:szCs w:val="28"/>
        </w:rPr>
      </w:pPr>
      <w:r>
        <w:rPr>
          <w:rFonts w:hint="eastAsia"/>
          <w:sz w:val="28"/>
          <w:szCs w:val="28"/>
        </w:rPr>
        <w:t>新定额发布后，主管部门未再针对原定额发布相应的调整系数或办法，如何处理？</w:t>
      </w:r>
    </w:p>
    <w:p>
      <w:pPr>
        <w:pStyle w:val="15"/>
        <w:keepNext w:val="0"/>
        <w:keepLines w:val="0"/>
        <w:pageBreakBefore w:val="0"/>
        <w:numPr>
          <w:ilvl w:val="0"/>
          <w:numId w:val="2"/>
        </w:numPr>
        <w:kinsoku/>
        <w:wordWrap/>
        <w:overflowPunct/>
        <w:topLinePunct w:val="0"/>
        <w:bidi w:val="0"/>
        <w:snapToGrid/>
        <w:spacing w:line="440" w:lineRule="exact"/>
        <w:ind w:firstLineChars="0"/>
        <w:textAlignment w:val="auto"/>
        <w:rPr>
          <w:sz w:val="28"/>
          <w:szCs w:val="28"/>
        </w:rPr>
      </w:pPr>
      <w:r>
        <w:rPr>
          <w:rFonts w:hint="eastAsia"/>
          <w:sz w:val="28"/>
          <w:szCs w:val="28"/>
        </w:rPr>
        <w:t>样品主要是结合效果图，进行单项系统的封样</w:t>
      </w:r>
    </w:p>
    <w:p>
      <w:pPr>
        <w:pStyle w:val="15"/>
        <w:keepNext w:val="0"/>
        <w:keepLines w:val="0"/>
        <w:pageBreakBefore w:val="0"/>
        <w:numPr>
          <w:ilvl w:val="0"/>
          <w:numId w:val="2"/>
        </w:numPr>
        <w:kinsoku/>
        <w:wordWrap/>
        <w:overflowPunct/>
        <w:topLinePunct w:val="0"/>
        <w:bidi w:val="0"/>
        <w:snapToGrid/>
        <w:spacing w:line="440" w:lineRule="exact"/>
        <w:ind w:firstLineChars="0"/>
        <w:textAlignment w:val="auto"/>
        <w:rPr>
          <w:sz w:val="28"/>
          <w:szCs w:val="28"/>
        </w:rPr>
      </w:pPr>
      <w:r>
        <w:rPr>
          <w:rFonts w:hint="eastAsia"/>
          <w:sz w:val="28"/>
          <w:szCs w:val="28"/>
        </w:rPr>
        <w:t>业主的供料规范要求及产品定义</w:t>
      </w:r>
    </w:p>
    <w:p>
      <w:pPr>
        <w:pStyle w:val="15"/>
        <w:keepNext w:val="0"/>
        <w:keepLines w:val="0"/>
        <w:pageBreakBefore w:val="0"/>
        <w:widowControl/>
        <w:numPr>
          <w:ilvl w:val="0"/>
          <w:numId w:val="2"/>
        </w:numPr>
        <w:kinsoku/>
        <w:wordWrap/>
        <w:overflowPunct/>
        <w:topLinePunct w:val="0"/>
        <w:bidi w:val="0"/>
        <w:snapToGrid/>
        <w:spacing w:line="440" w:lineRule="exact"/>
        <w:ind w:firstLineChars="0"/>
        <w:jc w:val="left"/>
        <w:textAlignment w:val="auto"/>
        <w:rPr>
          <w:sz w:val="28"/>
          <w:szCs w:val="28"/>
        </w:rPr>
      </w:pPr>
      <w:r>
        <w:rPr>
          <w:rFonts w:hint="eastAsia"/>
          <w:sz w:val="28"/>
          <w:szCs w:val="28"/>
        </w:rPr>
        <w:t>隐蔽验收资料与施工图不一致，能否据实计算调整？</w:t>
      </w:r>
    </w:p>
    <w:p>
      <w:pPr>
        <w:pStyle w:val="15"/>
        <w:keepNext w:val="0"/>
        <w:keepLines w:val="0"/>
        <w:pageBreakBefore w:val="0"/>
        <w:widowControl/>
        <w:numPr>
          <w:ilvl w:val="0"/>
          <w:numId w:val="2"/>
        </w:numPr>
        <w:kinsoku/>
        <w:wordWrap/>
        <w:overflowPunct/>
        <w:topLinePunct w:val="0"/>
        <w:bidi w:val="0"/>
        <w:snapToGrid/>
        <w:spacing w:line="440" w:lineRule="exact"/>
        <w:ind w:firstLineChars="0"/>
        <w:jc w:val="left"/>
        <w:textAlignment w:val="auto"/>
        <w:rPr>
          <w:sz w:val="28"/>
          <w:szCs w:val="28"/>
        </w:rPr>
      </w:pPr>
      <w:r>
        <w:rPr>
          <w:rFonts w:hint="eastAsia"/>
          <w:sz w:val="28"/>
          <w:szCs w:val="28"/>
        </w:rPr>
        <w:t>暂估价材料分多次招标，不同次招标的中标价格差别很大，如何处理</w:t>
      </w:r>
      <w:r>
        <w:rPr>
          <w:sz w:val="28"/>
          <w:szCs w:val="28"/>
        </w:rPr>
        <w:t>?</w:t>
      </w:r>
    </w:p>
    <w:p>
      <w:pPr>
        <w:pStyle w:val="15"/>
        <w:keepNext w:val="0"/>
        <w:keepLines w:val="0"/>
        <w:pageBreakBefore w:val="0"/>
        <w:widowControl/>
        <w:numPr>
          <w:ilvl w:val="0"/>
          <w:numId w:val="2"/>
        </w:numPr>
        <w:kinsoku/>
        <w:wordWrap/>
        <w:overflowPunct/>
        <w:topLinePunct w:val="0"/>
        <w:bidi w:val="0"/>
        <w:snapToGrid/>
        <w:spacing w:line="440" w:lineRule="exact"/>
        <w:ind w:firstLineChars="0"/>
        <w:jc w:val="left"/>
        <w:textAlignment w:val="auto"/>
        <w:rPr>
          <w:sz w:val="28"/>
          <w:szCs w:val="28"/>
        </w:rPr>
      </w:pPr>
      <w:r>
        <w:rPr>
          <w:rFonts w:hint="eastAsia"/>
          <w:sz w:val="28"/>
          <w:szCs w:val="28"/>
        </w:rPr>
        <w:t>招标范围远大于施工图预算的范围，结算方式也未包含签证变更及前期费用，如何处理？</w:t>
      </w:r>
    </w:p>
    <w:p>
      <w:pPr>
        <w:pStyle w:val="15"/>
        <w:keepNext w:val="0"/>
        <w:keepLines w:val="0"/>
        <w:pageBreakBefore w:val="0"/>
        <w:widowControl/>
        <w:numPr>
          <w:ilvl w:val="0"/>
          <w:numId w:val="2"/>
        </w:numPr>
        <w:kinsoku/>
        <w:wordWrap/>
        <w:overflowPunct/>
        <w:topLinePunct w:val="0"/>
        <w:bidi w:val="0"/>
        <w:snapToGrid/>
        <w:spacing w:line="440" w:lineRule="exact"/>
        <w:ind w:firstLineChars="0"/>
        <w:jc w:val="left"/>
        <w:textAlignment w:val="auto"/>
        <w:rPr>
          <w:sz w:val="28"/>
          <w:szCs w:val="28"/>
        </w:rPr>
      </w:pPr>
      <w:r>
        <w:rPr>
          <w:rFonts w:hint="eastAsia"/>
          <w:sz w:val="28"/>
          <w:szCs w:val="28"/>
        </w:rPr>
        <w:t>招标清单漏项的专业工程暂估价费用，应该由哪一方来承担</w:t>
      </w:r>
      <w:r>
        <w:rPr>
          <w:sz w:val="28"/>
          <w:szCs w:val="28"/>
        </w:rPr>
        <w:t>?</w:t>
      </w:r>
    </w:p>
    <w:p>
      <w:pPr>
        <w:pStyle w:val="15"/>
        <w:keepNext w:val="0"/>
        <w:keepLines w:val="0"/>
        <w:pageBreakBefore w:val="0"/>
        <w:widowControl/>
        <w:numPr>
          <w:ilvl w:val="0"/>
          <w:numId w:val="2"/>
        </w:numPr>
        <w:kinsoku/>
        <w:wordWrap/>
        <w:overflowPunct/>
        <w:topLinePunct w:val="0"/>
        <w:bidi w:val="0"/>
        <w:snapToGrid/>
        <w:spacing w:line="440" w:lineRule="exact"/>
        <w:ind w:firstLineChars="0"/>
        <w:jc w:val="left"/>
        <w:textAlignment w:val="auto"/>
        <w:rPr>
          <w:sz w:val="28"/>
          <w:szCs w:val="28"/>
        </w:rPr>
      </w:pPr>
      <w:r>
        <w:rPr>
          <w:rFonts w:hint="eastAsia"/>
          <w:sz w:val="28"/>
          <w:szCs w:val="28"/>
        </w:rPr>
        <w:t>招标清单无品牌要求，投标按普通品牌报价，后甲方指定了品牌，如何调差价？</w:t>
      </w:r>
    </w:p>
    <w:p>
      <w:pPr>
        <w:pStyle w:val="15"/>
        <w:keepNext w:val="0"/>
        <w:keepLines w:val="0"/>
        <w:pageBreakBefore w:val="0"/>
        <w:widowControl/>
        <w:numPr>
          <w:ilvl w:val="0"/>
          <w:numId w:val="2"/>
        </w:numPr>
        <w:kinsoku/>
        <w:wordWrap/>
        <w:overflowPunct/>
        <w:topLinePunct w:val="0"/>
        <w:bidi w:val="0"/>
        <w:snapToGrid/>
        <w:spacing w:line="440" w:lineRule="exact"/>
        <w:ind w:firstLineChars="0"/>
        <w:jc w:val="left"/>
        <w:textAlignment w:val="auto"/>
        <w:rPr>
          <w:sz w:val="28"/>
          <w:szCs w:val="28"/>
        </w:rPr>
      </w:pPr>
      <w:r>
        <w:rPr>
          <w:rFonts w:hint="eastAsia"/>
          <w:sz w:val="28"/>
          <w:szCs w:val="28"/>
        </w:rPr>
        <w:t>招标文件规定，招标人不对限额清单准确性负责，限额清单的工程量为中标人必须完成的基本工程量，且总价包干</w:t>
      </w:r>
      <w:r>
        <w:rPr>
          <w:sz w:val="28"/>
          <w:szCs w:val="28"/>
        </w:rPr>
        <w:t>,</w:t>
      </w:r>
      <w:r>
        <w:rPr>
          <w:rFonts w:hint="eastAsia"/>
          <w:sz w:val="28"/>
          <w:szCs w:val="28"/>
        </w:rPr>
        <w:t>中标人承担除按合同约定进行调价外的一切风险，是否可行？</w:t>
      </w:r>
    </w:p>
    <w:p>
      <w:pPr>
        <w:pStyle w:val="15"/>
        <w:keepNext w:val="0"/>
        <w:keepLines w:val="0"/>
        <w:pageBreakBefore w:val="0"/>
        <w:widowControl/>
        <w:numPr>
          <w:ilvl w:val="0"/>
          <w:numId w:val="2"/>
        </w:numPr>
        <w:kinsoku/>
        <w:wordWrap/>
        <w:overflowPunct/>
        <w:topLinePunct w:val="0"/>
        <w:bidi w:val="0"/>
        <w:snapToGrid/>
        <w:spacing w:line="440" w:lineRule="exact"/>
        <w:ind w:firstLineChars="0"/>
        <w:jc w:val="left"/>
        <w:textAlignment w:val="auto"/>
        <w:rPr>
          <w:sz w:val="28"/>
          <w:szCs w:val="28"/>
        </w:rPr>
      </w:pPr>
      <w:r>
        <w:rPr>
          <w:rFonts w:hint="eastAsia"/>
          <w:sz w:val="28"/>
          <w:szCs w:val="28"/>
        </w:rPr>
        <w:t>招标文件是工程总承包，分别签署施工合同与设计合同，如何处理？</w:t>
      </w:r>
    </w:p>
    <w:p>
      <w:pPr>
        <w:pStyle w:val="15"/>
        <w:keepNext w:val="0"/>
        <w:keepLines w:val="0"/>
        <w:pageBreakBefore w:val="0"/>
        <w:numPr>
          <w:ilvl w:val="0"/>
          <w:numId w:val="2"/>
        </w:numPr>
        <w:kinsoku/>
        <w:wordWrap/>
        <w:overflowPunct/>
        <w:topLinePunct w:val="0"/>
        <w:bidi w:val="0"/>
        <w:snapToGrid/>
        <w:spacing w:line="440" w:lineRule="exact"/>
        <w:ind w:firstLineChars="0"/>
        <w:textAlignment w:val="auto"/>
        <w:rPr>
          <w:sz w:val="28"/>
          <w:szCs w:val="28"/>
        </w:rPr>
      </w:pPr>
      <w:r>
        <w:rPr>
          <w:rFonts w:hint="eastAsia"/>
          <w:sz w:val="28"/>
          <w:szCs w:val="28"/>
        </w:rPr>
        <w:t>主要材料设备的参数指标和品牌档次，限额标准</w:t>
      </w:r>
    </w:p>
    <w:p>
      <w:pPr>
        <w:keepNext w:val="0"/>
        <w:keepLines w:val="0"/>
        <w:pageBreakBefore w:val="0"/>
        <w:kinsoku/>
        <w:wordWrap/>
        <w:overflowPunct/>
        <w:topLinePunct w:val="0"/>
        <w:bidi w:val="0"/>
        <w:snapToGrid/>
        <w:spacing w:line="440" w:lineRule="exact"/>
        <w:textAlignment w:val="auto"/>
        <w:rPr>
          <w:rFonts w:ascii="黑体" w:hAnsi="黑体" w:eastAsia="黑体"/>
          <w:b/>
          <w:bCs/>
          <w:sz w:val="28"/>
          <w:szCs w:val="28"/>
        </w:rPr>
      </w:pPr>
      <w:r>
        <w:rPr>
          <w:rFonts w:ascii="黑体" w:hAnsi="黑体" w:eastAsia="黑体"/>
          <w:b/>
          <w:bCs/>
          <w:sz w:val="28"/>
          <w:szCs w:val="28"/>
        </w:rPr>
        <w:t>（</w:t>
      </w:r>
      <w:r>
        <w:rPr>
          <w:rFonts w:hint="eastAsia" w:ascii="黑体" w:hAnsi="黑体" w:eastAsia="黑体"/>
          <w:b/>
          <w:bCs/>
          <w:sz w:val="28"/>
          <w:szCs w:val="28"/>
        </w:rPr>
        <w:t>三</w:t>
      </w:r>
      <w:r>
        <w:rPr>
          <w:rFonts w:ascii="黑体" w:hAnsi="黑体" w:eastAsia="黑体"/>
          <w:b/>
          <w:bCs/>
          <w:sz w:val="28"/>
          <w:szCs w:val="28"/>
        </w:rPr>
        <w:t>）</w:t>
      </w:r>
      <w:r>
        <w:rPr>
          <w:rFonts w:hint="eastAsia" w:ascii="黑体" w:hAnsi="黑体" w:eastAsia="黑体"/>
          <w:b/>
          <w:bCs/>
          <w:sz w:val="28"/>
          <w:szCs w:val="28"/>
        </w:rPr>
        <w:t>EPC项目造价</w:t>
      </w:r>
      <w:r>
        <w:rPr>
          <w:rFonts w:ascii="黑体" w:hAnsi="黑体" w:eastAsia="黑体"/>
          <w:b/>
          <w:bCs/>
          <w:sz w:val="28"/>
          <w:szCs w:val="28"/>
        </w:rPr>
        <w:t>问题</w:t>
      </w:r>
    </w:p>
    <w:p>
      <w:pPr>
        <w:pStyle w:val="15"/>
        <w:keepNext w:val="0"/>
        <w:keepLines w:val="0"/>
        <w:pageBreakBefore w:val="0"/>
        <w:numPr>
          <w:ilvl w:val="0"/>
          <w:numId w:val="3"/>
        </w:numPr>
        <w:kinsoku/>
        <w:wordWrap/>
        <w:overflowPunct/>
        <w:topLinePunct w:val="0"/>
        <w:bidi w:val="0"/>
        <w:snapToGrid/>
        <w:spacing w:line="440" w:lineRule="exact"/>
        <w:ind w:firstLineChars="0"/>
        <w:textAlignment w:val="auto"/>
        <w:rPr>
          <w:rFonts w:cs="Arial"/>
          <w:sz w:val="28"/>
          <w:szCs w:val="28"/>
        </w:rPr>
      </w:pPr>
      <w:r>
        <w:rPr>
          <w:color w:val="36363D"/>
          <w:sz w:val="28"/>
          <w:szCs w:val="28"/>
        </w:rPr>
        <w:t>EPC</w:t>
      </w:r>
      <w:r>
        <w:rPr>
          <w:rFonts w:hint="eastAsia"/>
          <w:color w:val="36363D"/>
          <w:sz w:val="28"/>
          <w:szCs w:val="28"/>
        </w:rPr>
        <w:t>，审定预算清单，总价包干后，实际完成量高，如何处理？</w:t>
      </w:r>
    </w:p>
    <w:p>
      <w:pPr>
        <w:pStyle w:val="15"/>
        <w:keepNext w:val="0"/>
        <w:keepLines w:val="0"/>
        <w:pageBreakBefore w:val="0"/>
        <w:numPr>
          <w:ilvl w:val="0"/>
          <w:numId w:val="3"/>
        </w:numPr>
        <w:kinsoku/>
        <w:wordWrap/>
        <w:overflowPunct/>
        <w:topLinePunct w:val="0"/>
        <w:bidi w:val="0"/>
        <w:snapToGrid/>
        <w:spacing w:line="440" w:lineRule="exact"/>
        <w:ind w:firstLineChars="0"/>
        <w:textAlignment w:val="auto"/>
        <w:rPr>
          <w:sz w:val="28"/>
          <w:szCs w:val="28"/>
        </w:rPr>
      </w:pPr>
      <w:r>
        <w:rPr>
          <w:rFonts w:hint="eastAsia"/>
          <w:sz w:val="28"/>
          <w:szCs w:val="28"/>
        </w:rPr>
        <w:t>E</w:t>
      </w:r>
      <w:r>
        <w:rPr>
          <w:sz w:val="28"/>
          <w:szCs w:val="28"/>
        </w:rPr>
        <w:t>PC</w:t>
      </w:r>
      <w:r>
        <w:rPr>
          <w:rFonts w:hint="eastAsia"/>
          <w:sz w:val="28"/>
          <w:szCs w:val="28"/>
        </w:rPr>
        <w:t>立项金额做错，或偏低问题？</w:t>
      </w:r>
    </w:p>
    <w:p>
      <w:pPr>
        <w:pStyle w:val="15"/>
        <w:keepNext w:val="0"/>
        <w:keepLines w:val="0"/>
        <w:pageBreakBefore w:val="0"/>
        <w:numPr>
          <w:ilvl w:val="0"/>
          <w:numId w:val="3"/>
        </w:numPr>
        <w:kinsoku/>
        <w:wordWrap/>
        <w:overflowPunct/>
        <w:topLinePunct w:val="0"/>
        <w:bidi w:val="0"/>
        <w:snapToGrid/>
        <w:spacing w:line="440" w:lineRule="exact"/>
        <w:ind w:firstLineChars="0"/>
        <w:textAlignment w:val="auto"/>
        <w:rPr>
          <w:sz w:val="28"/>
          <w:szCs w:val="28"/>
        </w:rPr>
      </w:pPr>
      <w:r>
        <w:rPr>
          <w:sz w:val="28"/>
          <w:szCs w:val="28"/>
        </w:rPr>
        <w:t>EPC</w:t>
      </w:r>
      <w:r>
        <w:rPr>
          <w:rFonts w:hint="eastAsia"/>
          <w:sz w:val="28"/>
          <w:szCs w:val="28"/>
        </w:rPr>
        <w:t>模式，边施工边深化施工图，平行穿插的流水操作？</w:t>
      </w:r>
    </w:p>
    <w:p>
      <w:pPr>
        <w:pStyle w:val="15"/>
        <w:keepNext w:val="0"/>
        <w:keepLines w:val="0"/>
        <w:pageBreakBefore w:val="0"/>
        <w:numPr>
          <w:ilvl w:val="0"/>
          <w:numId w:val="3"/>
        </w:numPr>
        <w:kinsoku/>
        <w:wordWrap/>
        <w:overflowPunct/>
        <w:topLinePunct w:val="0"/>
        <w:bidi w:val="0"/>
        <w:snapToGrid/>
        <w:spacing w:line="440" w:lineRule="exact"/>
        <w:ind w:firstLineChars="0"/>
        <w:textAlignment w:val="auto"/>
        <w:rPr>
          <w:sz w:val="28"/>
          <w:szCs w:val="28"/>
        </w:rPr>
      </w:pPr>
      <w:r>
        <w:rPr>
          <w:sz w:val="28"/>
          <w:szCs w:val="28"/>
        </w:rPr>
        <w:t>EPC</w:t>
      </w:r>
      <w:r>
        <w:rPr>
          <w:rFonts w:hint="eastAsia"/>
          <w:sz w:val="28"/>
          <w:szCs w:val="28"/>
        </w:rPr>
        <w:t>模式，</w:t>
      </w:r>
      <w:r>
        <w:rPr>
          <w:rFonts w:hint="eastAsia"/>
          <w:color w:val="36363D"/>
          <w:sz w:val="28"/>
          <w:szCs w:val="28"/>
        </w:rPr>
        <w:t>初设清单量，下浮率，定额，信息价，都固定？</w:t>
      </w:r>
    </w:p>
    <w:p>
      <w:pPr>
        <w:pStyle w:val="15"/>
        <w:keepNext w:val="0"/>
        <w:keepLines w:val="0"/>
        <w:pageBreakBefore w:val="0"/>
        <w:numPr>
          <w:ilvl w:val="0"/>
          <w:numId w:val="3"/>
        </w:numPr>
        <w:kinsoku/>
        <w:wordWrap/>
        <w:overflowPunct/>
        <w:topLinePunct w:val="0"/>
        <w:bidi w:val="0"/>
        <w:snapToGrid/>
        <w:spacing w:line="440" w:lineRule="exact"/>
        <w:ind w:firstLineChars="0"/>
        <w:textAlignment w:val="auto"/>
        <w:rPr>
          <w:sz w:val="28"/>
          <w:szCs w:val="28"/>
        </w:rPr>
      </w:pPr>
      <w:r>
        <w:rPr>
          <w:color w:val="36363D"/>
          <w:sz w:val="28"/>
          <w:szCs w:val="28"/>
        </w:rPr>
        <w:t>EPC</w:t>
      </w:r>
      <w:r>
        <w:rPr>
          <w:rFonts w:hint="eastAsia"/>
          <w:color w:val="36363D"/>
          <w:sz w:val="28"/>
          <w:szCs w:val="28"/>
        </w:rPr>
        <w:t>模式下，</w:t>
      </w:r>
      <w:r>
        <w:rPr>
          <w:rFonts w:hint="eastAsia"/>
          <w:sz w:val="28"/>
          <w:szCs w:val="28"/>
        </w:rPr>
        <w:t>减少了变更、争议、纠纷和索赔的耗费</w:t>
      </w:r>
    </w:p>
    <w:p>
      <w:pPr>
        <w:pStyle w:val="15"/>
        <w:keepNext w:val="0"/>
        <w:keepLines w:val="0"/>
        <w:pageBreakBefore w:val="0"/>
        <w:numPr>
          <w:ilvl w:val="0"/>
          <w:numId w:val="3"/>
        </w:numPr>
        <w:kinsoku/>
        <w:wordWrap/>
        <w:overflowPunct/>
        <w:topLinePunct w:val="0"/>
        <w:bidi w:val="0"/>
        <w:snapToGrid/>
        <w:spacing w:line="440" w:lineRule="exact"/>
        <w:ind w:firstLineChars="0"/>
        <w:textAlignment w:val="auto"/>
        <w:rPr>
          <w:sz w:val="28"/>
          <w:szCs w:val="28"/>
        </w:rPr>
      </w:pPr>
      <w:r>
        <w:rPr>
          <w:rFonts w:hint="eastAsia"/>
          <w:sz w:val="28"/>
          <w:szCs w:val="28"/>
        </w:rPr>
        <w:t>E</w:t>
      </w:r>
      <w:r>
        <w:rPr>
          <w:sz w:val="28"/>
          <w:szCs w:val="28"/>
        </w:rPr>
        <w:t>PC</w:t>
      </w:r>
      <w:r>
        <w:rPr>
          <w:rFonts w:hint="eastAsia"/>
          <w:sz w:val="28"/>
          <w:szCs w:val="28"/>
        </w:rPr>
        <w:t>项目，对设计阶段的设计文件、图纸和资料要求？</w:t>
      </w:r>
    </w:p>
    <w:p>
      <w:pPr>
        <w:pStyle w:val="15"/>
        <w:keepNext w:val="0"/>
        <w:keepLines w:val="0"/>
        <w:pageBreakBefore w:val="0"/>
        <w:numPr>
          <w:ilvl w:val="0"/>
          <w:numId w:val="3"/>
        </w:numPr>
        <w:kinsoku/>
        <w:wordWrap/>
        <w:overflowPunct/>
        <w:topLinePunct w:val="0"/>
        <w:bidi w:val="0"/>
        <w:snapToGrid/>
        <w:spacing w:line="440" w:lineRule="exact"/>
        <w:ind w:firstLineChars="0"/>
        <w:textAlignment w:val="auto"/>
        <w:rPr>
          <w:color w:val="36363D"/>
          <w:sz w:val="28"/>
          <w:szCs w:val="28"/>
        </w:rPr>
      </w:pPr>
      <w:r>
        <w:rPr>
          <w:rFonts w:hint="eastAsia"/>
          <w:color w:val="36363D"/>
          <w:sz w:val="28"/>
          <w:szCs w:val="28"/>
        </w:rPr>
        <w:t>E</w:t>
      </w:r>
      <w:r>
        <w:rPr>
          <w:color w:val="36363D"/>
          <w:sz w:val="28"/>
          <w:szCs w:val="28"/>
        </w:rPr>
        <w:t>PC</w:t>
      </w:r>
      <w:r>
        <w:rPr>
          <w:rFonts w:hint="eastAsia"/>
          <w:color w:val="36363D"/>
          <w:sz w:val="28"/>
          <w:szCs w:val="28"/>
        </w:rPr>
        <w:t>项目出现不良或未预计到的场地条件及设计缺陷等风险？</w:t>
      </w:r>
    </w:p>
    <w:p>
      <w:pPr>
        <w:pStyle w:val="15"/>
        <w:keepNext w:val="0"/>
        <w:keepLines w:val="0"/>
        <w:pageBreakBefore w:val="0"/>
        <w:numPr>
          <w:ilvl w:val="0"/>
          <w:numId w:val="3"/>
        </w:numPr>
        <w:kinsoku/>
        <w:wordWrap/>
        <w:overflowPunct/>
        <w:topLinePunct w:val="0"/>
        <w:bidi w:val="0"/>
        <w:snapToGrid/>
        <w:spacing w:line="440" w:lineRule="exact"/>
        <w:ind w:firstLineChars="0"/>
        <w:textAlignment w:val="auto"/>
        <w:rPr>
          <w:color w:val="36363D"/>
          <w:sz w:val="28"/>
          <w:szCs w:val="28"/>
        </w:rPr>
      </w:pPr>
      <w:r>
        <w:rPr>
          <w:rFonts w:hint="eastAsia"/>
          <w:color w:val="36363D"/>
          <w:sz w:val="28"/>
          <w:szCs w:val="28"/>
        </w:rPr>
        <w:t>E</w:t>
      </w:r>
      <w:r>
        <w:rPr>
          <w:color w:val="36363D"/>
          <w:sz w:val="28"/>
          <w:szCs w:val="28"/>
        </w:rPr>
        <w:t>PC</w:t>
      </w:r>
      <w:r>
        <w:rPr>
          <w:rFonts w:hint="eastAsia"/>
          <w:color w:val="36363D"/>
          <w:sz w:val="28"/>
          <w:szCs w:val="28"/>
        </w:rPr>
        <w:t>项目工期固定、价格固定、风险固定？</w:t>
      </w:r>
    </w:p>
    <w:p>
      <w:pPr>
        <w:pStyle w:val="15"/>
        <w:keepNext w:val="0"/>
        <w:keepLines w:val="0"/>
        <w:pageBreakBefore w:val="0"/>
        <w:numPr>
          <w:ilvl w:val="0"/>
          <w:numId w:val="3"/>
        </w:numPr>
        <w:kinsoku/>
        <w:wordWrap/>
        <w:overflowPunct/>
        <w:topLinePunct w:val="0"/>
        <w:bidi w:val="0"/>
        <w:snapToGrid/>
        <w:spacing w:line="440" w:lineRule="exact"/>
        <w:ind w:firstLineChars="0"/>
        <w:textAlignment w:val="auto"/>
        <w:rPr>
          <w:sz w:val="28"/>
          <w:szCs w:val="28"/>
        </w:rPr>
      </w:pPr>
      <w:r>
        <w:rPr>
          <w:rFonts w:hint="eastAsia"/>
          <w:color w:val="36363D"/>
          <w:sz w:val="28"/>
          <w:szCs w:val="28"/>
        </w:rPr>
        <w:t>E</w:t>
      </w:r>
      <w:r>
        <w:rPr>
          <w:color w:val="36363D"/>
          <w:sz w:val="28"/>
          <w:szCs w:val="28"/>
        </w:rPr>
        <w:t>PC</w:t>
      </w:r>
      <w:r>
        <w:rPr>
          <w:rFonts w:hint="eastAsia"/>
          <w:color w:val="36363D"/>
          <w:sz w:val="28"/>
          <w:szCs w:val="28"/>
        </w:rPr>
        <w:t>项</w:t>
      </w:r>
      <w:r>
        <w:rPr>
          <w:rFonts w:hint="eastAsia"/>
          <w:sz w:val="28"/>
          <w:szCs w:val="28"/>
        </w:rPr>
        <w:t>目建设单位对设计技术人员的要求</w:t>
      </w:r>
    </w:p>
    <w:p>
      <w:pPr>
        <w:pStyle w:val="15"/>
        <w:keepNext w:val="0"/>
        <w:keepLines w:val="0"/>
        <w:pageBreakBefore w:val="0"/>
        <w:widowControl/>
        <w:numPr>
          <w:ilvl w:val="0"/>
          <w:numId w:val="3"/>
        </w:numPr>
        <w:kinsoku/>
        <w:wordWrap/>
        <w:overflowPunct/>
        <w:topLinePunct w:val="0"/>
        <w:bidi w:val="0"/>
        <w:snapToGrid/>
        <w:spacing w:line="440" w:lineRule="exact"/>
        <w:ind w:firstLineChars="0"/>
        <w:jc w:val="left"/>
        <w:textAlignment w:val="auto"/>
        <w:rPr>
          <w:sz w:val="28"/>
          <w:szCs w:val="28"/>
        </w:rPr>
      </w:pPr>
      <w:r>
        <w:rPr>
          <w:rFonts w:hint="eastAsia"/>
          <w:sz w:val="28"/>
          <w:szCs w:val="28"/>
        </w:rPr>
        <w:t>按旧定额签订合同，按新定额结算，是否违背招标投标法规定？</w:t>
      </w:r>
    </w:p>
    <w:p>
      <w:pPr>
        <w:pStyle w:val="15"/>
        <w:keepNext w:val="0"/>
        <w:keepLines w:val="0"/>
        <w:pageBreakBefore w:val="0"/>
        <w:numPr>
          <w:ilvl w:val="0"/>
          <w:numId w:val="3"/>
        </w:numPr>
        <w:kinsoku/>
        <w:wordWrap/>
        <w:overflowPunct/>
        <w:topLinePunct w:val="0"/>
        <w:bidi w:val="0"/>
        <w:snapToGrid/>
        <w:spacing w:line="440" w:lineRule="exact"/>
        <w:ind w:firstLineChars="0"/>
        <w:textAlignment w:val="auto"/>
        <w:rPr>
          <w:color w:val="36363D"/>
          <w:sz w:val="28"/>
          <w:szCs w:val="28"/>
        </w:rPr>
      </w:pPr>
      <w:r>
        <w:rPr>
          <w:rFonts w:hint="eastAsia"/>
          <w:color w:val="36363D"/>
          <w:sz w:val="28"/>
          <w:szCs w:val="28"/>
        </w:rPr>
        <w:t>初步设计不完善的条件下，就要以总包价签订总承包合同，存在工程量不清，价格不定的风险？</w:t>
      </w:r>
    </w:p>
    <w:p>
      <w:pPr>
        <w:pStyle w:val="15"/>
        <w:keepNext w:val="0"/>
        <w:keepLines w:val="0"/>
        <w:pageBreakBefore w:val="0"/>
        <w:numPr>
          <w:ilvl w:val="0"/>
          <w:numId w:val="3"/>
        </w:numPr>
        <w:kinsoku/>
        <w:wordWrap/>
        <w:overflowPunct/>
        <w:topLinePunct w:val="0"/>
        <w:bidi w:val="0"/>
        <w:snapToGrid/>
        <w:spacing w:line="440" w:lineRule="exact"/>
        <w:ind w:firstLineChars="0"/>
        <w:textAlignment w:val="auto"/>
        <w:rPr>
          <w:sz w:val="28"/>
          <w:szCs w:val="28"/>
        </w:rPr>
      </w:pPr>
      <w:r>
        <w:rPr>
          <w:rFonts w:hint="eastAsia"/>
          <w:sz w:val="28"/>
          <w:szCs w:val="28"/>
        </w:rPr>
        <w:t>地方政府红头文件要求结算不能超合同价1</w:t>
      </w:r>
      <w:r>
        <w:rPr>
          <w:sz w:val="28"/>
          <w:szCs w:val="28"/>
        </w:rPr>
        <w:t>0%</w:t>
      </w:r>
      <w:r>
        <w:rPr>
          <w:rFonts w:hint="eastAsia"/>
          <w:sz w:val="28"/>
          <w:szCs w:val="28"/>
        </w:rPr>
        <w:t>问题？</w:t>
      </w:r>
    </w:p>
    <w:p>
      <w:pPr>
        <w:pStyle w:val="15"/>
        <w:keepNext w:val="0"/>
        <w:keepLines w:val="0"/>
        <w:pageBreakBefore w:val="0"/>
        <w:numPr>
          <w:ilvl w:val="0"/>
          <w:numId w:val="3"/>
        </w:numPr>
        <w:kinsoku/>
        <w:wordWrap/>
        <w:overflowPunct/>
        <w:topLinePunct w:val="0"/>
        <w:bidi w:val="0"/>
        <w:snapToGrid/>
        <w:spacing w:line="440" w:lineRule="exact"/>
        <w:ind w:firstLineChars="0"/>
        <w:textAlignment w:val="auto"/>
        <w:rPr>
          <w:sz w:val="28"/>
          <w:szCs w:val="28"/>
        </w:rPr>
      </w:pPr>
      <w:r>
        <w:rPr>
          <w:rFonts w:hint="eastAsia"/>
          <w:sz w:val="28"/>
          <w:szCs w:val="28"/>
        </w:rPr>
        <w:t>概算编制方法，概算定额法、概算指标法、类似工程预算法适用条件？</w:t>
      </w:r>
    </w:p>
    <w:p>
      <w:pPr>
        <w:pStyle w:val="15"/>
        <w:keepNext w:val="0"/>
        <w:keepLines w:val="0"/>
        <w:pageBreakBefore w:val="0"/>
        <w:numPr>
          <w:ilvl w:val="0"/>
          <w:numId w:val="3"/>
        </w:numPr>
        <w:kinsoku/>
        <w:wordWrap/>
        <w:overflowPunct/>
        <w:topLinePunct w:val="0"/>
        <w:bidi w:val="0"/>
        <w:snapToGrid/>
        <w:spacing w:line="440" w:lineRule="exact"/>
        <w:ind w:firstLineChars="0"/>
        <w:textAlignment w:val="auto"/>
        <w:rPr>
          <w:sz w:val="28"/>
          <w:szCs w:val="28"/>
        </w:rPr>
      </w:pPr>
      <w:r>
        <w:rPr>
          <w:rFonts w:hint="eastAsia"/>
          <w:sz w:val="28"/>
          <w:szCs w:val="28"/>
        </w:rPr>
        <w:t>概算批复高于立项估算，结算超概算如何处理？</w:t>
      </w:r>
    </w:p>
    <w:p>
      <w:pPr>
        <w:pStyle w:val="15"/>
        <w:keepNext w:val="0"/>
        <w:keepLines w:val="0"/>
        <w:pageBreakBefore w:val="0"/>
        <w:numPr>
          <w:ilvl w:val="0"/>
          <w:numId w:val="3"/>
        </w:numPr>
        <w:kinsoku/>
        <w:wordWrap/>
        <w:overflowPunct/>
        <w:topLinePunct w:val="0"/>
        <w:bidi w:val="0"/>
        <w:snapToGrid/>
        <w:spacing w:line="440" w:lineRule="exact"/>
        <w:ind w:firstLineChars="0"/>
        <w:textAlignment w:val="auto"/>
        <w:rPr>
          <w:sz w:val="28"/>
          <w:szCs w:val="28"/>
        </w:rPr>
      </w:pPr>
      <w:r>
        <w:rPr>
          <w:rFonts w:hint="eastAsia"/>
          <w:sz w:val="28"/>
          <w:szCs w:val="28"/>
        </w:rPr>
        <w:t>合同条款，与《工程总承包管理办法》出现冲突，如何解决？</w:t>
      </w:r>
    </w:p>
    <w:p>
      <w:pPr>
        <w:pStyle w:val="15"/>
        <w:keepNext w:val="0"/>
        <w:keepLines w:val="0"/>
        <w:pageBreakBefore w:val="0"/>
        <w:numPr>
          <w:ilvl w:val="0"/>
          <w:numId w:val="3"/>
        </w:numPr>
        <w:kinsoku/>
        <w:wordWrap/>
        <w:overflowPunct/>
        <w:topLinePunct w:val="0"/>
        <w:bidi w:val="0"/>
        <w:snapToGrid/>
        <w:spacing w:line="440" w:lineRule="exact"/>
        <w:ind w:firstLineChars="0"/>
        <w:textAlignment w:val="auto"/>
        <w:rPr>
          <w:sz w:val="28"/>
          <w:szCs w:val="28"/>
        </w:rPr>
      </w:pPr>
      <w:r>
        <w:rPr>
          <w:rFonts w:hint="eastAsia"/>
          <w:color w:val="36363D"/>
          <w:sz w:val="28"/>
          <w:szCs w:val="28"/>
        </w:rPr>
        <w:t>甲方桩点位给错，乙方是否有复核责任？</w:t>
      </w:r>
    </w:p>
    <w:p>
      <w:pPr>
        <w:pStyle w:val="15"/>
        <w:keepNext w:val="0"/>
        <w:keepLines w:val="0"/>
        <w:pageBreakBefore w:val="0"/>
        <w:numPr>
          <w:ilvl w:val="0"/>
          <w:numId w:val="3"/>
        </w:numPr>
        <w:kinsoku/>
        <w:wordWrap/>
        <w:overflowPunct/>
        <w:topLinePunct w:val="0"/>
        <w:bidi w:val="0"/>
        <w:snapToGrid/>
        <w:spacing w:line="440" w:lineRule="exact"/>
        <w:ind w:firstLineChars="0"/>
        <w:textAlignment w:val="auto"/>
        <w:rPr>
          <w:sz w:val="28"/>
          <w:szCs w:val="28"/>
        </w:rPr>
      </w:pPr>
      <w:r>
        <w:rPr>
          <w:rFonts w:hint="eastAsia"/>
          <w:sz w:val="28"/>
          <w:szCs w:val="28"/>
        </w:rPr>
        <w:t>如何控制发包后对建设内容、技术方案、材料设备品牌的变更？</w:t>
      </w:r>
    </w:p>
    <w:p>
      <w:pPr>
        <w:pStyle w:val="15"/>
        <w:keepNext w:val="0"/>
        <w:keepLines w:val="0"/>
        <w:pageBreakBefore w:val="0"/>
        <w:numPr>
          <w:ilvl w:val="0"/>
          <w:numId w:val="3"/>
        </w:numPr>
        <w:kinsoku/>
        <w:wordWrap/>
        <w:overflowPunct/>
        <w:topLinePunct w:val="0"/>
        <w:bidi w:val="0"/>
        <w:snapToGrid/>
        <w:spacing w:line="440" w:lineRule="exact"/>
        <w:ind w:firstLineChars="0"/>
        <w:textAlignment w:val="auto"/>
        <w:rPr>
          <w:sz w:val="28"/>
          <w:szCs w:val="28"/>
        </w:rPr>
      </w:pPr>
      <w:r>
        <w:rPr>
          <w:rFonts w:hint="eastAsia"/>
          <w:sz w:val="28"/>
          <w:szCs w:val="28"/>
        </w:rPr>
        <w:t>设计施工一体化，采购深化一体化，样品现场一体化，业主总包一体化，总包分包一体化</w:t>
      </w:r>
    </w:p>
    <w:p>
      <w:pPr>
        <w:pStyle w:val="15"/>
        <w:keepNext w:val="0"/>
        <w:keepLines w:val="0"/>
        <w:pageBreakBefore w:val="0"/>
        <w:numPr>
          <w:ilvl w:val="0"/>
          <w:numId w:val="3"/>
        </w:numPr>
        <w:kinsoku/>
        <w:wordWrap/>
        <w:overflowPunct/>
        <w:topLinePunct w:val="0"/>
        <w:bidi w:val="0"/>
        <w:snapToGrid/>
        <w:spacing w:line="440" w:lineRule="exact"/>
        <w:ind w:firstLineChars="0"/>
        <w:textAlignment w:val="auto"/>
        <w:rPr>
          <w:sz w:val="28"/>
          <w:szCs w:val="28"/>
        </w:rPr>
      </w:pPr>
      <w:r>
        <w:rPr>
          <w:rFonts w:hint="eastAsia"/>
          <w:sz w:val="28"/>
          <w:szCs w:val="28"/>
        </w:rPr>
        <w:t>设计文件、资料和图纸与合同、招标文件、投标文件的优先解释顺序</w:t>
      </w:r>
    </w:p>
    <w:p>
      <w:pPr>
        <w:pStyle w:val="15"/>
        <w:keepNext w:val="0"/>
        <w:keepLines w:val="0"/>
        <w:pageBreakBefore w:val="0"/>
        <w:numPr>
          <w:ilvl w:val="0"/>
          <w:numId w:val="3"/>
        </w:numPr>
        <w:kinsoku/>
        <w:wordWrap/>
        <w:overflowPunct/>
        <w:topLinePunct w:val="0"/>
        <w:bidi w:val="0"/>
        <w:snapToGrid/>
        <w:spacing w:line="440" w:lineRule="exact"/>
        <w:ind w:firstLineChars="0"/>
        <w:textAlignment w:val="auto"/>
        <w:rPr>
          <w:sz w:val="28"/>
          <w:szCs w:val="28"/>
        </w:rPr>
      </w:pPr>
      <w:r>
        <w:rPr>
          <w:rFonts w:hint="eastAsia"/>
          <w:sz w:val="28"/>
          <w:szCs w:val="28"/>
        </w:rPr>
        <w:t>信息价缺项的主要设备和材料的价格确认</w:t>
      </w:r>
    </w:p>
    <w:p>
      <w:pPr>
        <w:keepNext w:val="0"/>
        <w:keepLines w:val="0"/>
        <w:pageBreakBefore w:val="0"/>
        <w:kinsoku/>
        <w:wordWrap/>
        <w:overflowPunct/>
        <w:topLinePunct w:val="0"/>
        <w:bidi w:val="0"/>
        <w:snapToGrid/>
        <w:spacing w:line="440" w:lineRule="exact"/>
        <w:textAlignment w:val="auto"/>
        <w:rPr>
          <w:rFonts w:ascii="黑体" w:hAnsi="黑体" w:eastAsia="黑体"/>
          <w:b/>
          <w:bCs/>
          <w:sz w:val="28"/>
          <w:szCs w:val="28"/>
        </w:rPr>
      </w:pPr>
      <w:r>
        <w:rPr>
          <w:rFonts w:ascii="黑体" w:hAnsi="黑体" w:eastAsia="黑体"/>
          <w:b/>
          <w:bCs/>
          <w:sz w:val="28"/>
          <w:szCs w:val="28"/>
        </w:rPr>
        <w:t>（</w:t>
      </w:r>
      <w:r>
        <w:rPr>
          <w:rFonts w:hint="eastAsia" w:ascii="黑体" w:hAnsi="黑体" w:eastAsia="黑体"/>
          <w:b/>
          <w:bCs/>
          <w:sz w:val="28"/>
          <w:szCs w:val="28"/>
        </w:rPr>
        <w:t>四</w:t>
      </w:r>
      <w:r>
        <w:rPr>
          <w:rFonts w:ascii="黑体" w:hAnsi="黑体" w:eastAsia="黑体"/>
          <w:b/>
          <w:bCs/>
          <w:sz w:val="28"/>
          <w:szCs w:val="28"/>
        </w:rPr>
        <w:t>）</w:t>
      </w:r>
      <w:r>
        <w:rPr>
          <w:rFonts w:hint="eastAsia" w:ascii="黑体" w:hAnsi="黑体" w:eastAsia="黑体"/>
          <w:b/>
          <w:bCs/>
          <w:sz w:val="28"/>
          <w:szCs w:val="28"/>
        </w:rPr>
        <w:t>EPC项目</w:t>
      </w:r>
      <w:r>
        <w:rPr>
          <w:rFonts w:ascii="黑体" w:hAnsi="黑体" w:eastAsia="黑体"/>
          <w:b/>
          <w:bCs/>
          <w:sz w:val="28"/>
          <w:szCs w:val="28"/>
        </w:rPr>
        <w:t>合同价款问题</w:t>
      </w:r>
    </w:p>
    <w:p>
      <w:pPr>
        <w:pStyle w:val="15"/>
        <w:keepNext w:val="0"/>
        <w:keepLines w:val="0"/>
        <w:pageBreakBefore w:val="0"/>
        <w:numPr>
          <w:ilvl w:val="0"/>
          <w:numId w:val="4"/>
        </w:numPr>
        <w:kinsoku/>
        <w:wordWrap/>
        <w:overflowPunct/>
        <w:topLinePunct w:val="0"/>
        <w:bidi w:val="0"/>
        <w:snapToGrid/>
        <w:spacing w:line="440" w:lineRule="exact"/>
        <w:ind w:firstLineChars="0"/>
        <w:textAlignment w:val="auto"/>
        <w:rPr>
          <w:sz w:val="28"/>
          <w:szCs w:val="28"/>
        </w:rPr>
      </w:pPr>
      <w:r>
        <w:rPr>
          <w:rFonts w:hint="eastAsia"/>
          <w:color w:val="36363D"/>
          <w:sz w:val="28"/>
          <w:szCs w:val="28"/>
        </w:rPr>
        <w:t>E</w:t>
      </w:r>
      <w:r>
        <w:rPr>
          <w:color w:val="36363D"/>
          <w:sz w:val="28"/>
          <w:szCs w:val="28"/>
        </w:rPr>
        <w:t>PC</w:t>
      </w:r>
      <w:r>
        <w:rPr>
          <w:rFonts w:hint="eastAsia"/>
          <w:color w:val="36363D"/>
          <w:sz w:val="28"/>
          <w:szCs w:val="28"/>
        </w:rPr>
        <w:t>，甲方变更，甲方调宽结算口径，补充协议能否锁定利润？</w:t>
      </w:r>
    </w:p>
    <w:p>
      <w:pPr>
        <w:pStyle w:val="15"/>
        <w:keepNext w:val="0"/>
        <w:keepLines w:val="0"/>
        <w:pageBreakBefore w:val="0"/>
        <w:numPr>
          <w:ilvl w:val="0"/>
          <w:numId w:val="4"/>
        </w:numPr>
        <w:kinsoku/>
        <w:wordWrap/>
        <w:overflowPunct/>
        <w:topLinePunct w:val="0"/>
        <w:bidi w:val="0"/>
        <w:snapToGrid/>
        <w:spacing w:line="440" w:lineRule="exact"/>
        <w:ind w:firstLineChars="0"/>
        <w:textAlignment w:val="auto"/>
        <w:rPr>
          <w:sz w:val="28"/>
          <w:szCs w:val="28"/>
        </w:rPr>
      </w:pPr>
      <w:r>
        <w:rPr>
          <w:color w:val="36363D"/>
          <w:sz w:val="28"/>
          <w:szCs w:val="28"/>
        </w:rPr>
        <w:t>EPC</w:t>
      </w:r>
      <w:r>
        <w:rPr>
          <w:rFonts w:hint="eastAsia"/>
          <w:color w:val="36363D"/>
          <w:sz w:val="28"/>
          <w:szCs w:val="28"/>
        </w:rPr>
        <w:t>包干范围内，变更导致工程量变化后的合同价款如何调整？</w:t>
      </w:r>
    </w:p>
    <w:p>
      <w:pPr>
        <w:pStyle w:val="15"/>
        <w:keepNext w:val="0"/>
        <w:keepLines w:val="0"/>
        <w:pageBreakBefore w:val="0"/>
        <w:numPr>
          <w:ilvl w:val="0"/>
          <w:numId w:val="4"/>
        </w:numPr>
        <w:kinsoku/>
        <w:wordWrap/>
        <w:overflowPunct/>
        <w:topLinePunct w:val="0"/>
        <w:bidi w:val="0"/>
        <w:snapToGrid/>
        <w:spacing w:line="440" w:lineRule="exact"/>
        <w:ind w:firstLineChars="0"/>
        <w:textAlignment w:val="auto"/>
        <w:rPr>
          <w:sz w:val="28"/>
          <w:szCs w:val="28"/>
        </w:rPr>
      </w:pPr>
      <w:r>
        <w:rPr>
          <w:rFonts w:hint="eastAsia"/>
          <w:color w:val="36363D"/>
          <w:sz w:val="28"/>
          <w:szCs w:val="28"/>
        </w:rPr>
        <w:t>E</w:t>
      </w:r>
      <w:r>
        <w:rPr>
          <w:color w:val="36363D"/>
          <w:sz w:val="28"/>
          <w:szCs w:val="28"/>
        </w:rPr>
        <w:t>PC</w:t>
      </w:r>
      <w:r>
        <w:rPr>
          <w:rFonts w:hint="eastAsia"/>
          <w:color w:val="36363D"/>
          <w:sz w:val="28"/>
          <w:szCs w:val="28"/>
        </w:rPr>
        <w:t>报预算，信息价哪期?</w:t>
      </w:r>
    </w:p>
    <w:p>
      <w:pPr>
        <w:pStyle w:val="15"/>
        <w:keepNext w:val="0"/>
        <w:keepLines w:val="0"/>
        <w:pageBreakBefore w:val="0"/>
        <w:numPr>
          <w:ilvl w:val="0"/>
          <w:numId w:val="4"/>
        </w:numPr>
        <w:kinsoku/>
        <w:wordWrap/>
        <w:overflowPunct/>
        <w:topLinePunct w:val="0"/>
        <w:bidi w:val="0"/>
        <w:snapToGrid/>
        <w:spacing w:line="440" w:lineRule="exact"/>
        <w:ind w:firstLineChars="0"/>
        <w:textAlignment w:val="auto"/>
        <w:rPr>
          <w:sz w:val="28"/>
          <w:szCs w:val="28"/>
        </w:rPr>
      </w:pPr>
      <w:r>
        <w:rPr>
          <w:rFonts w:hint="eastAsia"/>
          <w:sz w:val="28"/>
          <w:szCs w:val="28"/>
        </w:rPr>
        <w:t>EPC</w:t>
      </w:r>
      <w:r>
        <w:rPr>
          <w:sz w:val="28"/>
          <w:szCs w:val="28"/>
        </w:rPr>
        <w:t>概算清单</w:t>
      </w:r>
      <w:r>
        <w:rPr>
          <w:rFonts w:hint="eastAsia"/>
          <w:sz w:val="28"/>
          <w:szCs w:val="28"/>
        </w:rPr>
        <w:t>限价问题</w:t>
      </w:r>
      <w:r>
        <w:rPr>
          <w:sz w:val="28"/>
          <w:szCs w:val="28"/>
        </w:rPr>
        <w:t>？</w:t>
      </w:r>
    </w:p>
    <w:p>
      <w:pPr>
        <w:pStyle w:val="15"/>
        <w:keepNext w:val="0"/>
        <w:keepLines w:val="0"/>
        <w:pageBreakBefore w:val="0"/>
        <w:numPr>
          <w:ilvl w:val="0"/>
          <w:numId w:val="4"/>
        </w:numPr>
        <w:kinsoku/>
        <w:wordWrap/>
        <w:overflowPunct/>
        <w:topLinePunct w:val="0"/>
        <w:bidi w:val="0"/>
        <w:snapToGrid/>
        <w:spacing w:line="440" w:lineRule="exact"/>
        <w:ind w:firstLineChars="0"/>
        <w:textAlignment w:val="auto"/>
        <w:rPr>
          <w:sz w:val="28"/>
          <w:szCs w:val="28"/>
        </w:rPr>
      </w:pPr>
      <w:r>
        <w:rPr>
          <w:rFonts w:ascii="宋体" w:hAnsi="宋体"/>
          <w:color w:val="36363D"/>
          <w:sz w:val="28"/>
          <w:szCs w:val="28"/>
        </w:rPr>
        <w:t>EPC</w:t>
      </w:r>
      <w:r>
        <w:rPr>
          <w:rFonts w:hint="eastAsia" w:ascii="宋体" w:hAnsi="宋体"/>
          <w:color w:val="36363D"/>
          <w:sz w:val="28"/>
          <w:szCs w:val="28"/>
        </w:rPr>
        <w:t>下浮率招标，结算，提供招标控制价清单，财评问题？</w:t>
      </w:r>
    </w:p>
    <w:p>
      <w:pPr>
        <w:pStyle w:val="15"/>
        <w:keepNext w:val="0"/>
        <w:keepLines w:val="0"/>
        <w:pageBreakBefore w:val="0"/>
        <w:numPr>
          <w:ilvl w:val="0"/>
          <w:numId w:val="4"/>
        </w:numPr>
        <w:kinsoku/>
        <w:wordWrap/>
        <w:overflowPunct/>
        <w:topLinePunct w:val="0"/>
        <w:bidi w:val="0"/>
        <w:snapToGrid/>
        <w:spacing w:line="440" w:lineRule="exact"/>
        <w:ind w:firstLineChars="0"/>
        <w:textAlignment w:val="auto"/>
        <w:rPr>
          <w:sz w:val="28"/>
          <w:szCs w:val="28"/>
        </w:rPr>
      </w:pPr>
      <w:r>
        <w:rPr>
          <w:rFonts w:hint="eastAsia"/>
          <w:color w:val="36363D"/>
          <w:sz w:val="28"/>
          <w:szCs w:val="28"/>
        </w:rPr>
        <w:t>E</w:t>
      </w:r>
      <w:r>
        <w:rPr>
          <w:color w:val="36363D"/>
          <w:sz w:val="28"/>
          <w:szCs w:val="28"/>
        </w:rPr>
        <w:t>PC</w:t>
      </w:r>
      <w:r>
        <w:rPr>
          <w:rFonts w:hint="eastAsia"/>
          <w:color w:val="36363D"/>
          <w:sz w:val="28"/>
          <w:szCs w:val="28"/>
        </w:rPr>
        <w:t>项目红线范围内包干，管线迁移等由供电、水务、燃气等部门施工报价与费用结算问题？</w:t>
      </w:r>
    </w:p>
    <w:p>
      <w:pPr>
        <w:pStyle w:val="15"/>
        <w:keepNext w:val="0"/>
        <w:keepLines w:val="0"/>
        <w:pageBreakBefore w:val="0"/>
        <w:numPr>
          <w:ilvl w:val="0"/>
          <w:numId w:val="4"/>
        </w:numPr>
        <w:kinsoku/>
        <w:wordWrap/>
        <w:overflowPunct/>
        <w:topLinePunct w:val="0"/>
        <w:bidi w:val="0"/>
        <w:snapToGrid/>
        <w:spacing w:line="440" w:lineRule="exact"/>
        <w:ind w:firstLineChars="0"/>
        <w:textAlignment w:val="auto"/>
        <w:rPr>
          <w:sz w:val="28"/>
          <w:szCs w:val="28"/>
        </w:rPr>
      </w:pPr>
      <w:r>
        <w:rPr>
          <w:color w:val="36363D"/>
          <w:sz w:val="28"/>
          <w:szCs w:val="28"/>
        </w:rPr>
        <w:t>EPC</w:t>
      </w:r>
      <w:r>
        <w:rPr>
          <w:rFonts w:hint="eastAsia"/>
          <w:color w:val="36363D"/>
          <w:sz w:val="28"/>
          <w:szCs w:val="28"/>
        </w:rPr>
        <w:t>暂估价，配合费、总承包服务费，计取问题？</w:t>
      </w:r>
    </w:p>
    <w:p>
      <w:pPr>
        <w:pStyle w:val="15"/>
        <w:keepNext w:val="0"/>
        <w:keepLines w:val="0"/>
        <w:pageBreakBefore w:val="0"/>
        <w:numPr>
          <w:ilvl w:val="0"/>
          <w:numId w:val="4"/>
        </w:numPr>
        <w:kinsoku/>
        <w:wordWrap/>
        <w:overflowPunct/>
        <w:topLinePunct w:val="0"/>
        <w:bidi w:val="0"/>
        <w:snapToGrid/>
        <w:spacing w:line="440" w:lineRule="exact"/>
        <w:ind w:firstLineChars="0"/>
        <w:textAlignment w:val="auto"/>
        <w:rPr>
          <w:sz w:val="28"/>
          <w:szCs w:val="28"/>
        </w:rPr>
      </w:pPr>
      <w:r>
        <w:rPr>
          <w:color w:val="36363D"/>
          <w:sz w:val="28"/>
          <w:szCs w:val="28"/>
        </w:rPr>
        <w:t>EPC</w:t>
      </w:r>
      <w:r>
        <w:rPr>
          <w:rFonts w:hint="eastAsia"/>
          <w:color w:val="36363D"/>
          <w:sz w:val="28"/>
          <w:szCs w:val="28"/>
        </w:rPr>
        <w:t>总价包干，施工图顶格设计问题？</w:t>
      </w:r>
    </w:p>
    <w:p>
      <w:pPr>
        <w:pStyle w:val="15"/>
        <w:keepNext w:val="0"/>
        <w:keepLines w:val="0"/>
        <w:pageBreakBefore w:val="0"/>
        <w:numPr>
          <w:ilvl w:val="0"/>
          <w:numId w:val="4"/>
        </w:numPr>
        <w:kinsoku/>
        <w:wordWrap/>
        <w:overflowPunct/>
        <w:topLinePunct w:val="0"/>
        <w:bidi w:val="0"/>
        <w:snapToGrid/>
        <w:spacing w:line="440" w:lineRule="exact"/>
        <w:ind w:firstLineChars="0"/>
        <w:textAlignment w:val="auto"/>
        <w:rPr>
          <w:sz w:val="28"/>
          <w:szCs w:val="28"/>
        </w:rPr>
      </w:pPr>
      <w:r>
        <w:rPr>
          <w:rFonts w:hint="eastAsia"/>
          <w:color w:val="36363D"/>
          <w:sz w:val="28"/>
          <w:szCs w:val="28"/>
        </w:rPr>
        <w:t>包干红线范围内，概算漏项，财评评审后，能否调概？</w:t>
      </w:r>
    </w:p>
    <w:p>
      <w:pPr>
        <w:pStyle w:val="15"/>
        <w:keepNext w:val="0"/>
        <w:keepLines w:val="0"/>
        <w:pageBreakBefore w:val="0"/>
        <w:widowControl/>
        <w:numPr>
          <w:ilvl w:val="0"/>
          <w:numId w:val="4"/>
        </w:numPr>
        <w:kinsoku/>
        <w:wordWrap/>
        <w:overflowPunct/>
        <w:topLinePunct w:val="0"/>
        <w:bidi w:val="0"/>
        <w:snapToGrid/>
        <w:spacing w:line="440" w:lineRule="exact"/>
        <w:ind w:firstLineChars="0"/>
        <w:jc w:val="left"/>
        <w:textAlignment w:val="auto"/>
        <w:rPr>
          <w:sz w:val="28"/>
          <w:szCs w:val="28"/>
        </w:rPr>
      </w:pPr>
      <w:r>
        <w:rPr>
          <w:rFonts w:hint="eastAsia"/>
          <w:sz w:val="28"/>
          <w:szCs w:val="28"/>
        </w:rPr>
        <w:t>设计因设备选型错误，造成不能满足《发包人要求》，如何处理？</w:t>
      </w:r>
    </w:p>
    <w:p>
      <w:pPr>
        <w:pStyle w:val="15"/>
        <w:keepNext w:val="0"/>
        <w:keepLines w:val="0"/>
        <w:pageBreakBefore w:val="0"/>
        <w:widowControl/>
        <w:numPr>
          <w:ilvl w:val="0"/>
          <w:numId w:val="4"/>
        </w:numPr>
        <w:kinsoku/>
        <w:wordWrap/>
        <w:overflowPunct/>
        <w:topLinePunct w:val="0"/>
        <w:bidi w:val="0"/>
        <w:snapToGrid/>
        <w:spacing w:line="440" w:lineRule="exact"/>
        <w:ind w:firstLineChars="0"/>
        <w:jc w:val="left"/>
        <w:textAlignment w:val="auto"/>
        <w:rPr>
          <w:sz w:val="28"/>
          <w:szCs w:val="28"/>
        </w:rPr>
      </w:pPr>
      <w:r>
        <w:rPr>
          <w:rFonts w:hint="eastAsia"/>
          <w:sz w:val="28"/>
          <w:szCs w:val="28"/>
        </w:rPr>
        <w:t>施工图审查期间，材料价格大幅上涨，如何处理？</w:t>
      </w:r>
    </w:p>
    <w:p>
      <w:pPr>
        <w:pStyle w:val="15"/>
        <w:keepNext w:val="0"/>
        <w:keepLines w:val="0"/>
        <w:pageBreakBefore w:val="0"/>
        <w:widowControl/>
        <w:numPr>
          <w:ilvl w:val="0"/>
          <w:numId w:val="4"/>
        </w:numPr>
        <w:kinsoku/>
        <w:wordWrap/>
        <w:overflowPunct/>
        <w:topLinePunct w:val="0"/>
        <w:bidi w:val="0"/>
        <w:snapToGrid/>
        <w:spacing w:line="440" w:lineRule="exact"/>
        <w:ind w:firstLineChars="0"/>
        <w:jc w:val="left"/>
        <w:textAlignment w:val="auto"/>
        <w:rPr>
          <w:sz w:val="28"/>
          <w:szCs w:val="28"/>
        </w:rPr>
      </w:pPr>
      <w:r>
        <w:rPr>
          <w:rFonts w:hint="eastAsia"/>
          <w:sz w:val="28"/>
          <w:szCs w:val="28"/>
        </w:rPr>
        <w:t>施工许可证未办理，施工方即进场实施了少许前期工作，能否争取降效费？</w:t>
      </w:r>
    </w:p>
    <w:p>
      <w:pPr>
        <w:pStyle w:val="15"/>
        <w:keepNext w:val="0"/>
        <w:keepLines w:val="0"/>
        <w:pageBreakBefore w:val="0"/>
        <w:widowControl/>
        <w:numPr>
          <w:ilvl w:val="0"/>
          <w:numId w:val="4"/>
        </w:numPr>
        <w:kinsoku/>
        <w:wordWrap/>
        <w:overflowPunct/>
        <w:topLinePunct w:val="0"/>
        <w:bidi w:val="0"/>
        <w:snapToGrid/>
        <w:spacing w:line="440" w:lineRule="exact"/>
        <w:ind w:firstLineChars="0"/>
        <w:jc w:val="left"/>
        <w:textAlignment w:val="auto"/>
        <w:rPr>
          <w:sz w:val="28"/>
          <w:szCs w:val="28"/>
        </w:rPr>
      </w:pPr>
      <w:r>
        <w:rPr>
          <w:rFonts w:hint="eastAsia"/>
          <w:sz w:val="28"/>
          <w:szCs w:val="28"/>
        </w:rPr>
        <w:t>是否可以按竣工图进行结算</w:t>
      </w:r>
      <w:r>
        <w:rPr>
          <w:sz w:val="28"/>
          <w:szCs w:val="28"/>
        </w:rPr>
        <w:t>?</w:t>
      </w:r>
    </w:p>
    <w:p>
      <w:pPr>
        <w:pStyle w:val="15"/>
        <w:keepNext w:val="0"/>
        <w:keepLines w:val="0"/>
        <w:pageBreakBefore w:val="0"/>
        <w:widowControl/>
        <w:numPr>
          <w:ilvl w:val="0"/>
          <w:numId w:val="4"/>
        </w:numPr>
        <w:kinsoku/>
        <w:wordWrap/>
        <w:overflowPunct/>
        <w:topLinePunct w:val="0"/>
        <w:bidi w:val="0"/>
        <w:snapToGrid/>
        <w:spacing w:line="440" w:lineRule="exact"/>
        <w:ind w:firstLineChars="0"/>
        <w:jc w:val="left"/>
        <w:textAlignment w:val="auto"/>
        <w:rPr>
          <w:sz w:val="28"/>
          <w:szCs w:val="28"/>
        </w:rPr>
      </w:pPr>
      <w:r>
        <w:rPr>
          <w:rFonts w:hint="eastAsia"/>
          <w:sz w:val="28"/>
          <w:szCs w:val="28"/>
        </w:rPr>
        <w:t>为办理施工许可证，签署的空白施工合同，后期双方对于主要合同条款未达成共识，如何处理？</w:t>
      </w:r>
    </w:p>
    <w:p>
      <w:pPr>
        <w:pStyle w:val="15"/>
        <w:keepNext w:val="0"/>
        <w:keepLines w:val="0"/>
        <w:pageBreakBefore w:val="0"/>
        <w:widowControl/>
        <w:numPr>
          <w:ilvl w:val="0"/>
          <w:numId w:val="4"/>
        </w:numPr>
        <w:kinsoku/>
        <w:wordWrap/>
        <w:overflowPunct/>
        <w:topLinePunct w:val="0"/>
        <w:bidi w:val="0"/>
        <w:snapToGrid/>
        <w:spacing w:line="440" w:lineRule="exact"/>
        <w:ind w:firstLineChars="0"/>
        <w:jc w:val="left"/>
        <w:textAlignment w:val="auto"/>
        <w:rPr>
          <w:sz w:val="28"/>
          <w:szCs w:val="28"/>
        </w:rPr>
      </w:pPr>
      <w:r>
        <w:rPr>
          <w:rFonts w:hint="eastAsia"/>
          <w:sz w:val="28"/>
          <w:szCs w:val="28"/>
        </w:rPr>
        <w:t>未列入暂估价的专业工程，乙方会上报远高于市场价的价格，甲方对于价格是否有权干涉</w:t>
      </w:r>
      <w:r>
        <w:rPr>
          <w:sz w:val="28"/>
          <w:szCs w:val="28"/>
        </w:rPr>
        <w:t>?</w:t>
      </w:r>
    </w:p>
    <w:p>
      <w:pPr>
        <w:pStyle w:val="15"/>
        <w:keepNext w:val="0"/>
        <w:keepLines w:val="0"/>
        <w:pageBreakBefore w:val="0"/>
        <w:widowControl/>
        <w:numPr>
          <w:ilvl w:val="0"/>
          <w:numId w:val="4"/>
        </w:numPr>
        <w:kinsoku/>
        <w:wordWrap/>
        <w:overflowPunct/>
        <w:topLinePunct w:val="0"/>
        <w:bidi w:val="0"/>
        <w:snapToGrid/>
        <w:spacing w:line="440" w:lineRule="exact"/>
        <w:ind w:firstLineChars="0"/>
        <w:jc w:val="left"/>
        <w:textAlignment w:val="auto"/>
        <w:rPr>
          <w:sz w:val="28"/>
          <w:szCs w:val="28"/>
        </w:rPr>
      </w:pPr>
      <w:r>
        <w:rPr>
          <w:rFonts w:hint="eastAsia"/>
          <w:sz w:val="28"/>
          <w:szCs w:val="28"/>
        </w:rPr>
        <w:t>信息价偏高，能否按市场价格进行审定？</w:t>
      </w:r>
    </w:p>
    <w:p>
      <w:pPr>
        <w:pStyle w:val="15"/>
        <w:keepNext w:val="0"/>
        <w:keepLines w:val="0"/>
        <w:pageBreakBefore w:val="0"/>
        <w:numPr>
          <w:ilvl w:val="0"/>
          <w:numId w:val="4"/>
        </w:numPr>
        <w:kinsoku/>
        <w:wordWrap/>
        <w:overflowPunct/>
        <w:topLinePunct w:val="0"/>
        <w:bidi w:val="0"/>
        <w:snapToGrid/>
        <w:spacing w:line="440" w:lineRule="exact"/>
        <w:ind w:firstLineChars="0"/>
        <w:textAlignment w:val="auto"/>
        <w:rPr>
          <w:sz w:val="28"/>
          <w:szCs w:val="28"/>
        </w:rPr>
      </w:pPr>
      <w:r>
        <w:rPr>
          <w:rFonts w:hint="eastAsia"/>
          <w:sz w:val="28"/>
          <w:szCs w:val="28"/>
        </w:rPr>
        <w:t>招投标方案不一致，如何支付进度款？</w:t>
      </w:r>
    </w:p>
    <w:p>
      <w:pPr>
        <w:pStyle w:val="15"/>
        <w:keepNext w:val="0"/>
        <w:keepLines w:val="0"/>
        <w:pageBreakBefore w:val="0"/>
        <w:widowControl/>
        <w:numPr>
          <w:ilvl w:val="0"/>
          <w:numId w:val="4"/>
        </w:numPr>
        <w:kinsoku/>
        <w:wordWrap/>
        <w:overflowPunct/>
        <w:topLinePunct w:val="0"/>
        <w:bidi w:val="0"/>
        <w:snapToGrid/>
        <w:spacing w:line="440" w:lineRule="exact"/>
        <w:ind w:firstLineChars="0"/>
        <w:jc w:val="left"/>
        <w:textAlignment w:val="auto"/>
        <w:rPr>
          <w:sz w:val="28"/>
          <w:szCs w:val="28"/>
        </w:rPr>
      </w:pPr>
      <w:r>
        <w:rPr>
          <w:rFonts w:hint="eastAsia"/>
          <w:sz w:val="28"/>
          <w:szCs w:val="28"/>
        </w:rPr>
        <w:t>主材甲供，如何扣除对甲方有利？</w:t>
      </w:r>
    </w:p>
    <w:p>
      <w:pPr>
        <w:pStyle w:val="15"/>
        <w:keepNext w:val="0"/>
        <w:keepLines w:val="0"/>
        <w:pageBreakBefore w:val="0"/>
        <w:widowControl/>
        <w:numPr>
          <w:ilvl w:val="0"/>
          <w:numId w:val="4"/>
        </w:numPr>
        <w:kinsoku/>
        <w:wordWrap/>
        <w:overflowPunct/>
        <w:topLinePunct w:val="0"/>
        <w:bidi w:val="0"/>
        <w:snapToGrid/>
        <w:spacing w:line="440" w:lineRule="exact"/>
        <w:ind w:firstLineChars="0"/>
        <w:jc w:val="left"/>
        <w:textAlignment w:val="auto"/>
        <w:rPr>
          <w:sz w:val="28"/>
          <w:szCs w:val="28"/>
        </w:rPr>
      </w:pPr>
      <w:r>
        <w:rPr>
          <w:rFonts w:hint="eastAsia"/>
          <w:sz w:val="28"/>
          <w:szCs w:val="28"/>
        </w:rPr>
        <w:t>专业工程招标后，一直未签施工合同，材料涨价如何处理？</w:t>
      </w:r>
    </w:p>
    <w:p>
      <w:pPr>
        <w:pStyle w:val="15"/>
        <w:keepNext w:val="0"/>
        <w:keepLines w:val="0"/>
        <w:pageBreakBefore w:val="0"/>
        <w:widowControl/>
        <w:numPr>
          <w:ilvl w:val="0"/>
          <w:numId w:val="4"/>
        </w:numPr>
        <w:kinsoku/>
        <w:wordWrap/>
        <w:overflowPunct/>
        <w:topLinePunct w:val="0"/>
        <w:bidi w:val="0"/>
        <w:snapToGrid/>
        <w:spacing w:line="440" w:lineRule="exact"/>
        <w:ind w:firstLineChars="0"/>
        <w:jc w:val="left"/>
        <w:textAlignment w:val="auto"/>
        <w:rPr>
          <w:sz w:val="28"/>
          <w:szCs w:val="28"/>
        </w:rPr>
      </w:pPr>
      <w:r>
        <w:rPr>
          <w:rFonts w:hint="eastAsia"/>
          <w:sz w:val="28"/>
          <w:szCs w:val="28"/>
        </w:rPr>
        <w:t>总包单位前期未提出疑问的费用，如何处理？</w:t>
      </w:r>
    </w:p>
    <w:p>
      <w:pPr>
        <w:keepNext w:val="0"/>
        <w:keepLines w:val="0"/>
        <w:pageBreakBefore w:val="0"/>
        <w:widowControl/>
        <w:kinsoku/>
        <w:wordWrap/>
        <w:overflowPunct/>
        <w:topLinePunct w:val="0"/>
        <w:autoSpaceDE w:val="0"/>
        <w:autoSpaceDN w:val="0"/>
        <w:bidi w:val="0"/>
        <w:adjustRightInd w:val="0"/>
        <w:snapToGrid/>
        <w:spacing w:line="440" w:lineRule="exact"/>
        <w:jc w:val="left"/>
        <w:textAlignment w:val="auto"/>
        <w:rPr>
          <w:rFonts w:ascii="黑体" w:hAnsi="黑体" w:eastAsia="黑体" w:cs="Times New Roman"/>
          <w:b/>
          <w:bCs/>
          <w:sz w:val="28"/>
          <w:szCs w:val="28"/>
        </w:rPr>
      </w:pPr>
      <w:r>
        <w:rPr>
          <w:rFonts w:hint="eastAsia" w:ascii="黑体" w:hAnsi="黑体" w:eastAsia="黑体" w:cs="Times New Roman"/>
          <w:b/>
          <w:bCs/>
          <w:sz w:val="28"/>
          <w:szCs w:val="28"/>
        </w:rPr>
        <w:t>（五）</w:t>
      </w:r>
      <w:r>
        <w:rPr>
          <w:rFonts w:hint="eastAsia" w:ascii="黑体" w:hAnsi="黑体" w:eastAsia="黑体"/>
          <w:b/>
          <w:bCs/>
          <w:sz w:val="28"/>
          <w:szCs w:val="28"/>
        </w:rPr>
        <w:t>EPC项目</w:t>
      </w:r>
      <w:r>
        <w:rPr>
          <w:rFonts w:hint="eastAsia" w:ascii="黑体" w:hAnsi="黑体" w:eastAsia="黑体" w:cs="Times New Roman"/>
          <w:b/>
          <w:bCs/>
          <w:sz w:val="28"/>
          <w:szCs w:val="28"/>
        </w:rPr>
        <w:t>疑难问题</w:t>
      </w:r>
    </w:p>
    <w:p>
      <w:pPr>
        <w:pStyle w:val="15"/>
        <w:keepNext w:val="0"/>
        <w:keepLines w:val="0"/>
        <w:pageBreakBefore w:val="0"/>
        <w:widowControl/>
        <w:numPr>
          <w:ilvl w:val="0"/>
          <w:numId w:val="5"/>
        </w:numPr>
        <w:kinsoku/>
        <w:wordWrap/>
        <w:overflowPunct/>
        <w:topLinePunct w:val="0"/>
        <w:bidi w:val="0"/>
        <w:snapToGrid/>
        <w:spacing w:line="440" w:lineRule="exact"/>
        <w:ind w:firstLineChars="0"/>
        <w:jc w:val="left"/>
        <w:textAlignment w:val="auto"/>
        <w:rPr>
          <w:sz w:val="28"/>
          <w:szCs w:val="28"/>
        </w:rPr>
      </w:pPr>
      <w:r>
        <w:rPr>
          <w:rFonts w:hint="eastAsia"/>
          <w:sz w:val="28"/>
          <w:szCs w:val="28"/>
        </w:rPr>
        <w:t>按定额编制出来的结算价比投标报价多，怎么合理处理相应费用？</w:t>
      </w:r>
    </w:p>
    <w:p>
      <w:pPr>
        <w:pStyle w:val="15"/>
        <w:keepNext w:val="0"/>
        <w:keepLines w:val="0"/>
        <w:pageBreakBefore w:val="0"/>
        <w:widowControl/>
        <w:numPr>
          <w:ilvl w:val="0"/>
          <w:numId w:val="5"/>
        </w:numPr>
        <w:kinsoku/>
        <w:wordWrap/>
        <w:overflowPunct/>
        <w:topLinePunct w:val="0"/>
        <w:bidi w:val="0"/>
        <w:snapToGrid/>
        <w:spacing w:line="440" w:lineRule="exact"/>
        <w:ind w:firstLineChars="0"/>
        <w:jc w:val="left"/>
        <w:textAlignment w:val="auto"/>
        <w:rPr>
          <w:sz w:val="28"/>
          <w:szCs w:val="28"/>
        </w:rPr>
      </w:pPr>
      <w:r>
        <w:rPr>
          <w:rFonts w:hint="eastAsia"/>
          <w:sz w:val="28"/>
          <w:szCs w:val="28"/>
        </w:rPr>
        <w:t>部分确实发生的施工，造价鉴定机构可否以施工量无法计量为由，而不予认定相应工程价款</w:t>
      </w:r>
      <w:r>
        <w:rPr>
          <w:sz w:val="28"/>
          <w:szCs w:val="28"/>
        </w:rPr>
        <w:t>?</w:t>
      </w:r>
    </w:p>
    <w:p>
      <w:pPr>
        <w:pStyle w:val="15"/>
        <w:keepNext w:val="0"/>
        <w:keepLines w:val="0"/>
        <w:pageBreakBefore w:val="0"/>
        <w:widowControl/>
        <w:numPr>
          <w:ilvl w:val="0"/>
          <w:numId w:val="5"/>
        </w:numPr>
        <w:kinsoku/>
        <w:wordWrap/>
        <w:overflowPunct/>
        <w:topLinePunct w:val="0"/>
        <w:bidi w:val="0"/>
        <w:snapToGrid/>
        <w:spacing w:line="440" w:lineRule="exact"/>
        <w:ind w:firstLineChars="0"/>
        <w:jc w:val="left"/>
        <w:textAlignment w:val="auto"/>
        <w:rPr>
          <w:sz w:val="28"/>
          <w:szCs w:val="28"/>
        </w:rPr>
      </w:pPr>
      <w:r>
        <w:rPr>
          <w:rFonts w:hint="eastAsia"/>
          <w:sz w:val="28"/>
          <w:szCs w:val="28"/>
        </w:rPr>
        <w:t>对于价款增加部分工程，应如何处理才不违规</w:t>
      </w:r>
      <w:r>
        <w:rPr>
          <w:sz w:val="28"/>
          <w:szCs w:val="28"/>
        </w:rPr>
        <w:t>?</w:t>
      </w:r>
    </w:p>
    <w:p>
      <w:pPr>
        <w:pStyle w:val="15"/>
        <w:keepNext w:val="0"/>
        <w:keepLines w:val="0"/>
        <w:pageBreakBefore w:val="0"/>
        <w:widowControl/>
        <w:numPr>
          <w:ilvl w:val="0"/>
          <w:numId w:val="5"/>
        </w:numPr>
        <w:kinsoku/>
        <w:wordWrap/>
        <w:overflowPunct/>
        <w:topLinePunct w:val="0"/>
        <w:bidi w:val="0"/>
        <w:snapToGrid/>
        <w:spacing w:line="440" w:lineRule="exact"/>
        <w:ind w:firstLineChars="0"/>
        <w:jc w:val="left"/>
        <w:textAlignment w:val="auto"/>
        <w:rPr>
          <w:sz w:val="28"/>
          <w:szCs w:val="28"/>
        </w:rPr>
      </w:pPr>
      <w:r>
        <w:rPr>
          <w:rFonts w:hint="eastAsia"/>
          <w:sz w:val="28"/>
          <w:szCs w:val="28"/>
        </w:rPr>
        <w:t>概算定额与实际施工图有差异增加的费用，如何处理？</w:t>
      </w:r>
    </w:p>
    <w:p>
      <w:pPr>
        <w:pStyle w:val="15"/>
        <w:keepNext w:val="0"/>
        <w:keepLines w:val="0"/>
        <w:pageBreakBefore w:val="0"/>
        <w:widowControl/>
        <w:numPr>
          <w:ilvl w:val="0"/>
          <w:numId w:val="5"/>
        </w:numPr>
        <w:kinsoku/>
        <w:wordWrap/>
        <w:overflowPunct/>
        <w:topLinePunct w:val="0"/>
        <w:bidi w:val="0"/>
        <w:snapToGrid/>
        <w:spacing w:line="440" w:lineRule="exact"/>
        <w:ind w:firstLineChars="0"/>
        <w:jc w:val="left"/>
        <w:textAlignment w:val="auto"/>
        <w:rPr>
          <w:sz w:val="28"/>
          <w:szCs w:val="28"/>
        </w:rPr>
      </w:pPr>
      <w:r>
        <w:rPr>
          <w:rFonts w:hint="eastAsia"/>
          <w:sz w:val="28"/>
          <w:szCs w:val="28"/>
        </w:rPr>
        <w:t>概算中二类费用，按项计费与按定额计价，超出概算的费用，如何处理？</w:t>
      </w:r>
    </w:p>
    <w:p>
      <w:pPr>
        <w:pStyle w:val="15"/>
        <w:keepNext w:val="0"/>
        <w:keepLines w:val="0"/>
        <w:pageBreakBefore w:val="0"/>
        <w:widowControl/>
        <w:numPr>
          <w:ilvl w:val="0"/>
          <w:numId w:val="5"/>
        </w:numPr>
        <w:kinsoku/>
        <w:wordWrap/>
        <w:overflowPunct/>
        <w:topLinePunct w:val="0"/>
        <w:bidi w:val="0"/>
        <w:snapToGrid/>
        <w:spacing w:line="440" w:lineRule="exact"/>
        <w:ind w:firstLineChars="0"/>
        <w:jc w:val="left"/>
        <w:textAlignment w:val="auto"/>
        <w:rPr>
          <w:sz w:val="28"/>
          <w:szCs w:val="28"/>
        </w:rPr>
      </w:pPr>
      <w:r>
        <w:rPr>
          <w:rFonts w:hint="eastAsia"/>
          <w:sz w:val="28"/>
          <w:szCs w:val="28"/>
        </w:rPr>
        <w:t>工程量差异，概算价计算有误，超出概算的费用，如何处理？</w:t>
      </w:r>
    </w:p>
    <w:p>
      <w:pPr>
        <w:pStyle w:val="15"/>
        <w:keepNext w:val="0"/>
        <w:keepLines w:val="0"/>
        <w:pageBreakBefore w:val="0"/>
        <w:widowControl/>
        <w:numPr>
          <w:ilvl w:val="0"/>
          <w:numId w:val="5"/>
        </w:numPr>
        <w:kinsoku/>
        <w:wordWrap/>
        <w:overflowPunct/>
        <w:topLinePunct w:val="0"/>
        <w:bidi w:val="0"/>
        <w:snapToGrid/>
        <w:spacing w:line="440" w:lineRule="exact"/>
        <w:ind w:firstLineChars="0"/>
        <w:jc w:val="left"/>
        <w:textAlignment w:val="auto"/>
        <w:rPr>
          <w:sz w:val="28"/>
          <w:szCs w:val="28"/>
        </w:rPr>
      </w:pPr>
      <w:r>
        <w:rPr>
          <w:rFonts w:hint="eastAsia"/>
          <w:sz w:val="28"/>
          <w:szCs w:val="28"/>
        </w:rPr>
        <w:t>甲方要求更换材料品牌，如何调整结算价</w:t>
      </w:r>
      <w:r>
        <w:rPr>
          <w:sz w:val="28"/>
          <w:szCs w:val="28"/>
        </w:rPr>
        <w:t>?</w:t>
      </w:r>
    </w:p>
    <w:p>
      <w:pPr>
        <w:pStyle w:val="15"/>
        <w:keepNext w:val="0"/>
        <w:keepLines w:val="0"/>
        <w:pageBreakBefore w:val="0"/>
        <w:widowControl/>
        <w:numPr>
          <w:ilvl w:val="0"/>
          <w:numId w:val="5"/>
        </w:numPr>
        <w:kinsoku/>
        <w:wordWrap/>
        <w:overflowPunct/>
        <w:topLinePunct w:val="0"/>
        <w:bidi w:val="0"/>
        <w:snapToGrid/>
        <w:spacing w:line="440" w:lineRule="exact"/>
        <w:ind w:firstLineChars="0"/>
        <w:jc w:val="left"/>
        <w:textAlignment w:val="auto"/>
        <w:rPr>
          <w:sz w:val="28"/>
          <w:szCs w:val="28"/>
        </w:rPr>
      </w:pPr>
      <w:r>
        <w:rPr>
          <w:rFonts w:hint="eastAsia"/>
          <w:sz w:val="28"/>
          <w:szCs w:val="28"/>
        </w:rPr>
        <w:t>甲方原因已超过两年未开工，如何处理</w:t>
      </w:r>
      <w:r>
        <w:rPr>
          <w:sz w:val="28"/>
          <w:szCs w:val="28"/>
        </w:rPr>
        <w:t>?</w:t>
      </w:r>
    </w:p>
    <w:p>
      <w:pPr>
        <w:pStyle w:val="15"/>
        <w:keepNext w:val="0"/>
        <w:keepLines w:val="0"/>
        <w:pageBreakBefore w:val="0"/>
        <w:widowControl/>
        <w:numPr>
          <w:ilvl w:val="0"/>
          <w:numId w:val="5"/>
        </w:numPr>
        <w:kinsoku/>
        <w:wordWrap/>
        <w:overflowPunct/>
        <w:topLinePunct w:val="0"/>
        <w:bidi w:val="0"/>
        <w:snapToGrid/>
        <w:spacing w:line="440" w:lineRule="exact"/>
        <w:ind w:firstLineChars="0"/>
        <w:jc w:val="left"/>
        <w:textAlignment w:val="auto"/>
        <w:rPr>
          <w:sz w:val="28"/>
          <w:szCs w:val="28"/>
        </w:rPr>
      </w:pPr>
      <w:r>
        <w:rPr>
          <w:rFonts w:hint="eastAsia"/>
          <w:sz w:val="28"/>
          <w:szCs w:val="28"/>
        </w:rPr>
        <w:t>甲供材结算，预算报价的辅助材料费能否扣减？</w:t>
      </w:r>
      <w:r>
        <w:rPr>
          <w:sz w:val="28"/>
          <w:szCs w:val="28"/>
        </w:rPr>
        <w:t xml:space="preserve"> </w:t>
      </w:r>
    </w:p>
    <w:p>
      <w:pPr>
        <w:pStyle w:val="15"/>
        <w:keepNext w:val="0"/>
        <w:keepLines w:val="0"/>
        <w:pageBreakBefore w:val="0"/>
        <w:widowControl/>
        <w:numPr>
          <w:ilvl w:val="0"/>
          <w:numId w:val="5"/>
        </w:numPr>
        <w:kinsoku/>
        <w:wordWrap/>
        <w:overflowPunct/>
        <w:topLinePunct w:val="0"/>
        <w:bidi w:val="0"/>
        <w:snapToGrid/>
        <w:spacing w:line="440" w:lineRule="exact"/>
        <w:ind w:firstLineChars="0"/>
        <w:jc w:val="left"/>
        <w:textAlignment w:val="auto"/>
        <w:rPr>
          <w:sz w:val="28"/>
          <w:szCs w:val="28"/>
        </w:rPr>
      </w:pPr>
      <w:r>
        <w:rPr>
          <w:rFonts w:hint="eastAsia"/>
          <w:sz w:val="28"/>
          <w:szCs w:val="28"/>
        </w:rPr>
        <w:t>结算书只有造价咨询企业的公章，没有造价人员签字和盖职业印章，是否有效</w:t>
      </w:r>
      <w:r>
        <w:rPr>
          <w:sz w:val="28"/>
          <w:szCs w:val="28"/>
        </w:rPr>
        <w:t>?</w:t>
      </w:r>
    </w:p>
    <w:p>
      <w:pPr>
        <w:pStyle w:val="15"/>
        <w:keepNext w:val="0"/>
        <w:keepLines w:val="0"/>
        <w:pageBreakBefore w:val="0"/>
        <w:widowControl/>
        <w:numPr>
          <w:ilvl w:val="0"/>
          <w:numId w:val="5"/>
        </w:numPr>
        <w:kinsoku/>
        <w:wordWrap/>
        <w:overflowPunct/>
        <w:topLinePunct w:val="0"/>
        <w:bidi w:val="0"/>
        <w:snapToGrid/>
        <w:spacing w:line="440" w:lineRule="exact"/>
        <w:ind w:firstLineChars="0"/>
        <w:jc w:val="left"/>
        <w:textAlignment w:val="auto"/>
        <w:rPr>
          <w:sz w:val="28"/>
          <w:szCs w:val="28"/>
        </w:rPr>
      </w:pPr>
      <w:r>
        <w:rPr>
          <w:rFonts w:hint="eastAsia"/>
          <w:sz w:val="28"/>
          <w:szCs w:val="28"/>
        </w:rPr>
        <w:t>经专家认证的高支模方案增加的费用是否可以按实计取</w:t>
      </w:r>
      <w:r>
        <w:rPr>
          <w:sz w:val="28"/>
          <w:szCs w:val="28"/>
        </w:rPr>
        <w:t>?</w:t>
      </w:r>
    </w:p>
    <w:p>
      <w:pPr>
        <w:pStyle w:val="15"/>
        <w:keepNext w:val="0"/>
        <w:keepLines w:val="0"/>
        <w:pageBreakBefore w:val="0"/>
        <w:widowControl/>
        <w:numPr>
          <w:ilvl w:val="0"/>
          <w:numId w:val="5"/>
        </w:numPr>
        <w:kinsoku/>
        <w:wordWrap/>
        <w:overflowPunct/>
        <w:topLinePunct w:val="0"/>
        <w:bidi w:val="0"/>
        <w:snapToGrid/>
        <w:spacing w:line="440" w:lineRule="exact"/>
        <w:ind w:firstLineChars="0"/>
        <w:jc w:val="left"/>
        <w:textAlignment w:val="auto"/>
        <w:rPr>
          <w:sz w:val="28"/>
          <w:szCs w:val="28"/>
        </w:rPr>
      </w:pPr>
      <w:r>
        <w:rPr>
          <w:rFonts w:hint="eastAsia"/>
          <w:sz w:val="28"/>
          <w:szCs w:val="28"/>
        </w:rPr>
        <w:t>据实结算，是按实际人工费和机械费做书面签证，还是按信息价调整？</w:t>
      </w:r>
    </w:p>
    <w:p>
      <w:pPr>
        <w:pStyle w:val="15"/>
        <w:keepNext w:val="0"/>
        <w:keepLines w:val="0"/>
        <w:pageBreakBefore w:val="0"/>
        <w:widowControl/>
        <w:numPr>
          <w:ilvl w:val="0"/>
          <w:numId w:val="5"/>
        </w:numPr>
        <w:kinsoku/>
        <w:wordWrap/>
        <w:overflowPunct/>
        <w:topLinePunct w:val="0"/>
        <w:bidi w:val="0"/>
        <w:snapToGrid/>
        <w:spacing w:line="440" w:lineRule="exact"/>
        <w:ind w:firstLineChars="0"/>
        <w:jc w:val="left"/>
        <w:textAlignment w:val="auto"/>
        <w:rPr>
          <w:sz w:val="28"/>
          <w:szCs w:val="28"/>
        </w:rPr>
      </w:pPr>
      <w:r>
        <w:rPr>
          <w:rFonts w:hint="eastAsia"/>
          <w:sz w:val="28"/>
          <w:szCs w:val="28"/>
        </w:rPr>
        <w:t>考虑施工难度，预算报价比定额高的费用，如何处理？</w:t>
      </w:r>
    </w:p>
    <w:p>
      <w:pPr>
        <w:pStyle w:val="15"/>
        <w:keepNext w:val="0"/>
        <w:keepLines w:val="0"/>
        <w:pageBreakBefore w:val="0"/>
        <w:widowControl/>
        <w:numPr>
          <w:ilvl w:val="0"/>
          <w:numId w:val="5"/>
        </w:numPr>
        <w:kinsoku/>
        <w:wordWrap/>
        <w:overflowPunct/>
        <w:topLinePunct w:val="0"/>
        <w:bidi w:val="0"/>
        <w:snapToGrid/>
        <w:spacing w:line="440" w:lineRule="exact"/>
        <w:ind w:firstLineChars="0"/>
        <w:jc w:val="left"/>
        <w:textAlignment w:val="auto"/>
        <w:rPr>
          <w:sz w:val="28"/>
          <w:szCs w:val="28"/>
        </w:rPr>
      </w:pPr>
      <w:r>
        <w:rPr>
          <w:rFonts w:hint="eastAsia"/>
          <w:sz w:val="28"/>
          <w:szCs w:val="28"/>
        </w:rPr>
        <w:t>模板和垂直运输费等招标清单的计量单位为项，能否据实结算？</w:t>
      </w:r>
    </w:p>
    <w:p>
      <w:pPr>
        <w:pStyle w:val="15"/>
        <w:keepNext w:val="0"/>
        <w:keepLines w:val="0"/>
        <w:pageBreakBefore w:val="0"/>
        <w:widowControl/>
        <w:numPr>
          <w:ilvl w:val="0"/>
          <w:numId w:val="5"/>
        </w:numPr>
        <w:kinsoku/>
        <w:wordWrap/>
        <w:overflowPunct/>
        <w:topLinePunct w:val="0"/>
        <w:bidi w:val="0"/>
        <w:snapToGrid/>
        <w:spacing w:line="440" w:lineRule="exact"/>
        <w:ind w:firstLineChars="0"/>
        <w:jc w:val="left"/>
        <w:textAlignment w:val="auto"/>
        <w:rPr>
          <w:sz w:val="28"/>
          <w:szCs w:val="28"/>
        </w:rPr>
      </w:pPr>
      <w:r>
        <w:rPr>
          <w:rFonts w:hint="eastAsia"/>
          <w:sz w:val="28"/>
          <w:szCs w:val="28"/>
        </w:rPr>
        <w:t>人工费市场价与定额价的差额，如何处理？</w:t>
      </w:r>
    </w:p>
    <w:p>
      <w:pPr>
        <w:pStyle w:val="15"/>
        <w:keepNext w:val="0"/>
        <w:keepLines w:val="0"/>
        <w:pageBreakBefore w:val="0"/>
        <w:widowControl/>
        <w:numPr>
          <w:ilvl w:val="0"/>
          <w:numId w:val="5"/>
        </w:numPr>
        <w:kinsoku/>
        <w:wordWrap/>
        <w:overflowPunct/>
        <w:topLinePunct w:val="0"/>
        <w:bidi w:val="0"/>
        <w:snapToGrid/>
        <w:spacing w:line="440" w:lineRule="exact"/>
        <w:ind w:firstLineChars="0"/>
        <w:jc w:val="left"/>
        <w:textAlignment w:val="auto"/>
        <w:rPr>
          <w:sz w:val="28"/>
          <w:szCs w:val="28"/>
        </w:rPr>
      </w:pPr>
      <w:r>
        <w:rPr>
          <w:rFonts w:hint="eastAsia"/>
          <w:sz w:val="28"/>
          <w:szCs w:val="28"/>
        </w:rPr>
        <w:t>审计方能否修改预算单价和合同总价，是否违背EPC合同</w:t>
      </w:r>
      <w:r>
        <w:rPr>
          <w:sz w:val="28"/>
          <w:szCs w:val="28"/>
        </w:rPr>
        <w:t>?</w:t>
      </w:r>
    </w:p>
    <w:p>
      <w:pPr>
        <w:pStyle w:val="15"/>
        <w:keepNext w:val="0"/>
        <w:keepLines w:val="0"/>
        <w:pageBreakBefore w:val="0"/>
        <w:widowControl/>
        <w:numPr>
          <w:ilvl w:val="0"/>
          <w:numId w:val="5"/>
        </w:numPr>
        <w:kinsoku/>
        <w:wordWrap/>
        <w:overflowPunct/>
        <w:topLinePunct w:val="0"/>
        <w:bidi w:val="0"/>
        <w:snapToGrid/>
        <w:spacing w:line="440" w:lineRule="exact"/>
        <w:ind w:firstLineChars="0"/>
        <w:jc w:val="left"/>
        <w:textAlignment w:val="auto"/>
        <w:rPr>
          <w:sz w:val="28"/>
          <w:szCs w:val="28"/>
        </w:rPr>
      </w:pPr>
      <w:r>
        <w:rPr>
          <w:rFonts w:hint="eastAsia"/>
          <w:sz w:val="28"/>
          <w:szCs w:val="28"/>
        </w:rPr>
        <w:t>受征地影响的施工降效费用，如何处理</w:t>
      </w:r>
      <w:r>
        <w:rPr>
          <w:sz w:val="28"/>
          <w:szCs w:val="28"/>
        </w:rPr>
        <w:t>?</w:t>
      </w:r>
    </w:p>
    <w:p>
      <w:pPr>
        <w:pStyle w:val="15"/>
        <w:keepNext w:val="0"/>
        <w:keepLines w:val="0"/>
        <w:pageBreakBefore w:val="0"/>
        <w:widowControl/>
        <w:numPr>
          <w:ilvl w:val="0"/>
          <w:numId w:val="5"/>
        </w:numPr>
        <w:kinsoku/>
        <w:wordWrap/>
        <w:overflowPunct/>
        <w:topLinePunct w:val="0"/>
        <w:bidi w:val="0"/>
        <w:snapToGrid/>
        <w:spacing w:line="440" w:lineRule="exact"/>
        <w:ind w:firstLineChars="0"/>
        <w:jc w:val="left"/>
        <w:textAlignment w:val="auto"/>
        <w:rPr>
          <w:sz w:val="28"/>
          <w:szCs w:val="28"/>
        </w:rPr>
      </w:pPr>
      <w:r>
        <w:rPr>
          <w:rFonts w:hint="eastAsia"/>
          <w:sz w:val="28"/>
          <w:szCs w:val="28"/>
        </w:rPr>
        <w:t>总包合同约定勘察资料的准确性和完整性由承包人自行复核，风险由承包人承担，如何应对？</w:t>
      </w:r>
    </w:p>
    <w:p>
      <w:pPr>
        <w:pStyle w:val="15"/>
        <w:keepNext w:val="0"/>
        <w:keepLines w:val="0"/>
        <w:pageBreakBefore w:val="0"/>
        <w:widowControl/>
        <w:numPr>
          <w:ilvl w:val="0"/>
          <w:numId w:val="5"/>
        </w:numPr>
        <w:kinsoku/>
        <w:wordWrap/>
        <w:overflowPunct/>
        <w:topLinePunct w:val="0"/>
        <w:bidi w:val="0"/>
        <w:snapToGrid/>
        <w:spacing w:line="440" w:lineRule="exact"/>
        <w:ind w:firstLineChars="0"/>
        <w:jc w:val="left"/>
        <w:textAlignment w:val="auto"/>
        <w:rPr>
          <w:sz w:val="28"/>
          <w:szCs w:val="28"/>
        </w:rPr>
      </w:pPr>
      <w:r>
        <w:rPr>
          <w:rFonts w:hint="eastAsia"/>
          <w:sz w:val="28"/>
          <w:szCs w:val="28"/>
        </w:rPr>
        <w:t>总承包服务费未发生，预算包干费按合同建筑面积计取是否妥当？</w:t>
      </w:r>
    </w:p>
    <w:p>
      <w:pPr>
        <w:pStyle w:val="15"/>
        <w:keepNext w:val="0"/>
        <w:keepLines w:val="0"/>
        <w:pageBreakBefore w:val="0"/>
        <w:widowControl/>
        <w:numPr>
          <w:ilvl w:val="0"/>
          <w:numId w:val="5"/>
        </w:numPr>
        <w:kinsoku/>
        <w:wordWrap/>
        <w:overflowPunct/>
        <w:topLinePunct w:val="0"/>
        <w:bidi w:val="0"/>
        <w:snapToGrid/>
        <w:spacing w:line="440" w:lineRule="exact"/>
        <w:ind w:firstLineChars="0"/>
        <w:jc w:val="left"/>
        <w:textAlignment w:val="auto"/>
        <w:rPr>
          <w:rFonts w:ascii="黑体" w:hAnsi="黑体" w:eastAsia="黑体" w:cs="Times New Roman"/>
          <w:sz w:val="28"/>
          <w:szCs w:val="28"/>
        </w:rPr>
      </w:pPr>
      <w:r>
        <w:rPr>
          <w:rFonts w:hint="eastAsia"/>
          <w:sz w:val="28"/>
          <w:szCs w:val="28"/>
        </w:rPr>
        <w:t>总价合同要考虑总价对应的范围，如何处理？</w:t>
      </w:r>
    </w:p>
    <w:p>
      <w:pPr>
        <w:keepNext w:val="0"/>
        <w:keepLines w:val="0"/>
        <w:pageBreakBefore w:val="0"/>
        <w:kinsoku/>
        <w:wordWrap/>
        <w:overflowPunct/>
        <w:topLinePunct w:val="0"/>
        <w:bidi w:val="0"/>
        <w:snapToGrid/>
        <w:spacing w:line="440" w:lineRule="exact"/>
        <w:textAlignment w:val="auto"/>
        <w:rPr>
          <w:b/>
          <w:bCs/>
          <w:sz w:val="28"/>
          <w:szCs w:val="28"/>
        </w:rPr>
      </w:pPr>
      <w:r>
        <w:rPr>
          <w:b/>
          <w:bCs/>
          <w:sz w:val="28"/>
          <w:szCs w:val="28"/>
        </w:rPr>
        <w:t>二、培训对象</w:t>
      </w:r>
    </w:p>
    <w:p>
      <w:pPr>
        <w:keepNext w:val="0"/>
        <w:keepLines w:val="0"/>
        <w:pageBreakBefore w:val="0"/>
        <w:kinsoku/>
        <w:wordWrap/>
        <w:overflowPunct/>
        <w:topLinePunct w:val="0"/>
        <w:bidi w:val="0"/>
        <w:snapToGrid/>
        <w:spacing w:line="440" w:lineRule="exact"/>
        <w:ind w:firstLine="560" w:firstLineChars="200"/>
        <w:textAlignment w:val="auto"/>
        <w:rPr>
          <w:sz w:val="28"/>
          <w:szCs w:val="28"/>
        </w:rPr>
      </w:pPr>
      <w:r>
        <w:rPr>
          <w:sz w:val="28"/>
          <w:szCs w:val="28"/>
        </w:rPr>
        <w:t>各地政府建设项目监管部门、工程交易中心、投资项目评审中心；各业主单位从事项目管理、合同管理、工程项目建设、开发、审计等相关部门人员；各建筑施工企业、工程公司、总承包公司、设计院、成套设备公司、国际招标公司、设备材料供应商、律师事务所及各公司的总经理、副总经理、部门经理、项目经理、市场开发、法务专员等相关部门负责人、参与EPC项目管理的所有管理者。</w:t>
      </w:r>
    </w:p>
    <w:p>
      <w:pPr>
        <w:keepNext w:val="0"/>
        <w:keepLines w:val="0"/>
        <w:pageBreakBefore w:val="0"/>
        <w:numPr>
          <w:ilvl w:val="0"/>
          <w:numId w:val="6"/>
        </w:numPr>
        <w:kinsoku/>
        <w:wordWrap/>
        <w:overflowPunct/>
        <w:topLinePunct w:val="0"/>
        <w:bidi w:val="0"/>
        <w:snapToGrid/>
        <w:spacing w:line="440" w:lineRule="exact"/>
        <w:textAlignment w:val="auto"/>
        <w:rPr>
          <w:rFonts w:hint="eastAsia" w:asciiTheme="minorEastAsia" w:hAnsiTheme="minorEastAsia" w:cstheme="minorEastAsia"/>
          <w:sz w:val="28"/>
          <w:szCs w:val="28"/>
        </w:rPr>
      </w:pPr>
      <w:r>
        <w:rPr>
          <w:rFonts w:hint="eastAsia" w:asciiTheme="minorEastAsia" w:hAnsiTheme="minorEastAsia" w:cstheme="minorEastAsia"/>
          <w:b/>
          <w:bCs/>
          <w:sz w:val="28"/>
          <w:szCs w:val="28"/>
        </w:rPr>
        <w:t>时间、地点</w:t>
      </w:r>
    </w:p>
    <w:p>
      <w:pPr>
        <w:keepNext w:val="0"/>
        <w:keepLines w:val="0"/>
        <w:pageBreakBefore w:val="0"/>
        <w:numPr>
          <w:ilvl w:val="0"/>
          <w:numId w:val="0"/>
        </w:numPr>
        <w:kinsoku/>
        <w:wordWrap/>
        <w:overflowPunct/>
        <w:topLinePunct w:val="0"/>
        <w:bidi w:val="0"/>
        <w:snapToGrid/>
        <w:spacing w:line="440" w:lineRule="exact"/>
        <w:ind w:firstLine="420"/>
        <w:textAlignment w:val="auto"/>
        <w:rPr>
          <w:rFonts w:hint="eastAsia" w:asciiTheme="minorEastAsia" w:hAnsiTheme="minorEastAsia" w:cstheme="minorEastAsia"/>
          <w:sz w:val="28"/>
          <w:szCs w:val="28"/>
        </w:rPr>
      </w:pPr>
      <w:r>
        <w:rPr>
          <w:rFonts w:hint="eastAsia" w:asciiTheme="minorEastAsia" w:hAnsiTheme="minorEastAsia" w:cstheme="minorEastAsia"/>
          <w:sz w:val="28"/>
          <w:szCs w:val="28"/>
          <w:lang w:val="en-US" w:eastAsia="zh-CN"/>
        </w:rPr>
        <w:t>2022年</w:t>
      </w:r>
      <w:r>
        <w:rPr>
          <w:rFonts w:hint="default" w:asciiTheme="minorEastAsia" w:hAnsiTheme="minorEastAsia" w:cstheme="minorEastAsia"/>
          <w:sz w:val="28"/>
          <w:szCs w:val="28"/>
          <w:lang w:val="en-US" w:eastAsia="zh-CN"/>
        </w:rPr>
        <w:t>1</w:t>
      </w:r>
      <w:r>
        <w:rPr>
          <w:rFonts w:hint="eastAsia" w:asciiTheme="minorEastAsia" w:hAnsiTheme="minorEastAsia" w:cstheme="minorEastAsia"/>
          <w:sz w:val="28"/>
          <w:szCs w:val="28"/>
          <w:lang w:val="en-US" w:eastAsia="zh-CN"/>
        </w:rPr>
        <w:t>2</w:t>
      </w:r>
      <w:r>
        <w:rPr>
          <w:rFonts w:hint="default" w:asciiTheme="minorEastAsia" w:hAnsiTheme="minorEastAsia" w:cstheme="minorEastAsia"/>
          <w:sz w:val="28"/>
          <w:szCs w:val="28"/>
          <w:lang w:val="en-US" w:eastAsia="zh-CN"/>
        </w:rPr>
        <w:t>月</w:t>
      </w:r>
      <w:r>
        <w:rPr>
          <w:rFonts w:hint="eastAsia" w:asciiTheme="minorEastAsia" w:hAnsiTheme="minorEastAsia" w:cstheme="minorEastAsia"/>
          <w:sz w:val="28"/>
          <w:szCs w:val="28"/>
          <w:lang w:val="en-US" w:eastAsia="zh-CN"/>
        </w:rPr>
        <w:t>16日</w:t>
      </w:r>
      <w:r>
        <w:rPr>
          <w:rFonts w:hint="default" w:asciiTheme="minorEastAsia" w:hAnsiTheme="minorEastAsia" w:cstheme="minorEastAsia"/>
          <w:sz w:val="28"/>
          <w:szCs w:val="28"/>
          <w:lang w:val="en-US" w:eastAsia="zh-CN"/>
        </w:rPr>
        <w:t>-</w:t>
      </w:r>
      <w:r>
        <w:rPr>
          <w:rFonts w:hint="eastAsia" w:asciiTheme="minorEastAsia" w:hAnsiTheme="minorEastAsia" w:cstheme="minorEastAsia"/>
          <w:sz w:val="28"/>
          <w:szCs w:val="28"/>
          <w:lang w:val="en-US" w:eastAsia="zh-CN"/>
        </w:rPr>
        <w:t>18日（22日全天报到）海口（</w:t>
      </w:r>
      <w:r>
        <w:rPr>
          <w:rFonts w:hint="eastAsia" w:asciiTheme="minorEastAsia" w:hAnsiTheme="minorEastAsia" w:cstheme="minorEastAsia"/>
          <w:sz w:val="28"/>
          <w:szCs w:val="28"/>
        </w:rPr>
        <w:t>线上线下同步）</w:t>
      </w:r>
    </w:p>
    <w:p>
      <w:pPr>
        <w:keepNext w:val="0"/>
        <w:keepLines w:val="0"/>
        <w:pageBreakBefore w:val="0"/>
        <w:numPr>
          <w:ilvl w:val="0"/>
          <w:numId w:val="0"/>
        </w:numPr>
        <w:kinsoku/>
        <w:wordWrap/>
        <w:overflowPunct/>
        <w:topLinePunct w:val="0"/>
        <w:bidi w:val="0"/>
        <w:snapToGrid/>
        <w:spacing w:line="440" w:lineRule="exact"/>
        <w:ind w:firstLine="420"/>
        <w:textAlignment w:val="auto"/>
        <w:rPr>
          <w:rFonts w:hint="eastAsia" w:asciiTheme="minorEastAsia" w:hAnsiTheme="minorEastAsia" w:cstheme="minorEastAsia"/>
          <w:sz w:val="28"/>
          <w:szCs w:val="28"/>
        </w:rPr>
      </w:pPr>
      <w:r>
        <w:rPr>
          <w:rFonts w:hint="eastAsia" w:asciiTheme="minorEastAsia" w:hAnsiTheme="minorEastAsia" w:cstheme="minorEastAsia"/>
          <w:sz w:val="28"/>
          <w:szCs w:val="28"/>
          <w:lang w:val="en-US" w:eastAsia="zh-CN"/>
        </w:rPr>
        <w:t>2023年01月06日-08日（06日全天报到）上海（</w:t>
      </w:r>
      <w:r>
        <w:rPr>
          <w:rFonts w:hint="eastAsia" w:asciiTheme="minorEastAsia" w:hAnsiTheme="minorEastAsia" w:cstheme="minorEastAsia"/>
          <w:sz w:val="28"/>
          <w:szCs w:val="28"/>
        </w:rPr>
        <w:t>线上线下同步）</w:t>
      </w:r>
    </w:p>
    <w:p>
      <w:pPr>
        <w:keepNext w:val="0"/>
        <w:keepLines w:val="0"/>
        <w:pageBreakBefore w:val="0"/>
        <w:kinsoku/>
        <w:wordWrap/>
        <w:overflowPunct/>
        <w:topLinePunct w:val="0"/>
        <w:bidi w:val="0"/>
        <w:snapToGrid/>
        <w:spacing w:line="440" w:lineRule="exact"/>
        <w:ind w:firstLine="420"/>
        <w:textAlignment w:val="auto"/>
        <w:rPr>
          <w:rFonts w:hint="eastAsia" w:asciiTheme="minorEastAsia" w:hAnsiTheme="minorEastAsia" w:cstheme="minorEastAsia"/>
          <w:sz w:val="28"/>
          <w:szCs w:val="28"/>
        </w:rPr>
      </w:pPr>
      <w:r>
        <w:rPr>
          <w:rFonts w:hint="eastAsia" w:asciiTheme="minorEastAsia" w:hAnsiTheme="minorEastAsia" w:cstheme="minorEastAsia"/>
          <w:sz w:val="28"/>
          <w:szCs w:val="28"/>
        </w:rPr>
        <w:t>具体地点于开班前一周通知</w:t>
      </w:r>
    </w:p>
    <w:p>
      <w:pPr>
        <w:keepNext w:val="0"/>
        <w:keepLines w:val="0"/>
        <w:pageBreakBefore w:val="0"/>
        <w:kinsoku/>
        <w:wordWrap/>
        <w:overflowPunct/>
        <w:topLinePunct w:val="0"/>
        <w:bidi w:val="0"/>
        <w:snapToGrid/>
        <w:spacing w:line="440" w:lineRule="exact"/>
        <w:ind w:firstLine="420"/>
        <w:textAlignment w:val="auto"/>
        <w:rPr>
          <w:rFonts w:hint="eastAsia" w:asciiTheme="minorEastAsia" w:hAnsiTheme="minorEastAsia" w:cstheme="minorEastAsia"/>
          <w:sz w:val="28"/>
          <w:szCs w:val="28"/>
        </w:rPr>
      </w:pPr>
    </w:p>
    <w:p>
      <w:pPr>
        <w:keepNext w:val="0"/>
        <w:keepLines w:val="0"/>
        <w:pageBreakBefore w:val="0"/>
        <w:numPr>
          <w:ilvl w:val="0"/>
          <w:numId w:val="6"/>
        </w:numPr>
        <w:kinsoku/>
        <w:wordWrap/>
        <w:overflowPunct/>
        <w:topLinePunct w:val="0"/>
        <w:bidi w:val="0"/>
        <w:snapToGrid/>
        <w:spacing w:line="440" w:lineRule="exact"/>
        <w:textAlignment w:val="auto"/>
        <w:rPr>
          <w:rFonts w:asciiTheme="minorEastAsia" w:hAnsiTheme="minorEastAsia" w:cstheme="minorEastAsia"/>
          <w:sz w:val="28"/>
          <w:szCs w:val="28"/>
        </w:rPr>
      </w:pPr>
      <w:r>
        <w:rPr>
          <w:rFonts w:hint="eastAsia" w:asciiTheme="minorEastAsia" w:hAnsiTheme="minorEastAsia" w:cstheme="minorEastAsia"/>
          <w:b/>
          <w:bCs/>
          <w:sz w:val="28"/>
          <w:szCs w:val="28"/>
        </w:rPr>
        <w:t>相关费用</w:t>
      </w:r>
      <w:r>
        <w:rPr>
          <w:rFonts w:hint="eastAsia" w:asciiTheme="minorEastAsia" w:hAnsiTheme="minorEastAsia" w:cstheme="minorEastAsia"/>
          <w:sz w:val="28"/>
          <w:szCs w:val="28"/>
        </w:rPr>
        <w:t>（培训费）：</w:t>
      </w:r>
    </w:p>
    <w:p>
      <w:pPr>
        <w:keepNext w:val="0"/>
        <w:keepLines w:val="0"/>
        <w:pageBreakBefore w:val="0"/>
        <w:kinsoku/>
        <w:wordWrap/>
        <w:overflowPunct/>
        <w:topLinePunct w:val="0"/>
        <w:bidi w:val="0"/>
        <w:snapToGrid/>
        <w:spacing w:line="44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rPr>
        <w:t> A.3280元/人（含培训费、资料费、电子课件、场地、会议期间午餐），住宿统一安排，费用自理。</w:t>
      </w:r>
    </w:p>
    <w:p>
      <w:pPr>
        <w:keepNext w:val="0"/>
        <w:keepLines w:val="0"/>
        <w:pageBreakBefore w:val="0"/>
        <w:kinsoku/>
        <w:wordWrap/>
        <w:overflowPunct/>
        <w:topLinePunct w:val="0"/>
        <w:bidi w:val="0"/>
        <w:snapToGrid/>
        <w:spacing w:line="440" w:lineRule="exact"/>
        <w:ind w:firstLine="560" w:firstLineChars="200"/>
        <w:textAlignment w:val="auto"/>
        <w:rPr>
          <w:rFonts w:asciiTheme="minorEastAsia" w:hAnsiTheme="minorEastAsia" w:cstheme="minorEastAsia"/>
          <w:sz w:val="28"/>
          <w:szCs w:val="28"/>
        </w:rPr>
      </w:pPr>
      <w:r>
        <w:rPr>
          <w:rFonts w:hint="eastAsia" w:asciiTheme="minorEastAsia" w:hAnsiTheme="minorEastAsia" w:cstheme="minorEastAsia"/>
          <w:sz w:val="28"/>
          <w:szCs w:val="28"/>
        </w:rPr>
        <w:t xml:space="preserve">  B.</w:t>
      </w:r>
      <w:r>
        <w:rPr>
          <w:rFonts w:hint="eastAsia" w:asciiTheme="minorEastAsia" w:hAnsiTheme="minorEastAsia" w:cstheme="minorEastAsia"/>
          <w:sz w:val="28"/>
          <w:szCs w:val="28"/>
          <w:lang w:val="en-US" w:eastAsia="zh-CN"/>
        </w:rPr>
        <w:t>568</w:t>
      </w:r>
      <w:r>
        <w:rPr>
          <w:rFonts w:hint="eastAsia" w:asciiTheme="minorEastAsia" w:hAnsiTheme="minorEastAsia" w:cstheme="minorEastAsia"/>
          <w:sz w:val="28"/>
          <w:szCs w:val="28"/>
        </w:rPr>
        <w:t>0元/人（含全过程工程咨询师(高级、中级)证书及网上学习3天专业课程、资料费、电子课件、会议期间午餐），住宿统一安排，费用自理。</w:t>
      </w:r>
    </w:p>
    <w:p>
      <w:pPr>
        <w:keepNext w:val="0"/>
        <w:keepLines w:val="0"/>
        <w:pageBreakBefore w:val="0"/>
        <w:kinsoku/>
        <w:wordWrap/>
        <w:overflowPunct/>
        <w:topLinePunct w:val="0"/>
        <w:bidi w:val="0"/>
        <w:snapToGrid/>
        <w:spacing w:line="440" w:lineRule="exact"/>
        <w:ind w:firstLine="700" w:firstLineChars="250"/>
        <w:textAlignment w:val="auto"/>
        <w:rPr>
          <w:rFonts w:asciiTheme="minorEastAsia" w:hAnsiTheme="minorEastAsia" w:cstheme="minorEastAsia"/>
          <w:sz w:val="28"/>
          <w:szCs w:val="28"/>
        </w:rPr>
      </w:pPr>
      <w:r>
        <w:rPr>
          <w:rFonts w:hint="eastAsia" w:asciiTheme="minorEastAsia" w:hAnsiTheme="minorEastAsia" w:cstheme="minorEastAsia"/>
          <w:sz w:val="28"/>
          <w:szCs w:val="28"/>
        </w:rPr>
        <w:t>C. 4800元/人网上学习（全过程工程咨询师(高级、中级)）3天课程。</w:t>
      </w:r>
    </w:p>
    <w:p>
      <w:pPr>
        <w:keepNext w:val="0"/>
        <w:keepLines w:val="0"/>
        <w:pageBreakBefore w:val="0"/>
        <w:kinsoku/>
        <w:wordWrap/>
        <w:overflowPunct/>
        <w:topLinePunct w:val="0"/>
        <w:bidi w:val="0"/>
        <w:snapToGrid/>
        <w:spacing w:line="440" w:lineRule="exact"/>
        <w:ind w:firstLine="560" w:firstLineChars="200"/>
        <w:textAlignment w:val="auto"/>
        <w:rPr>
          <w:rFonts w:asciiTheme="minorEastAsia" w:hAnsiTheme="minorEastAsia" w:cstheme="minorEastAsia"/>
          <w:sz w:val="28"/>
          <w:szCs w:val="28"/>
        </w:rPr>
      </w:pPr>
      <w:r>
        <w:rPr>
          <w:rFonts w:hint="eastAsia" w:asciiTheme="minorEastAsia" w:hAnsiTheme="minorEastAsia" w:cstheme="minorEastAsia"/>
          <w:sz w:val="28"/>
          <w:szCs w:val="28"/>
        </w:rPr>
        <w:t>备注：申报证书需提供报名表一份、2寸照电子照片（蓝底免冠彩照）、身份证复印件一份、学历证书复印件一份，在职单位证明（原件）一份，审核通过后出准考证，每个月最后一个周末为网上考试时间。</w:t>
      </w:r>
    </w:p>
    <w:p>
      <w:pPr>
        <w:keepNext w:val="0"/>
        <w:keepLines w:val="0"/>
        <w:pageBreakBefore w:val="0"/>
        <w:kinsoku/>
        <w:wordWrap/>
        <w:overflowPunct/>
        <w:topLinePunct w:val="0"/>
        <w:bidi w:val="0"/>
        <w:snapToGrid/>
        <w:spacing w:line="440" w:lineRule="exact"/>
        <w:ind w:firstLine="422" w:firstLineChars="150"/>
        <w:textAlignment w:val="auto"/>
        <w:rPr>
          <w:rFonts w:asciiTheme="minorEastAsia" w:hAnsiTheme="minorEastAsia" w:cstheme="minorEastAsia"/>
          <w:sz w:val="28"/>
          <w:szCs w:val="28"/>
        </w:rPr>
      </w:pPr>
      <w:r>
        <w:rPr>
          <w:rFonts w:hint="eastAsia" w:asciiTheme="minorEastAsia" w:hAnsiTheme="minorEastAsia" w:cstheme="minorEastAsia"/>
          <w:b/>
          <w:sz w:val="28"/>
          <w:szCs w:val="28"/>
        </w:rPr>
        <w:t>颁证机构</w:t>
      </w:r>
      <w:r>
        <w:rPr>
          <w:rFonts w:hint="eastAsia" w:asciiTheme="minorEastAsia" w:hAnsiTheme="minorEastAsia" w:cstheme="minorEastAsia"/>
          <w:sz w:val="28"/>
          <w:szCs w:val="28"/>
        </w:rPr>
        <w:t>：</w:t>
      </w:r>
      <w:r>
        <w:rPr>
          <w:sz w:val="28"/>
          <w:szCs w:val="28"/>
        </w:rPr>
        <w:t>国家职业资格培训鉴定实验基地（http://www.nptb.org/）是人力资源和社会保障部在天津建立的综合性职业标准开发机构，主要承担国家新职业标准研发和推广任务，开展培训鉴定实验项目和课题研究</w:t>
      </w:r>
      <w:r>
        <w:rPr>
          <w:rFonts w:hint="eastAsia"/>
          <w:sz w:val="28"/>
          <w:szCs w:val="28"/>
        </w:rPr>
        <w:t>，</w:t>
      </w:r>
      <w:r>
        <w:rPr>
          <w:sz w:val="28"/>
          <w:szCs w:val="28"/>
        </w:rPr>
        <w:t>进行新职业教材和课程设计</w:t>
      </w:r>
      <w:r>
        <w:rPr>
          <w:rFonts w:hint="eastAsia"/>
          <w:sz w:val="28"/>
          <w:szCs w:val="28"/>
        </w:rPr>
        <w:t>，建立新职业考核标准、考试题库。</w:t>
      </w:r>
    </w:p>
    <w:p>
      <w:pPr>
        <w:keepNext w:val="0"/>
        <w:keepLines w:val="0"/>
        <w:pageBreakBefore w:val="0"/>
        <w:numPr>
          <w:ilvl w:val="0"/>
          <w:numId w:val="6"/>
        </w:numPr>
        <w:kinsoku/>
        <w:wordWrap/>
        <w:overflowPunct/>
        <w:topLinePunct w:val="0"/>
        <w:bidi w:val="0"/>
        <w:snapToGrid/>
        <w:spacing w:line="440" w:lineRule="exact"/>
        <w:textAlignment w:val="auto"/>
        <w:rPr>
          <w:rFonts w:asciiTheme="minorEastAsia" w:hAnsiTheme="minorEastAsia" w:cstheme="minorEastAsia"/>
          <w:b/>
          <w:bCs/>
          <w:sz w:val="28"/>
          <w:szCs w:val="28"/>
        </w:rPr>
      </w:pPr>
      <w:r>
        <w:rPr>
          <w:rFonts w:hint="eastAsia" w:asciiTheme="minorEastAsia" w:hAnsiTheme="minorEastAsia" w:cstheme="minorEastAsia"/>
          <w:b/>
          <w:bCs/>
          <w:sz w:val="28"/>
          <w:szCs w:val="28"/>
        </w:rPr>
        <w:t>联系方式</w:t>
      </w:r>
    </w:p>
    <w:p>
      <w:pPr>
        <w:keepNext w:val="0"/>
        <w:keepLines w:val="0"/>
        <w:pageBreakBefore w:val="0"/>
        <w:kinsoku/>
        <w:wordWrap/>
        <w:overflowPunct/>
        <w:topLinePunct w:val="0"/>
        <w:bidi w:val="0"/>
        <w:snapToGrid/>
        <w:spacing w:line="440" w:lineRule="exact"/>
        <w:textAlignment w:val="auto"/>
        <w:rPr>
          <w:rFonts w:hint="eastAsia"/>
          <w:color w:val="000000"/>
          <w:sz w:val="28"/>
          <w:szCs w:val="28"/>
        </w:rPr>
      </w:pPr>
      <w:r>
        <w:rPr>
          <w:rFonts w:hint="eastAsia"/>
          <w:color w:val="000000"/>
          <w:sz w:val="28"/>
          <w:szCs w:val="28"/>
        </w:rPr>
        <w:t xml:space="preserve">报名负责人：聂红军 主任 18211071700（微信）   </w:t>
      </w:r>
    </w:p>
    <w:p>
      <w:pPr>
        <w:keepNext w:val="0"/>
        <w:keepLines w:val="0"/>
        <w:pageBreakBefore w:val="0"/>
        <w:kinsoku/>
        <w:wordWrap/>
        <w:overflowPunct/>
        <w:topLinePunct w:val="0"/>
        <w:bidi w:val="0"/>
        <w:snapToGrid/>
        <w:spacing w:line="440" w:lineRule="exact"/>
        <w:textAlignment w:val="auto"/>
        <w:rPr>
          <w:rFonts w:hint="eastAsia"/>
          <w:color w:val="000000"/>
          <w:sz w:val="28"/>
          <w:szCs w:val="28"/>
        </w:rPr>
      </w:pPr>
      <w:r>
        <w:rPr>
          <w:rFonts w:hint="eastAsia" w:ascii="仿宋" w:hAnsi="仿宋" w:eastAsia="仿宋" w:cs="仿宋"/>
          <w:sz w:val="28"/>
          <w:szCs w:val="28"/>
        </w:rPr>
        <w:drawing>
          <wp:anchor distT="0" distB="0" distL="114300" distR="114300" simplePos="0" relativeHeight="251660288" behindDoc="1" locked="0" layoutInCell="1" allowOverlap="1">
            <wp:simplePos x="0" y="0"/>
            <wp:positionH relativeFrom="column">
              <wp:posOffset>3023235</wp:posOffset>
            </wp:positionH>
            <wp:positionV relativeFrom="paragraph">
              <wp:posOffset>394970</wp:posOffset>
            </wp:positionV>
            <wp:extent cx="2679700" cy="1905000"/>
            <wp:effectExtent l="0" t="0" r="6350" b="0"/>
            <wp:wrapNone/>
            <wp:docPr id="2" name="图片 2" descr="建术公章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建术公章12"/>
                    <pic:cNvPicPr>
                      <a:picLocks noChangeAspect="1"/>
                    </pic:cNvPicPr>
                  </pic:nvPicPr>
                  <pic:blipFill>
                    <a:blip r:embed="rId4" cstate="print"/>
                    <a:stretch>
                      <a:fillRect/>
                    </a:stretch>
                  </pic:blipFill>
                  <pic:spPr>
                    <a:xfrm>
                      <a:off x="0" y="0"/>
                      <a:ext cx="2679700" cy="1905000"/>
                    </a:xfrm>
                    <a:prstGeom prst="rect">
                      <a:avLst/>
                    </a:prstGeom>
                  </pic:spPr>
                </pic:pic>
              </a:graphicData>
            </a:graphic>
          </wp:anchor>
        </w:drawing>
      </w:r>
      <w:r>
        <w:rPr>
          <w:rFonts w:hint="eastAsia"/>
          <w:color w:val="000000"/>
          <w:sz w:val="28"/>
          <w:szCs w:val="28"/>
        </w:rPr>
        <w:t>电  话：010-87697580    邮    箱：zqgphwz@126.com</w:t>
      </w:r>
    </w:p>
    <w:p>
      <w:pPr>
        <w:keepNext w:val="0"/>
        <w:keepLines w:val="0"/>
        <w:pageBreakBefore w:val="0"/>
        <w:kinsoku/>
        <w:wordWrap/>
        <w:overflowPunct/>
        <w:topLinePunct w:val="0"/>
        <w:bidi w:val="0"/>
        <w:snapToGrid/>
        <w:spacing w:line="440" w:lineRule="exact"/>
        <w:textAlignment w:val="auto"/>
        <w:rPr>
          <w:rFonts w:ascii="Tahoma" w:hAnsi="Tahoma" w:eastAsia="Tahoma" w:cs="Tahoma"/>
          <w:sz w:val="28"/>
          <w:szCs w:val="28"/>
        </w:rPr>
      </w:pPr>
      <w:r>
        <w:rPr>
          <w:rFonts w:hint="eastAsia"/>
          <w:color w:val="000000"/>
          <w:sz w:val="28"/>
          <w:szCs w:val="28"/>
        </w:rPr>
        <w:t xml:space="preserve">qq咨询：3177524020     网址查询：http://www.zqgpchina.cn/ </w:t>
      </w:r>
    </w:p>
    <w:p>
      <w:pPr>
        <w:rPr>
          <w:rFonts w:ascii="Tahoma" w:hAnsi="Tahoma" w:eastAsia="Tahoma" w:cs="Tahoma"/>
          <w:sz w:val="20"/>
          <w:szCs w:val="20"/>
        </w:rPr>
      </w:pPr>
    </w:p>
    <w:p>
      <w:pPr>
        <w:spacing w:line="400" w:lineRule="exact"/>
        <w:ind w:firstLine="5763" w:firstLineChars="2400"/>
        <w:rPr>
          <w:rFonts w:ascii="仿宋" w:hAnsi="仿宋" w:eastAsia="仿宋" w:cs="仿宋"/>
          <w:b/>
          <w:bCs/>
          <w:sz w:val="24"/>
          <w:szCs w:val="24"/>
        </w:rPr>
      </w:pPr>
    </w:p>
    <w:p>
      <w:pPr>
        <w:spacing w:line="400" w:lineRule="exact"/>
        <w:ind w:firstLine="4562" w:firstLineChars="1900"/>
        <w:rPr>
          <w:rFonts w:ascii="仿宋" w:hAnsi="仿宋" w:eastAsia="仿宋" w:cs="仿宋"/>
          <w:sz w:val="24"/>
          <w:szCs w:val="24"/>
        </w:rPr>
      </w:pPr>
      <w:r>
        <w:rPr>
          <w:rFonts w:hint="eastAsia" w:ascii="仿宋" w:hAnsi="仿宋" w:eastAsia="仿宋" w:cs="仿宋"/>
          <w:b/>
          <w:bCs/>
          <w:sz w:val="24"/>
          <w:szCs w:val="24"/>
        </w:rPr>
        <w:t>北京建术信息科技研究院有限公司</w:t>
      </w:r>
    </w:p>
    <w:p>
      <w:pPr>
        <w:spacing w:line="400" w:lineRule="exact"/>
        <w:jc w:val="center"/>
        <w:rPr>
          <w:rFonts w:ascii="仿宋" w:hAnsi="仿宋" w:eastAsia="仿宋" w:cs="仿宋"/>
          <w:b/>
          <w:bCs/>
          <w:w w:val="90"/>
          <w:sz w:val="28"/>
          <w:szCs w:val="28"/>
        </w:rPr>
      </w:pPr>
      <w:r>
        <w:rPr>
          <w:rFonts w:hint="eastAsia" w:ascii="仿宋" w:hAnsi="仿宋" w:eastAsia="仿宋" w:cs="仿宋"/>
          <w:b/>
          <w:bCs/>
          <w:sz w:val="24"/>
          <w:szCs w:val="24"/>
        </w:rPr>
        <w:t xml:space="preserve">                                               2022年</w:t>
      </w:r>
      <w:r>
        <w:rPr>
          <w:rFonts w:hint="eastAsia" w:ascii="仿宋" w:hAnsi="仿宋" w:eastAsia="仿宋" w:cs="仿宋"/>
          <w:b/>
          <w:bCs/>
          <w:sz w:val="24"/>
          <w:szCs w:val="24"/>
          <w:lang w:val="en-US" w:eastAsia="zh-CN"/>
        </w:rPr>
        <w:t>10</w:t>
      </w:r>
      <w:r>
        <w:rPr>
          <w:rFonts w:hint="eastAsia" w:ascii="仿宋" w:hAnsi="仿宋" w:eastAsia="仿宋" w:cs="仿宋"/>
          <w:b/>
          <w:bCs/>
          <w:sz w:val="24"/>
          <w:szCs w:val="24"/>
        </w:rPr>
        <w:t>月</w:t>
      </w:r>
      <w:r>
        <w:rPr>
          <w:rFonts w:hint="eastAsia" w:ascii="仿宋" w:hAnsi="仿宋" w:eastAsia="仿宋" w:cs="仿宋"/>
          <w:b/>
          <w:bCs/>
          <w:sz w:val="24"/>
          <w:szCs w:val="24"/>
          <w:lang w:val="en-US" w:eastAsia="zh-CN"/>
        </w:rPr>
        <w:t>19</w:t>
      </w:r>
      <w:r>
        <w:rPr>
          <w:rFonts w:hint="eastAsia" w:ascii="仿宋" w:hAnsi="仿宋" w:eastAsia="仿宋" w:cs="仿宋"/>
          <w:b/>
          <w:bCs/>
          <w:sz w:val="24"/>
          <w:szCs w:val="24"/>
        </w:rPr>
        <w:t>日</w:t>
      </w:r>
    </w:p>
    <w:p>
      <w:pPr>
        <w:spacing w:line="400" w:lineRule="exact"/>
        <w:jc w:val="both"/>
        <w:rPr>
          <w:rFonts w:ascii="仿宋" w:hAnsi="仿宋" w:eastAsia="仿宋" w:cs="仿宋"/>
          <w:b/>
          <w:bCs/>
          <w:w w:val="90"/>
          <w:sz w:val="28"/>
          <w:szCs w:val="28"/>
        </w:rPr>
      </w:pPr>
    </w:p>
    <w:p>
      <w:pPr>
        <w:spacing w:line="400" w:lineRule="exact"/>
        <w:jc w:val="both"/>
        <w:rPr>
          <w:rFonts w:ascii="仿宋" w:hAnsi="仿宋" w:eastAsia="仿宋" w:cs="仿宋"/>
          <w:b/>
          <w:bCs/>
          <w:w w:val="90"/>
          <w:sz w:val="28"/>
          <w:szCs w:val="28"/>
        </w:rPr>
      </w:pPr>
    </w:p>
    <w:p>
      <w:pPr>
        <w:spacing w:line="400" w:lineRule="exact"/>
        <w:jc w:val="both"/>
        <w:rPr>
          <w:rFonts w:ascii="仿宋" w:hAnsi="仿宋" w:eastAsia="仿宋" w:cs="仿宋"/>
          <w:b/>
          <w:bCs/>
          <w:w w:val="90"/>
          <w:sz w:val="28"/>
          <w:szCs w:val="28"/>
        </w:rPr>
      </w:pPr>
    </w:p>
    <w:p>
      <w:pPr>
        <w:spacing w:line="400" w:lineRule="exact"/>
        <w:jc w:val="both"/>
        <w:rPr>
          <w:rFonts w:ascii="仿宋" w:hAnsi="仿宋" w:eastAsia="仿宋" w:cs="仿宋"/>
          <w:b/>
          <w:bCs/>
          <w:w w:val="90"/>
          <w:sz w:val="28"/>
          <w:szCs w:val="28"/>
        </w:rPr>
      </w:pPr>
    </w:p>
    <w:p>
      <w:pPr>
        <w:spacing w:line="400" w:lineRule="exact"/>
        <w:jc w:val="both"/>
        <w:rPr>
          <w:rFonts w:ascii="仿宋" w:hAnsi="仿宋" w:eastAsia="仿宋" w:cs="仿宋"/>
          <w:b/>
          <w:bCs/>
          <w:w w:val="90"/>
          <w:sz w:val="28"/>
          <w:szCs w:val="28"/>
        </w:rPr>
      </w:pPr>
    </w:p>
    <w:p>
      <w:pPr>
        <w:spacing w:line="400" w:lineRule="exact"/>
        <w:jc w:val="both"/>
        <w:rPr>
          <w:rFonts w:ascii="仿宋" w:hAnsi="仿宋" w:eastAsia="仿宋" w:cs="仿宋"/>
          <w:b/>
          <w:bCs/>
          <w:w w:val="90"/>
          <w:sz w:val="28"/>
          <w:szCs w:val="28"/>
        </w:rPr>
      </w:pPr>
    </w:p>
    <w:p>
      <w:pPr>
        <w:spacing w:line="400" w:lineRule="exact"/>
        <w:jc w:val="both"/>
        <w:rPr>
          <w:rFonts w:ascii="仿宋" w:hAnsi="仿宋" w:eastAsia="仿宋" w:cs="仿宋"/>
          <w:b/>
          <w:bCs/>
          <w:w w:val="90"/>
          <w:sz w:val="28"/>
          <w:szCs w:val="28"/>
        </w:rPr>
      </w:pPr>
      <w:bookmarkStart w:id="0" w:name="_GoBack"/>
      <w:bookmarkEnd w:id="0"/>
    </w:p>
    <w:p>
      <w:pPr>
        <w:spacing w:line="400" w:lineRule="exact"/>
        <w:jc w:val="both"/>
        <w:rPr>
          <w:rFonts w:ascii="仿宋" w:hAnsi="仿宋" w:eastAsia="仿宋" w:cs="仿宋"/>
          <w:b/>
          <w:bCs/>
          <w:w w:val="90"/>
          <w:sz w:val="28"/>
          <w:szCs w:val="28"/>
        </w:rPr>
      </w:pPr>
    </w:p>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w w:val="90"/>
          <w:sz w:val="28"/>
          <w:szCs w:val="28"/>
        </w:rPr>
      </w:pPr>
      <w:r>
        <w:rPr>
          <w:rFonts w:hint="eastAsia" w:ascii="仿宋" w:hAnsi="仿宋" w:eastAsia="仿宋" w:cs="仿宋"/>
          <w:b/>
          <w:bCs/>
          <w:w w:val="90"/>
          <w:sz w:val="28"/>
          <w:szCs w:val="28"/>
        </w:rPr>
        <w:t>“EPC项目招投标、造价管控、索赔与审计实务疑难问题解析专题培训”</w:t>
      </w:r>
    </w:p>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w w:val="90"/>
        </w:rPr>
      </w:pPr>
      <w:r>
        <w:rPr>
          <w:rFonts w:hint="eastAsia" w:ascii="仿宋" w:hAnsi="仿宋" w:eastAsia="仿宋" w:cs="仿宋"/>
          <w:b/>
          <w:bCs/>
          <w:w w:val="90"/>
          <w:sz w:val="28"/>
          <w:szCs w:val="28"/>
        </w:rPr>
        <w:t>报名回执表</w:t>
      </w:r>
    </w:p>
    <w:tbl>
      <w:tblPr>
        <w:tblStyle w:val="8"/>
        <w:tblpPr w:leftFromText="180" w:rightFromText="180" w:vertAnchor="text" w:horzAnchor="page" w:tblpXSpec="center" w:tblpY="187"/>
        <w:tblOverlap w:val="never"/>
        <w:tblW w:w="9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771"/>
        <w:gridCol w:w="1374"/>
        <w:gridCol w:w="1418"/>
        <w:gridCol w:w="802"/>
        <w:gridCol w:w="6"/>
        <w:gridCol w:w="1176"/>
        <w:gridCol w:w="498"/>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932" w:type="dxa"/>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Cs/>
                <w:sz w:val="24"/>
              </w:rPr>
            </w:pPr>
            <w:r>
              <w:rPr>
                <w:rFonts w:hint="eastAsia" w:ascii="仿宋" w:hAnsi="仿宋" w:eastAsia="仿宋" w:cs="仿宋"/>
                <w:bCs/>
                <w:sz w:val="24"/>
              </w:rPr>
              <w:t>单位名称</w:t>
            </w:r>
          </w:p>
        </w:tc>
        <w:tc>
          <w:tcPr>
            <w:tcW w:w="4371" w:type="dxa"/>
            <w:gridSpan w:val="5"/>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Cs/>
                <w:sz w:val="24"/>
              </w:rPr>
            </w:pPr>
          </w:p>
        </w:tc>
        <w:tc>
          <w:tcPr>
            <w:tcW w:w="1176" w:type="dxa"/>
            <w:noWrap/>
            <w:vAlign w:val="center"/>
          </w:tcPr>
          <w:p>
            <w:pPr>
              <w:keepLines w:val="0"/>
              <w:pageBreakBefore w:val="0"/>
              <w:widowControl w:val="0"/>
              <w:kinsoku/>
              <w:wordWrap/>
              <w:overflowPunct/>
              <w:topLinePunct w:val="0"/>
              <w:autoSpaceDE/>
              <w:autoSpaceDN/>
              <w:bidi w:val="0"/>
              <w:adjustRightInd/>
              <w:snapToGrid/>
              <w:spacing w:line="400" w:lineRule="exact"/>
              <w:ind w:right="-107" w:rightChars="-51"/>
              <w:jc w:val="center"/>
              <w:textAlignment w:val="auto"/>
              <w:rPr>
                <w:rFonts w:ascii="仿宋" w:hAnsi="仿宋" w:eastAsia="仿宋" w:cs="仿宋"/>
                <w:bCs/>
                <w:sz w:val="24"/>
              </w:rPr>
            </w:pPr>
            <w:r>
              <w:rPr>
                <w:rFonts w:hint="eastAsia" w:ascii="仿宋" w:hAnsi="仿宋" w:eastAsia="仿宋" w:cs="仿宋"/>
                <w:bCs/>
                <w:sz w:val="24"/>
              </w:rPr>
              <w:t>邮编</w:t>
            </w:r>
          </w:p>
        </w:tc>
        <w:tc>
          <w:tcPr>
            <w:tcW w:w="1984" w:type="dxa"/>
            <w:gridSpan w:val="2"/>
            <w:noWrap/>
            <w:vAlign w:val="center"/>
          </w:tcPr>
          <w:p>
            <w:pPr>
              <w:keepLines w:val="0"/>
              <w:pageBreakBefore w:val="0"/>
              <w:widowControl w:val="0"/>
              <w:kinsoku/>
              <w:wordWrap/>
              <w:overflowPunct/>
              <w:topLinePunct w:val="0"/>
              <w:autoSpaceDE/>
              <w:autoSpaceDN/>
              <w:bidi w:val="0"/>
              <w:adjustRightInd/>
              <w:snapToGrid/>
              <w:spacing w:line="400" w:lineRule="exact"/>
              <w:ind w:left="149" w:hanging="148" w:hangingChars="62"/>
              <w:jc w:val="center"/>
              <w:textAlignment w:val="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932" w:type="dxa"/>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Cs/>
                <w:sz w:val="24"/>
              </w:rPr>
            </w:pPr>
            <w:r>
              <w:rPr>
                <w:rFonts w:hint="eastAsia" w:ascii="仿宋" w:hAnsi="仿宋" w:eastAsia="仿宋" w:cs="仿宋"/>
                <w:bCs/>
                <w:sz w:val="24"/>
              </w:rPr>
              <w:t>详细地址</w:t>
            </w:r>
          </w:p>
        </w:tc>
        <w:tc>
          <w:tcPr>
            <w:tcW w:w="7531" w:type="dxa"/>
            <w:gridSpan w:val="8"/>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932" w:type="dxa"/>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Cs/>
                <w:sz w:val="24"/>
              </w:rPr>
            </w:pPr>
            <w:r>
              <w:rPr>
                <w:rFonts w:hint="eastAsia" w:ascii="仿宋" w:hAnsi="仿宋" w:eastAsia="仿宋" w:cs="仿宋"/>
                <w:bCs/>
                <w:sz w:val="24"/>
              </w:rPr>
              <w:t>联系人</w:t>
            </w:r>
          </w:p>
        </w:tc>
        <w:tc>
          <w:tcPr>
            <w:tcW w:w="3563" w:type="dxa"/>
            <w:gridSpan w:val="3"/>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Cs/>
                <w:sz w:val="24"/>
              </w:rPr>
            </w:pPr>
          </w:p>
        </w:tc>
        <w:tc>
          <w:tcPr>
            <w:tcW w:w="1984" w:type="dxa"/>
            <w:gridSpan w:val="3"/>
            <w:noWrap/>
            <w:vAlign w:val="center"/>
          </w:tcPr>
          <w:p>
            <w:pPr>
              <w:keepNext/>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仿宋" w:hAnsi="仿宋" w:eastAsia="仿宋" w:cs="仿宋"/>
                <w:bCs/>
                <w:sz w:val="24"/>
              </w:rPr>
            </w:pPr>
            <w:r>
              <w:rPr>
                <w:rFonts w:hint="eastAsia" w:ascii="仿宋" w:hAnsi="仿宋" w:eastAsia="仿宋" w:cs="仿宋"/>
                <w:bCs/>
                <w:sz w:val="24"/>
              </w:rPr>
              <w:t>E-mail</w:t>
            </w:r>
          </w:p>
        </w:tc>
        <w:tc>
          <w:tcPr>
            <w:tcW w:w="1984" w:type="dxa"/>
            <w:gridSpan w:val="2"/>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32" w:type="dxa"/>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Cs/>
                <w:sz w:val="24"/>
              </w:rPr>
            </w:pPr>
            <w:r>
              <w:rPr>
                <w:rFonts w:hint="eastAsia" w:ascii="仿宋" w:hAnsi="仿宋" w:eastAsia="仿宋" w:cs="仿宋"/>
                <w:bCs/>
                <w:sz w:val="24"/>
              </w:rPr>
              <w:t>电话（区号）</w:t>
            </w:r>
          </w:p>
        </w:tc>
        <w:tc>
          <w:tcPr>
            <w:tcW w:w="3563" w:type="dxa"/>
            <w:gridSpan w:val="3"/>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Cs/>
                <w:sz w:val="24"/>
              </w:rPr>
            </w:pPr>
          </w:p>
        </w:tc>
        <w:tc>
          <w:tcPr>
            <w:tcW w:w="1984" w:type="dxa"/>
            <w:gridSpan w:val="3"/>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Cs/>
                <w:sz w:val="24"/>
              </w:rPr>
            </w:pPr>
            <w:r>
              <w:rPr>
                <w:rFonts w:hint="eastAsia" w:ascii="仿宋" w:hAnsi="仿宋" w:eastAsia="仿宋" w:cs="仿宋"/>
                <w:bCs/>
                <w:sz w:val="24"/>
              </w:rPr>
              <w:t>传真</w:t>
            </w:r>
          </w:p>
        </w:tc>
        <w:tc>
          <w:tcPr>
            <w:tcW w:w="1984" w:type="dxa"/>
            <w:gridSpan w:val="2"/>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Cs/>
                <w:sz w:val="24"/>
              </w:rPr>
            </w:pPr>
            <w:r>
              <w:rPr>
                <w:rFonts w:hint="eastAsia" w:ascii="仿宋" w:hAnsi="仿宋" w:eastAsia="仿宋" w:cs="仿宋"/>
                <w:bCs/>
                <w:sz w:val="24"/>
              </w:rPr>
              <w:t>参班代表姓名</w:t>
            </w:r>
          </w:p>
        </w:tc>
        <w:tc>
          <w:tcPr>
            <w:tcW w:w="771" w:type="dxa"/>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Cs/>
                <w:sz w:val="24"/>
              </w:rPr>
            </w:pPr>
            <w:r>
              <w:rPr>
                <w:rFonts w:hint="eastAsia" w:ascii="仿宋" w:hAnsi="仿宋" w:eastAsia="仿宋" w:cs="仿宋"/>
                <w:bCs/>
                <w:sz w:val="24"/>
              </w:rPr>
              <w:t>性别</w:t>
            </w:r>
          </w:p>
        </w:tc>
        <w:tc>
          <w:tcPr>
            <w:tcW w:w="1374" w:type="dxa"/>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Cs/>
                <w:sz w:val="24"/>
              </w:rPr>
            </w:pPr>
            <w:r>
              <w:rPr>
                <w:rFonts w:hint="eastAsia" w:ascii="仿宋" w:hAnsi="仿宋" w:eastAsia="仿宋" w:cs="仿宋"/>
                <w:bCs/>
                <w:sz w:val="24"/>
              </w:rPr>
              <w:t>部门</w:t>
            </w:r>
          </w:p>
        </w:tc>
        <w:tc>
          <w:tcPr>
            <w:tcW w:w="1418" w:type="dxa"/>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Cs/>
                <w:sz w:val="24"/>
              </w:rPr>
            </w:pPr>
            <w:r>
              <w:rPr>
                <w:rFonts w:hint="eastAsia" w:ascii="仿宋" w:hAnsi="仿宋" w:eastAsia="仿宋" w:cs="仿宋"/>
                <w:bCs/>
                <w:sz w:val="24"/>
              </w:rPr>
              <w:t>职务</w:t>
            </w:r>
          </w:p>
        </w:tc>
        <w:tc>
          <w:tcPr>
            <w:tcW w:w="1984" w:type="dxa"/>
            <w:gridSpan w:val="3"/>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Cs/>
                <w:sz w:val="24"/>
              </w:rPr>
            </w:pPr>
            <w:r>
              <w:rPr>
                <w:rFonts w:hint="eastAsia" w:ascii="仿宋" w:hAnsi="仿宋" w:eastAsia="仿宋" w:cs="仿宋"/>
                <w:bCs/>
                <w:sz w:val="24"/>
              </w:rPr>
              <w:t>手机</w:t>
            </w:r>
          </w:p>
        </w:tc>
        <w:tc>
          <w:tcPr>
            <w:tcW w:w="1984" w:type="dxa"/>
            <w:gridSpan w:val="2"/>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Cs/>
                <w:sz w:val="24"/>
              </w:rPr>
            </w:pPr>
            <w:r>
              <w:rPr>
                <w:rFonts w:hint="eastAsia" w:ascii="仿宋" w:hAnsi="仿宋" w:eastAsia="仿宋" w:cs="仿宋"/>
                <w:bCs/>
                <w:sz w:val="24"/>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Cs/>
                <w:sz w:val="24"/>
              </w:rPr>
            </w:pPr>
          </w:p>
        </w:tc>
        <w:tc>
          <w:tcPr>
            <w:tcW w:w="771" w:type="dxa"/>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Cs/>
                <w:sz w:val="24"/>
              </w:rPr>
            </w:pPr>
          </w:p>
        </w:tc>
        <w:tc>
          <w:tcPr>
            <w:tcW w:w="1374" w:type="dxa"/>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Cs/>
                <w:sz w:val="24"/>
              </w:rPr>
            </w:pPr>
          </w:p>
        </w:tc>
        <w:tc>
          <w:tcPr>
            <w:tcW w:w="1418" w:type="dxa"/>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Cs/>
                <w:sz w:val="24"/>
              </w:rPr>
            </w:pPr>
          </w:p>
        </w:tc>
        <w:tc>
          <w:tcPr>
            <w:tcW w:w="1984" w:type="dxa"/>
            <w:gridSpan w:val="3"/>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Cs/>
                <w:sz w:val="24"/>
              </w:rPr>
            </w:pPr>
          </w:p>
        </w:tc>
        <w:tc>
          <w:tcPr>
            <w:tcW w:w="1984" w:type="dxa"/>
            <w:gridSpan w:val="2"/>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Cs/>
                <w:sz w:val="24"/>
              </w:rPr>
            </w:pPr>
          </w:p>
        </w:tc>
        <w:tc>
          <w:tcPr>
            <w:tcW w:w="771" w:type="dxa"/>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Cs/>
                <w:sz w:val="24"/>
              </w:rPr>
            </w:pPr>
          </w:p>
        </w:tc>
        <w:tc>
          <w:tcPr>
            <w:tcW w:w="1374" w:type="dxa"/>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Cs/>
                <w:sz w:val="24"/>
              </w:rPr>
            </w:pPr>
          </w:p>
        </w:tc>
        <w:tc>
          <w:tcPr>
            <w:tcW w:w="1418" w:type="dxa"/>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Cs/>
                <w:sz w:val="24"/>
              </w:rPr>
            </w:pPr>
          </w:p>
        </w:tc>
        <w:tc>
          <w:tcPr>
            <w:tcW w:w="1984" w:type="dxa"/>
            <w:gridSpan w:val="3"/>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Cs/>
                <w:sz w:val="24"/>
              </w:rPr>
            </w:pPr>
          </w:p>
        </w:tc>
        <w:tc>
          <w:tcPr>
            <w:tcW w:w="1984" w:type="dxa"/>
            <w:gridSpan w:val="2"/>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Cs/>
                <w:sz w:val="24"/>
              </w:rPr>
            </w:pPr>
          </w:p>
        </w:tc>
        <w:tc>
          <w:tcPr>
            <w:tcW w:w="771" w:type="dxa"/>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Cs/>
                <w:sz w:val="24"/>
              </w:rPr>
            </w:pPr>
          </w:p>
        </w:tc>
        <w:tc>
          <w:tcPr>
            <w:tcW w:w="1374" w:type="dxa"/>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Cs/>
                <w:sz w:val="24"/>
              </w:rPr>
            </w:pPr>
          </w:p>
        </w:tc>
        <w:tc>
          <w:tcPr>
            <w:tcW w:w="1418" w:type="dxa"/>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Cs/>
                <w:sz w:val="24"/>
              </w:rPr>
            </w:pPr>
          </w:p>
        </w:tc>
        <w:tc>
          <w:tcPr>
            <w:tcW w:w="1984" w:type="dxa"/>
            <w:gridSpan w:val="3"/>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Cs/>
                <w:sz w:val="24"/>
              </w:rPr>
            </w:pPr>
          </w:p>
        </w:tc>
        <w:tc>
          <w:tcPr>
            <w:tcW w:w="1984" w:type="dxa"/>
            <w:gridSpan w:val="2"/>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Cs/>
                <w:sz w:val="24"/>
              </w:rPr>
            </w:pPr>
          </w:p>
        </w:tc>
        <w:tc>
          <w:tcPr>
            <w:tcW w:w="771" w:type="dxa"/>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Cs/>
                <w:sz w:val="24"/>
              </w:rPr>
            </w:pPr>
          </w:p>
        </w:tc>
        <w:tc>
          <w:tcPr>
            <w:tcW w:w="1374" w:type="dxa"/>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Cs/>
                <w:sz w:val="24"/>
              </w:rPr>
            </w:pPr>
          </w:p>
        </w:tc>
        <w:tc>
          <w:tcPr>
            <w:tcW w:w="1418" w:type="dxa"/>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Cs/>
                <w:sz w:val="24"/>
              </w:rPr>
            </w:pPr>
          </w:p>
        </w:tc>
        <w:tc>
          <w:tcPr>
            <w:tcW w:w="1984" w:type="dxa"/>
            <w:gridSpan w:val="3"/>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Cs/>
                <w:sz w:val="24"/>
              </w:rPr>
            </w:pPr>
          </w:p>
        </w:tc>
        <w:tc>
          <w:tcPr>
            <w:tcW w:w="1984" w:type="dxa"/>
            <w:gridSpan w:val="2"/>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Cs/>
                <w:sz w:val="24"/>
              </w:rPr>
            </w:pPr>
          </w:p>
        </w:tc>
        <w:tc>
          <w:tcPr>
            <w:tcW w:w="771" w:type="dxa"/>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Cs/>
                <w:sz w:val="24"/>
              </w:rPr>
            </w:pPr>
          </w:p>
        </w:tc>
        <w:tc>
          <w:tcPr>
            <w:tcW w:w="1374" w:type="dxa"/>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Cs/>
                <w:sz w:val="24"/>
              </w:rPr>
            </w:pPr>
          </w:p>
        </w:tc>
        <w:tc>
          <w:tcPr>
            <w:tcW w:w="1418" w:type="dxa"/>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Cs/>
                <w:sz w:val="24"/>
              </w:rPr>
            </w:pPr>
          </w:p>
        </w:tc>
        <w:tc>
          <w:tcPr>
            <w:tcW w:w="1984" w:type="dxa"/>
            <w:gridSpan w:val="3"/>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Cs/>
                <w:sz w:val="24"/>
              </w:rPr>
            </w:pPr>
          </w:p>
        </w:tc>
        <w:tc>
          <w:tcPr>
            <w:tcW w:w="1984" w:type="dxa"/>
            <w:gridSpan w:val="2"/>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Cs/>
                <w:sz w:val="24"/>
              </w:rPr>
            </w:pPr>
          </w:p>
        </w:tc>
        <w:tc>
          <w:tcPr>
            <w:tcW w:w="771" w:type="dxa"/>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Cs/>
                <w:sz w:val="24"/>
              </w:rPr>
            </w:pPr>
          </w:p>
        </w:tc>
        <w:tc>
          <w:tcPr>
            <w:tcW w:w="1374" w:type="dxa"/>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Cs/>
                <w:sz w:val="24"/>
              </w:rPr>
            </w:pPr>
          </w:p>
        </w:tc>
        <w:tc>
          <w:tcPr>
            <w:tcW w:w="1418" w:type="dxa"/>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Cs/>
                <w:sz w:val="24"/>
              </w:rPr>
            </w:pPr>
          </w:p>
        </w:tc>
        <w:tc>
          <w:tcPr>
            <w:tcW w:w="1984" w:type="dxa"/>
            <w:gridSpan w:val="3"/>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Cs/>
                <w:sz w:val="24"/>
              </w:rPr>
            </w:pPr>
          </w:p>
        </w:tc>
        <w:tc>
          <w:tcPr>
            <w:tcW w:w="1984" w:type="dxa"/>
            <w:gridSpan w:val="2"/>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Cs/>
                <w:sz w:val="24"/>
              </w:rPr>
            </w:pPr>
          </w:p>
        </w:tc>
        <w:tc>
          <w:tcPr>
            <w:tcW w:w="771" w:type="dxa"/>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Cs/>
                <w:sz w:val="24"/>
              </w:rPr>
            </w:pPr>
          </w:p>
        </w:tc>
        <w:tc>
          <w:tcPr>
            <w:tcW w:w="1374" w:type="dxa"/>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Cs/>
                <w:sz w:val="24"/>
              </w:rPr>
            </w:pPr>
          </w:p>
        </w:tc>
        <w:tc>
          <w:tcPr>
            <w:tcW w:w="1418" w:type="dxa"/>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Cs/>
                <w:sz w:val="24"/>
              </w:rPr>
            </w:pPr>
          </w:p>
        </w:tc>
        <w:tc>
          <w:tcPr>
            <w:tcW w:w="1984" w:type="dxa"/>
            <w:gridSpan w:val="3"/>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Cs/>
                <w:sz w:val="24"/>
              </w:rPr>
            </w:pPr>
          </w:p>
        </w:tc>
        <w:tc>
          <w:tcPr>
            <w:tcW w:w="1984" w:type="dxa"/>
            <w:gridSpan w:val="2"/>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32" w:type="dxa"/>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Cs/>
                <w:sz w:val="24"/>
              </w:rPr>
            </w:pPr>
            <w:r>
              <w:rPr>
                <w:rFonts w:hint="eastAsia" w:ascii="仿宋" w:hAnsi="仿宋" w:eastAsia="仿宋" w:cs="仿宋"/>
                <w:bCs/>
                <w:sz w:val="24"/>
              </w:rPr>
              <w:t>住宿安排</w:t>
            </w:r>
          </w:p>
        </w:tc>
        <w:tc>
          <w:tcPr>
            <w:tcW w:w="7531" w:type="dxa"/>
            <w:gridSpan w:val="8"/>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Cs/>
                <w:sz w:val="24"/>
              </w:rPr>
            </w:pPr>
            <w:r>
              <w:rPr>
                <w:rFonts w:hint="eastAsia" w:ascii="仿宋" w:hAnsi="仿宋" w:eastAsia="仿宋" w:cs="仿宋"/>
                <w:bCs/>
                <w:sz w:val="24"/>
              </w:rPr>
              <w:t>□单间     □标间   订房数量</w:t>
            </w:r>
            <w:r>
              <w:rPr>
                <w:rFonts w:hint="eastAsia" w:ascii="仿宋" w:hAnsi="仿宋" w:eastAsia="仿宋" w:cs="仿宋"/>
                <w:bCs/>
                <w:sz w:val="24"/>
                <w:u w:val="single"/>
              </w:rPr>
              <w:t xml:space="preserve">    </w:t>
            </w:r>
            <w:r>
              <w:rPr>
                <w:rFonts w:hint="eastAsia" w:ascii="仿宋" w:hAnsi="仿宋" w:eastAsia="仿宋" w:cs="仿宋"/>
                <w:bCs/>
                <w:sz w:val="24"/>
              </w:rPr>
              <w:t>间    □否     □自行安排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932" w:type="dxa"/>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Cs/>
                <w:sz w:val="24"/>
              </w:rPr>
            </w:pPr>
            <w:r>
              <w:rPr>
                <w:rFonts w:hint="eastAsia" w:ascii="仿宋" w:hAnsi="仿宋" w:eastAsia="仿宋" w:cs="仿宋"/>
                <w:bCs/>
                <w:sz w:val="24"/>
              </w:rPr>
              <w:t>参会地点</w:t>
            </w:r>
          </w:p>
        </w:tc>
        <w:tc>
          <w:tcPr>
            <w:tcW w:w="4365" w:type="dxa"/>
            <w:gridSpan w:val="4"/>
            <w:noWrap/>
            <w:vAlign w:val="center"/>
          </w:tcPr>
          <w:p>
            <w:pPr>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bCs/>
                <w:sz w:val="24"/>
                <w:lang w:val="en-US" w:eastAsia="zh-CN"/>
              </w:rPr>
            </w:pPr>
            <w:r>
              <w:rPr>
                <w:rFonts w:hint="eastAsia" w:ascii="仿宋" w:hAnsi="仿宋" w:eastAsia="仿宋" w:cs="仿宋"/>
                <w:bCs/>
                <w:sz w:val="24"/>
              </w:rPr>
              <w:t xml:space="preserve">  </w:t>
            </w:r>
            <w:r>
              <w:rPr>
                <w:rFonts w:hint="eastAsia" w:ascii="仿宋" w:hAnsi="仿宋" w:eastAsia="仿宋" w:cs="仿宋"/>
                <w:sz w:val="24"/>
                <w:szCs w:val="24"/>
              </w:rPr>
              <w:t xml:space="preserve"> </w:t>
            </w:r>
            <w:r>
              <w:rPr>
                <w:rFonts w:hint="eastAsia" w:ascii="仿宋" w:hAnsi="仿宋" w:eastAsia="仿宋" w:cs="仿宋"/>
                <w:bCs/>
                <w:sz w:val="24"/>
                <w:lang w:val="en-US" w:eastAsia="zh-CN"/>
              </w:rPr>
              <w:t xml:space="preserve">  </w:t>
            </w:r>
            <w:r>
              <w:rPr>
                <w:rFonts w:hint="eastAsia" w:ascii="仿宋" w:hAnsi="仿宋" w:eastAsia="仿宋" w:cs="仿宋"/>
                <w:bCs/>
                <w:sz w:val="24"/>
              </w:rPr>
              <w:sym w:font="Wingdings 2" w:char="00A3"/>
            </w:r>
            <w:r>
              <w:rPr>
                <w:rFonts w:hint="eastAsia" w:ascii="仿宋" w:hAnsi="仿宋" w:eastAsia="仿宋" w:cs="仿宋"/>
                <w:bCs/>
                <w:sz w:val="24"/>
                <w:lang w:val="en-US" w:eastAsia="zh-CN"/>
              </w:rPr>
              <w:t xml:space="preserve">海口   </w:t>
            </w:r>
            <w:r>
              <w:rPr>
                <w:rFonts w:hint="eastAsia" w:ascii="仿宋" w:hAnsi="仿宋" w:eastAsia="仿宋" w:cs="仿宋"/>
                <w:bCs/>
                <w:sz w:val="24"/>
              </w:rPr>
              <w:sym w:font="Wingdings 2" w:char="00A3"/>
            </w:r>
            <w:r>
              <w:rPr>
                <w:rFonts w:hint="eastAsia" w:ascii="仿宋" w:hAnsi="仿宋" w:eastAsia="仿宋" w:cs="仿宋"/>
                <w:bCs/>
                <w:sz w:val="24"/>
                <w:lang w:val="en-US" w:eastAsia="zh-CN"/>
              </w:rPr>
              <w:t xml:space="preserve">上海   </w:t>
            </w:r>
            <w:r>
              <w:rPr>
                <w:rFonts w:hint="eastAsia" w:ascii="仿宋" w:hAnsi="仿宋" w:eastAsia="仿宋" w:cs="仿宋"/>
                <w:bCs/>
                <w:sz w:val="24"/>
              </w:rPr>
              <w:sym w:font="Wingdings 2" w:char="00A3"/>
            </w:r>
            <w:r>
              <w:rPr>
                <w:rFonts w:hint="eastAsia" w:ascii="仿宋" w:hAnsi="仿宋" w:eastAsia="仿宋" w:cs="仿宋"/>
                <w:bCs/>
                <w:sz w:val="24"/>
                <w:lang w:val="en-US" w:eastAsia="zh-CN"/>
              </w:rPr>
              <w:t>线上</w:t>
            </w:r>
          </w:p>
        </w:tc>
        <w:tc>
          <w:tcPr>
            <w:tcW w:w="1680" w:type="dxa"/>
            <w:gridSpan w:val="3"/>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Cs/>
                <w:sz w:val="24"/>
              </w:rPr>
            </w:pPr>
            <w:r>
              <w:rPr>
                <w:rFonts w:hint="eastAsia" w:ascii="仿宋" w:hAnsi="仿宋" w:eastAsia="仿宋" w:cs="仿宋"/>
                <w:bCs/>
                <w:sz w:val="24"/>
              </w:rPr>
              <w:t>培训费用</w:t>
            </w:r>
          </w:p>
        </w:tc>
        <w:tc>
          <w:tcPr>
            <w:tcW w:w="1486" w:type="dxa"/>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932" w:type="dxa"/>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Cs/>
                <w:sz w:val="24"/>
              </w:rPr>
            </w:pPr>
            <w:r>
              <w:rPr>
                <w:rFonts w:hint="eastAsia" w:ascii="仿宋" w:hAnsi="仿宋" w:eastAsia="仿宋" w:cs="仿宋"/>
                <w:bCs/>
                <w:sz w:val="24"/>
              </w:rPr>
              <w:t>付款方式</w:t>
            </w:r>
          </w:p>
        </w:tc>
        <w:tc>
          <w:tcPr>
            <w:tcW w:w="7531" w:type="dxa"/>
            <w:gridSpan w:val="8"/>
            <w:noWrap/>
            <w:vAlign w:val="center"/>
          </w:tcPr>
          <w:p>
            <w:pPr>
              <w:keepLines w:val="0"/>
              <w:pageBreakBefore w:val="0"/>
              <w:widowControl w:val="0"/>
              <w:kinsoku/>
              <w:wordWrap/>
              <w:overflowPunct/>
              <w:topLinePunct w:val="0"/>
              <w:autoSpaceDE/>
              <w:autoSpaceDN/>
              <w:bidi w:val="0"/>
              <w:adjustRightInd/>
              <w:snapToGrid/>
              <w:spacing w:line="400" w:lineRule="exact"/>
              <w:ind w:firstLine="240" w:firstLineChars="100"/>
              <w:jc w:val="center"/>
              <w:textAlignment w:val="auto"/>
              <w:rPr>
                <w:rFonts w:ascii="仿宋" w:hAnsi="仿宋" w:eastAsia="仿宋" w:cs="仿宋"/>
                <w:bCs/>
                <w:sz w:val="24"/>
              </w:rPr>
            </w:pPr>
            <w:r>
              <w:rPr>
                <w:rFonts w:hint="eastAsia" w:ascii="仿宋" w:hAnsi="仿宋" w:eastAsia="仿宋" w:cs="仿宋"/>
                <w:bCs/>
                <w:sz w:val="24"/>
              </w:rPr>
              <w:t>□通过银行        □刷卡      □现金   □微信/支付宝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1932" w:type="dxa"/>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sz w:val="24"/>
                <w:lang w:val="zh-CN" w:bidi="zh-CN"/>
              </w:rPr>
            </w:pPr>
            <w:r>
              <w:rPr>
                <w:rFonts w:hint="eastAsia" w:ascii="仿宋" w:hAnsi="仿宋" w:eastAsia="仿宋" w:cs="仿宋"/>
                <w:b/>
                <w:bCs/>
                <w:sz w:val="24"/>
              </w:rPr>
              <w:t>发票类别</w:t>
            </w:r>
          </w:p>
        </w:tc>
        <w:tc>
          <w:tcPr>
            <w:tcW w:w="7531" w:type="dxa"/>
            <w:gridSpan w:val="8"/>
            <w:noWrap/>
          </w:tcPr>
          <w:p>
            <w:pPr>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
                <w:b/>
                <w:bCs/>
                <w:sz w:val="24"/>
              </w:rPr>
            </w:pPr>
            <w:r>
              <w:rPr>
                <w:rFonts w:hint="eastAsia" w:ascii="仿宋" w:hAnsi="仿宋" w:eastAsia="仿宋" w:cs="仿宋"/>
                <w:b/>
                <w:bCs/>
                <w:sz w:val="24"/>
              </w:rPr>
              <w:t>增值税（</w:t>
            </w:r>
            <w:r>
              <w:rPr>
                <w:rFonts w:hint="eastAsia" w:ascii="仿宋" w:hAnsi="仿宋" w:eastAsia="仿宋" w:cs="仿宋"/>
                <w:bCs/>
                <w:sz w:val="24"/>
              </w:rPr>
              <w:t>□</w:t>
            </w:r>
            <w:r>
              <w:rPr>
                <w:rFonts w:hint="eastAsia" w:ascii="仿宋" w:hAnsi="仿宋" w:eastAsia="仿宋" w:cs="仿宋"/>
                <w:b/>
                <w:bCs/>
                <w:sz w:val="24"/>
              </w:rPr>
              <w:t>普通□专用）发票,开票信息如下：</w:t>
            </w:r>
          </w:p>
          <w:p>
            <w:pPr>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
                <w:b/>
                <w:bCs/>
                <w:sz w:val="24"/>
              </w:rPr>
            </w:pPr>
            <w:r>
              <w:rPr>
                <w:rFonts w:hint="eastAsia" w:ascii="仿宋" w:hAnsi="仿宋" w:eastAsia="仿宋" w:cs="仿宋"/>
                <w:b/>
                <w:bCs/>
                <w:sz w:val="24"/>
              </w:rPr>
              <w:t>单 位 名 称：</w:t>
            </w:r>
          </w:p>
          <w:p>
            <w:pPr>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
                <w:b/>
                <w:bCs/>
                <w:sz w:val="24"/>
              </w:rPr>
            </w:pPr>
            <w:r>
              <w:rPr>
                <w:rFonts w:hint="eastAsia" w:ascii="仿宋" w:hAnsi="仿宋" w:eastAsia="仿宋" w:cs="仿宋"/>
                <w:b/>
                <w:bCs/>
                <w:sz w:val="24"/>
              </w:rPr>
              <w:t>税       号：</w:t>
            </w:r>
          </w:p>
          <w:p>
            <w:pPr>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
                <w:b/>
                <w:bCs/>
                <w:sz w:val="24"/>
              </w:rPr>
            </w:pPr>
            <w:r>
              <w:rPr>
                <w:rFonts w:hint="eastAsia" w:ascii="仿宋" w:hAnsi="仿宋" w:eastAsia="仿宋" w:cs="仿宋"/>
                <w:b/>
                <w:bCs/>
                <w:sz w:val="24"/>
              </w:rPr>
              <w:t>地址、 电话：</w:t>
            </w:r>
          </w:p>
          <w:p>
            <w:pPr>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
                <w:bCs/>
                <w:sz w:val="24"/>
              </w:rPr>
            </w:pPr>
            <w:r>
              <w:rPr>
                <w:rFonts w:hint="eastAsia" w:ascii="仿宋" w:hAnsi="仿宋" w:eastAsia="仿宋" w:cs="仿宋"/>
                <w:b/>
                <w:bCs/>
                <w:sz w:val="24"/>
              </w:rPr>
              <w:t>开户行、账号：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932" w:type="dxa"/>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Cs/>
                <w:sz w:val="24"/>
                <w:lang w:val="zh-CN" w:bidi="zh-CN"/>
              </w:rPr>
            </w:pPr>
            <w:r>
              <w:rPr>
                <w:rFonts w:hint="eastAsia" w:ascii="仿宋" w:hAnsi="仿宋" w:eastAsia="仿宋" w:cs="仿宋"/>
                <w:bCs/>
                <w:sz w:val="24"/>
              </w:rPr>
              <w:t>指定收款账户</w:t>
            </w:r>
          </w:p>
        </w:tc>
        <w:tc>
          <w:tcPr>
            <w:tcW w:w="7531" w:type="dxa"/>
            <w:gridSpan w:val="8"/>
            <w:noWrap/>
            <w:vAlign w:val="center"/>
          </w:tcPr>
          <w:p>
            <w:pPr>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
                <w:bCs/>
                <w:sz w:val="28"/>
                <w:szCs w:val="28"/>
                <w:lang w:val="ru-RU"/>
              </w:rPr>
            </w:pPr>
            <w:r>
              <w:rPr>
                <w:rFonts w:hint="eastAsia" w:ascii="仿宋" w:hAnsi="仿宋" w:eastAsia="仿宋" w:cs="仿宋"/>
                <w:bCs/>
                <w:sz w:val="28"/>
                <w:szCs w:val="28"/>
                <w:lang w:val="ru-RU"/>
              </w:rPr>
              <w:t>户  名：北京建术信息科技研究院有限公司</w:t>
            </w:r>
          </w:p>
          <w:p>
            <w:pPr>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
                <w:bCs/>
                <w:sz w:val="28"/>
                <w:szCs w:val="28"/>
                <w:lang w:val="ru-RU"/>
              </w:rPr>
            </w:pPr>
            <w:r>
              <w:rPr>
                <w:rFonts w:hint="eastAsia" w:ascii="仿宋" w:hAnsi="仿宋" w:eastAsia="仿宋" w:cs="仿宋"/>
                <w:bCs/>
                <w:sz w:val="28"/>
                <w:szCs w:val="28"/>
                <w:lang w:val="ru-RU"/>
              </w:rPr>
              <w:t>开户行：中国建设银行股份有限公司北京昌平小汤山支行</w:t>
            </w:r>
          </w:p>
          <w:p>
            <w:pPr>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
                <w:bCs/>
                <w:sz w:val="28"/>
                <w:szCs w:val="28"/>
              </w:rPr>
            </w:pPr>
            <w:r>
              <w:rPr>
                <w:rFonts w:hint="eastAsia" w:ascii="仿宋" w:hAnsi="仿宋" w:eastAsia="仿宋" w:cs="仿宋"/>
                <w:bCs/>
                <w:sz w:val="28"/>
                <w:szCs w:val="28"/>
                <w:lang w:val="ru-RU"/>
              </w:rPr>
              <w:t>账  号：1105 0110 2401 0900 0164</w:t>
            </w:r>
          </w:p>
          <w:p>
            <w:pPr>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bCs/>
                <w:sz w:val="24"/>
                <w:lang w:val="en-US" w:eastAsia="zh-CN" w:bidi="zh-CN"/>
              </w:rPr>
            </w:pPr>
            <w:r>
              <w:rPr>
                <w:rFonts w:hint="eastAsia" w:ascii="仿宋" w:hAnsi="仿宋" w:eastAsia="仿宋" w:cs="仿宋"/>
                <w:sz w:val="28"/>
                <w:szCs w:val="28"/>
              </w:rPr>
              <w:t>汇款后，请将银行电汇凭证传真至：010-</w:t>
            </w:r>
            <w:r>
              <w:rPr>
                <w:rFonts w:hint="eastAsia" w:ascii="仿宋" w:hAnsi="仿宋" w:eastAsia="仿宋" w:cs="仿宋"/>
                <w:sz w:val="28"/>
                <w:szCs w:val="28"/>
                <w:lang w:val="en-US" w:eastAsia="zh-CN"/>
              </w:rPr>
              <w:t>87205552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932" w:type="dxa"/>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Cs/>
                <w:sz w:val="24"/>
              </w:rPr>
            </w:pPr>
            <w:r>
              <w:rPr>
                <w:rFonts w:hint="eastAsia" w:ascii="仿宋" w:hAnsi="仿宋" w:eastAsia="仿宋" w:cs="仿宋"/>
                <w:bCs/>
                <w:sz w:val="24"/>
              </w:rPr>
              <w:t>参会方式</w:t>
            </w:r>
          </w:p>
        </w:tc>
        <w:tc>
          <w:tcPr>
            <w:tcW w:w="7531" w:type="dxa"/>
            <w:gridSpan w:val="8"/>
            <w:noWrap/>
            <w:vAlign w:val="center"/>
          </w:tcPr>
          <w:p>
            <w:pPr>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Cs/>
                <w:sz w:val="24"/>
              </w:rPr>
            </w:pPr>
            <w:r>
              <w:rPr>
                <w:rFonts w:hint="eastAsia" w:ascii="仿宋" w:hAnsi="仿宋" w:eastAsia="仿宋" w:cs="仿宋"/>
                <w:bCs/>
                <w:sz w:val="24"/>
              </w:rPr>
              <w:t>请参会单位把参会回执回传至会务组，会务组确认后即发《参会凭证》，其中将详细注明报到时间、报到地点、食宿等具体安排事项。</w:t>
            </w:r>
          </w:p>
        </w:tc>
      </w:tr>
    </w:tbl>
    <w:p>
      <w:pPr>
        <w:keepLines w:val="0"/>
        <w:pageBreakBefore w:val="0"/>
        <w:widowControl w:val="0"/>
        <w:kinsoku/>
        <w:wordWrap/>
        <w:overflowPunct/>
        <w:topLinePunct w:val="0"/>
        <w:autoSpaceDE/>
        <w:autoSpaceDN/>
        <w:bidi w:val="0"/>
        <w:adjustRightInd/>
        <w:snapToGrid/>
        <w:spacing w:line="400" w:lineRule="exact"/>
        <w:textAlignment w:val="auto"/>
        <w:rPr>
          <w:rStyle w:val="10"/>
          <w:rFonts w:ascii="仿宋" w:hAnsi="仿宋" w:eastAsia="仿宋" w:cs="仿宋"/>
          <w:b w:val="0"/>
          <w:color w:val="000000"/>
          <w:sz w:val="28"/>
          <w:szCs w:val="28"/>
        </w:rPr>
      </w:pPr>
      <w:r>
        <w:rPr>
          <w:rStyle w:val="10"/>
          <w:rFonts w:hint="eastAsia" w:ascii="仿宋" w:hAnsi="仿宋" w:eastAsia="仿宋" w:cs="仿宋"/>
          <w:color w:val="000000"/>
          <w:sz w:val="28"/>
          <w:szCs w:val="28"/>
        </w:rPr>
        <w:t>注：</w:t>
      </w:r>
      <w:r>
        <w:rPr>
          <w:rStyle w:val="10"/>
          <w:rFonts w:hint="eastAsia" w:ascii="仿宋" w:hAnsi="仿宋" w:eastAsia="仿宋" w:cs="仿宋"/>
          <w:color w:val="000000"/>
          <w:sz w:val="24"/>
          <w:szCs w:val="24"/>
        </w:rPr>
        <w:t>为保证培训质量，培训班名额有限，额满为止，请确定人员后及早报名。</w:t>
      </w:r>
    </w:p>
    <w:p>
      <w:pPr>
        <w:pStyle w:val="2"/>
        <w:keepLines w:val="0"/>
        <w:pageBreakBefore w:val="0"/>
        <w:widowControl w:val="0"/>
        <w:kinsoku/>
        <w:wordWrap/>
        <w:overflowPunct/>
        <w:topLinePunct w:val="0"/>
        <w:autoSpaceDE/>
        <w:autoSpaceDN/>
        <w:bidi w:val="0"/>
        <w:adjustRightInd/>
        <w:snapToGrid/>
        <w:spacing w:line="400" w:lineRule="exact"/>
        <w:textAlignment w:val="auto"/>
        <w:rPr>
          <w:rFonts w:hint="eastAsia"/>
          <w:spacing w:val="-8"/>
          <w:w w:val="95"/>
        </w:rPr>
      </w:pPr>
      <w:r>
        <w:rPr>
          <w:rFonts w:hint="eastAsia"/>
          <w:spacing w:val="-8"/>
          <w:w w:val="95"/>
        </w:rPr>
        <w:t xml:space="preserve">报名负责人：聂红军 主任 18211071700（微信）   </w:t>
      </w:r>
    </w:p>
    <w:p>
      <w:pPr>
        <w:pStyle w:val="2"/>
        <w:keepLines w:val="0"/>
        <w:pageBreakBefore w:val="0"/>
        <w:widowControl w:val="0"/>
        <w:kinsoku/>
        <w:wordWrap/>
        <w:overflowPunct/>
        <w:topLinePunct w:val="0"/>
        <w:autoSpaceDE/>
        <w:autoSpaceDN/>
        <w:bidi w:val="0"/>
        <w:adjustRightInd/>
        <w:snapToGrid/>
        <w:spacing w:line="400" w:lineRule="exact"/>
        <w:textAlignment w:val="auto"/>
        <w:rPr>
          <w:rFonts w:hint="eastAsia"/>
          <w:spacing w:val="-8"/>
          <w:w w:val="95"/>
        </w:rPr>
      </w:pPr>
      <w:r>
        <w:rPr>
          <w:rFonts w:hint="eastAsia"/>
          <w:spacing w:val="-8"/>
          <w:w w:val="95"/>
        </w:rPr>
        <w:t xml:space="preserve">电  话：010-87697580    </w:t>
      </w:r>
      <w:r>
        <w:rPr>
          <w:rFonts w:hint="eastAsia"/>
          <w:spacing w:val="-8"/>
          <w:w w:val="95"/>
          <w:lang w:val="en-US" w:eastAsia="zh-CN"/>
        </w:rPr>
        <w:t xml:space="preserve"> </w:t>
      </w:r>
      <w:r>
        <w:rPr>
          <w:rFonts w:hint="eastAsia"/>
          <w:spacing w:val="-8"/>
          <w:w w:val="95"/>
        </w:rPr>
        <w:t>邮    箱：zqgphwz@126.com</w:t>
      </w:r>
    </w:p>
    <w:p>
      <w:pPr>
        <w:pStyle w:val="2"/>
        <w:keepLines w:val="0"/>
        <w:pageBreakBefore w:val="0"/>
        <w:widowControl w:val="0"/>
        <w:kinsoku/>
        <w:wordWrap/>
        <w:overflowPunct/>
        <w:topLinePunct w:val="0"/>
        <w:autoSpaceDE/>
        <w:autoSpaceDN/>
        <w:bidi w:val="0"/>
        <w:adjustRightInd/>
        <w:snapToGrid/>
        <w:spacing w:line="400" w:lineRule="exact"/>
        <w:textAlignment w:val="auto"/>
        <w:rPr>
          <w:rFonts w:hint="eastAsia" w:ascii="Tahoma" w:hAnsi="Tahoma" w:eastAsia="Tahoma" w:cs="Tahoma"/>
          <w:spacing w:val="-8"/>
          <w:w w:val="95"/>
          <w:sz w:val="20"/>
          <w:szCs w:val="20"/>
        </w:rPr>
      </w:pPr>
      <w:r>
        <w:rPr>
          <w:rFonts w:hint="eastAsia"/>
          <w:spacing w:val="-8"/>
          <w:w w:val="95"/>
        </w:rPr>
        <w:t xml:space="preserve">qq咨询：3177524020      网址查询：http://www.zqgpchina.cn/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altName w:val="微软雅黑"/>
    <w:panose1 w:val="02010609060101010101"/>
    <w:charset w:val="86"/>
    <w:family w:val="modern"/>
    <w:pitch w:val="default"/>
    <w:sig w:usb0="00000000" w:usb1="00000000"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61007A87" w:usb1="80000000" w:usb2="00000008" w:usb3="00000000" w:csb0="200101FF" w:csb1="2028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080F3C52" w:usb2="00000016" w:usb3="00000000" w:csb0="0004001F" w:csb1="00000000"/>
  </w:font>
  <w:font w:name="Arial">
    <w:panose1 w:val="020B0604020202020204"/>
    <w:charset w:val="00"/>
    <w:family w:val="swiss"/>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A37CD"/>
    <w:multiLevelType w:val="multilevel"/>
    <w:tmpl w:val="0E6A37C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4C5CD6"/>
    <w:multiLevelType w:val="multilevel"/>
    <w:tmpl w:val="104C5CD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3B6743A"/>
    <w:multiLevelType w:val="multilevel"/>
    <w:tmpl w:val="13B6743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2C22FD7"/>
    <w:multiLevelType w:val="multilevel"/>
    <w:tmpl w:val="22C22FD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EF710F0"/>
    <w:multiLevelType w:val="singleLevel"/>
    <w:tmpl w:val="4EF710F0"/>
    <w:lvl w:ilvl="0" w:tentative="0">
      <w:start w:val="3"/>
      <w:numFmt w:val="chineseCounting"/>
      <w:suff w:val="nothing"/>
      <w:lvlText w:val="%1、"/>
      <w:lvlJc w:val="left"/>
      <w:rPr>
        <w:rFonts w:hint="eastAsia"/>
      </w:rPr>
    </w:lvl>
  </w:abstractNum>
  <w:abstractNum w:abstractNumId="5">
    <w:nsid w:val="68F70922"/>
    <w:multiLevelType w:val="multilevel"/>
    <w:tmpl w:val="68F7092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wYjNkY2VmNzk1YzdiNmQxYjc0OTU2NzcxOWVkM2IifQ=="/>
  </w:docVars>
  <w:rsids>
    <w:rsidRoot w:val="00F224C7"/>
    <w:rsid w:val="00004B83"/>
    <w:rsid w:val="00005A2F"/>
    <w:rsid w:val="00077080"/>
    <w:rsid w:val="00080D68"/>
    <w:rsid w:val="000B57B8"/>
    <w:rsid w:val="000C0B31"/>
    <w:rsid w:val="000C39C7"/>
    <w:rsid w:val="00104338"/>
    <w:rsid w:val="001216D8"/>
    <w:rsid w:val="001316EA"/>
    <w:rsid w:val="00143A87"/>
    <w:rsid w:val="00152105"/>
    <w:rsid w:val="00164659"/>
    <w:rsid w:val="001854F7"/>
    <w:rsid w:val="0019580E"/>
    <w:rsid w:val="001C429E"/>
    <w:rsid w:val="00243054"/>
    <w:rsid w:val="00250623"/>
    <w:rsid w:val="002528C1"/>
    <w:rsid w:val="00255148"/>
    <w:rsid w:val="002838D0"/>
    <w:rsid w:val="002A1DC4"/>
    <w:rsid w:val="002A2DEE"/>
    <w:rsid w:val="002C645D"/>
    <w:rsid w:val="002C64CB"/>
    <w:rsid w:val="002F2207"/>
    <w:rsid w:val="0037433C"/>
    <w:rsid w:val="0038233F"/>
    <w:rsid w:val="00393D42"/>
    <w:rsid w:val="00396814"/>
    <w:rsid w:val="003A2F1F"/>
    <w:rsid w:val="003A5ADD"/>
    <w:rsid w:val="003C43D4"/>
    <w:rsid w:val="003F0B61"/>
    <w:rsid w:val="003F40F3"/>
    <w:rsid w:val="0042133D"/>
    <w:rsid w:val="00452BA1"/>
    <w:rsid w:val="0045599C"/>
    <w:rsid w:val="00482946"/>
    <w:rsid w:val="00486901"/>
    <w:rsid w:val="004C0B9B"/>
    <w:rsid w:val="004F4DF6"/>
    <w:rsid w:val="00501507"/>
    <w:rsid w:val="0051259B"/>
    <w:rsid w:val="00512CB6"/>
    <w:rsid w:val="0052486A"/>
    <w:rsid w:val="00561F7C"/>
    <w:rsid w:val="00565D43"/>
    <w:rsid w:val="00596A5F"/>
    <w:rsid w:val="005A171E"/>
    <w:rsid w:val="005B025F"/>
    <w:rsid w:val="005C14B0"/>
    <w:rsid w:val="005D0AAD"/>
    <w:rsid w:val="005F178E"/>
    <w:rsid w:val="005F4F1A"/>
    <w:rsid w:val="00601D42"/>
    <w:rsid w:val="00610C1F"/>
    <w:rsid w:val="00643D86"/>
    <w:rsid w:val="006476FD"/>
    <w:rsid w:val="00657B88"/>
    <w:rsid w:val="00671B42"/>
    <w:rsid w:val="006831A1"/>
    <w:rsid w:val="00694832"/>
    <w:rsid w:val="006B407B"/>
    <w:rsid w:val="006E5601"/>
    <w:rsid w:val="006E7E00"/>
    <w:rsid w:val="00703D3C"/>
    <w:rsid w:val="00720E70"/>
    <w:rsid w:val="0077051C"/>
    <w:rsid w:val="007828BD"/>
    <w:rsid w:val="007A2D03"/>
    <w:rsid w:val="007B7F2B"/>
    <w:rsid w:val="007E7120"/>
    <w:rsid w:val="00860B7B"/>
    <w:rsid w:val="00863966"/>
    <w:rsid w:val="00864129"/>
    <w:rsid w:val="008926C9"/>
    <w:rsid w:val="008A433C"/>
    <w:rsid w:val="008B6873"/>
    <w:rsid w:val="008C0ECF"/>
    <w:rsid w:val="008D17D7"/>
    <w:rsid w:val="009033D4"/>
    <w:rsid w:val="0093291A"/>
    <w:rsid w:val="0094302E"/>
    <w:rsid w:val="0096430C"/>
    <w:rsid w:val="0097533F"/>
    <w:rsid w:val="00985DCB"/>
    <w:rsid w:val="009912CA"/>
    <w:rsid w:val="009972B0"/>
    <w:rsid w:val="009A0006"/>
    <w:rsid w:val="009A72AC"/>
    <w:rsid w:val="009A7E29"/>
    <w:rsid w:val="009B6C68"/>
    <w:rsid w:val="009E395A"/>
    <w:rsid w:val="00A04AA6"/>
    <w:rsid w:val="00A12262"/>
    <w:rsid w:val="00A2633F"/>
    <w:rsid w:val="00A417CC"/>
    <w:rsid w:val="00A52BE1"/>
    <w:rsid w:val="00A8111D"/>
    <w:rsid w:val="00A900E0"/>
    <w:rsid w:val="00A93BCC"/>
    <w:rsid w:val="00AD4FF2"/>
    <w:rsid w:val="00AE2558"/>
    <w:rsid w:val="00B23B1E"/>
    <w:rsid w:val="00B30C55"/>
    <w:rsid w:val="00B466D6"/>
    <w:rsid w:val="00B53C9B"/>
    <w:rsid w:val="00BD6527"/>
    <w:rsid w:val="00BE3B90"/>
    <w:rsid w:val="00BE6433"/>
    <w:rsid w:val="00C02970"/>
    <w:rsid w:val="00C137EC"/>
    <w:rsid w:val="00C177B9"/>
    <w:rsid w:val="00C34714"/>
    <w:rsid w:val="00C36392"/>
    <w:rsid w:val="00C94526"/>
    <w:rsid w:val="00CB4F1A"/>
    <w:rsid w:val="00CC2236"/>
    <w:rsid w:val="00CD4209"/>
    <w:rsid w:val="00CF0422"/>
    <w:rsid w:val="00D2236A"/>
    <w:rsid w:val="00D42B2D"/>
    <w:rsid w:val="00D45222"/>
    <w:rsid w:val="00D5180E"/>
    <w:rsid w:val="00D74DF4"/>
    <w:rsid w:val="00D97E79"/>
    <w:rsid w:val="00DA6C7A"/>
    <w:rsid w:val="00DA79A2"/>
    <w:rsid w:val="00DD27AB"/>
    <w:rsid w:val="00DF6CB3"/>
    <w:rsid w:val="00E10D5D"/>
    <w:rsid w:val="00E17696"/>
    <w:rsid w:val="00E56F34"/>
    <w:rsid w:val="00E8182C"/>
    <w:rsid w:val="00E946C6"/>
    <w:rsid w:val="00F0085B"/>
    <w:rsid w:val="00F224C7"/>
    <w:rsid w:val="00F4433E"/>
    <w:rsid w:val="00F53FB4"/>
    <w:rsid w:val="00F57E45"/>
    <w:rsid w:val="00F65BE7"/>
    <w:rsid w:val="00F8599A"/>
    <w:rsid w:val="00FA42EC"/>
    <w:rsid w:val="00FB679A"/>
    <w:rsid w:val="00FB6CC5"/>
    <w:rsid w:val="00FD1CED"/>
    <w:rsid w:val="00FF1E07"/>
    <w:rsid w:val="0C7F6115"/>
    <w:rsid w:val="0D3042B9"/>
    <w:rsid w:val="19097235"/>
    <w:rsid w:val="35EE5737"/>
    <w:rsid w:val="3C1540D2"/>
    <w:rsid w:val="45D9174D"/>
    <w:rsid w:val="52E05E52"/>
    <w:rsid w:val="5F46445D"/>
    <w:rsid w:val="654D32DE"/>
    <w:rsid w:val="6A2C1404"/>
    <w:rsid w:val="6B8F72F2"/>
    <w:rsid w:val="6FCA4533"/>
    <w:rsid w:val="7DD51E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28"/>
      <w:szCs w:val="28"/>
      <w:lang w:val="zh-CN" w:bidi="zh-CN"/>
    </w:rPr>
  </w:style>
  <w:style w:type="paragraph" w:styleId="3">
    <w:name w:val="Body Text Indent"/>
    <w:basedOn w:val="1"/>
    <w:next w:val="1"/>
    <w:link w:val="16"/>
    <w:qFormat/>
    <w:uiPriority w:val="0"/>
    <w:pPr>
      <w:spacing w:after="120"/>
      <w:ind w:left="420" w:leftChars="200"/>
    </w:pPr>
    <w:rPr>
      <w:rFonts w:ascii="Times New Roman" w:hAnsi="Times New Roman" w:eastAsia="宋体" w:cs="Times New Roman"/>
      <w:szCs w:val="24"/>
    </w:rPr>
  </w:style>
  <w:style w:type="paragraph" w:styleId="4">
    <w:name w:val="footer"/>
    <w:basedOn w:val="1"/>
    <w:link w:val="14"/>
    <w:semiHidden/>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2"/>
    <w:basedOn w:val="3"/>
    <w:qFormat/>
    <w:uiPriority w:val="99"/>
    <w:pPr>
      <w:ind w:firstLine="420" w:firstLineChars="200"/>
    </w:pPr>
    <w:rPr>
      <w:sz w:val="24"/>
    </w:rPr>
  </w:style>
  <w:style w:type="character" w:styleId="10">
    <w:name w:val="Strong"/>
    <w:qFormat/>
    <w:uiPriority w:val="22"/>
    <w:rPr>
      <w:b/>
      <w:bCs/>
    </w:rPr>
  </w:style>
  <w:style w:type="character" w:styleId="11">
    <w:name w:val="Hyperlink"/>
    <w:basedOn w:val="9"/>
    <w:semiHidden/>
    <w:unhideWhenUsed/>
    <w:qFormat/>
    <w:uiPriority w:val="99"/>
    <w:rPr>
      <w:color w:val="0000FF"/>
      <w:u w:val="single"/>
    </w:rPr>
  </w:style>
  <w:style w:type="character" w:customStyle="1" w:styleId="12">
    <w:name w:val="apple-converted-space"/>
    <w:basedOn w:val="9"/>
    <w:qFormat/>
    <w:uiPriority w:val="0"/>
  </w:style>
  <w:style w:type="character" w:customStyle="1" w:styleId="13">
    <w:name w:val="页眉 Char"/>
    <w:basedOn w:val="9"/>
    <w:link w:val="5"/>
    <w:semiHidden/>
    <w:qFormat/>
    <w:uiPriority w:val="99"/>
    <w:rPr>
      <w:sz w:val="18"/>
      <w:szCs w:val="18"/>
    </w:rPr>
  </w:style>
  <w:style w:type="character" w:customStyle="1" w:styleId="14">
    <w:name w:val="页脚 Char"/>
    <w:basedOn w:val="9"/>
    <w:link w:val="4"/>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正文文本缩进 Char"/>
    <w:basedOn w:val="9"/>
    <w:link w:val="3"/>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ll</Company>
  <Pages>6</Pages>
  <Words>4457</Words>
  <Characters>4770</Characters>
  <Lines>36</Lines>
  <Paragraphs>10</Paragraphs>
  <TotalTime>9</TotalTime>
  <ScaleCrop>false</ScaleCrop>
  <LinksUpToDate>false</LinksUpToDate>
  <CharactersWithSpaces>4959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2021-08-19T08:49:00Z</dcterms:created>
  <dc:creator>ll</dc:creator>
  <cp:lastModifiedBy>聂红军</cp:lastModifiedBy>
  <dcterms:modified xsi:type="dcterms:W3CDTF">2022-12-06T05:07:02Z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8C6403EB780A4D1FB5BE8105C0F7013B</vt:lpwstr>
  </property>
</Properties>
</file>