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color w:val="FF0000"/>
          <w:w w:val="58"/>
          <w:sz w:val="44"/>
          <w:szCs w:val="44"/>
        </w:rPr>
      </w:pPr>
    </w:p>
    <w:p>
      <w:pPr>
        <w:widowControl/>
        <w:spacing w:line="60" w:lineRule="auto"/>
        <w:jc w:val="distribute"/>
        <w:rPr>
          <w:rFonts w:ascii="宋体" w:hAnsi="宋体" w:eastAsia="宋体" w:cs="宋体"/>
          <w:color w:val="FF0000"/>
          <w:sz w:val="70"/>
          <w:szCs w:val="70"/>
        </w:rPr>
      </w:pPr>
      <w:r>
        <w:rPr>
          <w:rFonts w:hint="eastAsia" w:ascii="宋体" w:hAnsi="宋体" w:eastAsia="宋体" w:cs="宋体"/>
          <w:color w:val="FF0000"/>
          <w:sz w:val="70"/>
          <w:szCs w:val="70"/>
        </w:rPr>
        <w:t>中 国 投 资 协 会</w:t>
      </w:r>
    </w:p>
    <w:p>
      <w:pPr>
        <w:widowControl/>
        <w:spacing w:line="60" w:lineRule="auto"/>
        <w:jc w:val="distribute"/>
        <w:rPr>
          <w:rFonts w:ascii="楷体" w:hAnsi="楷体" w:eastAsia="楷体"/>
          <w:color w:val="FF0000"/>
          <w:sz w:val="70"/>
          <w:szCs w:val="70"/>
        </w:rPr>
      </w:pPr>
      <w:r>
        <w:rPr>
          <w:rFonts w:hint="eastAsia" w:ascii="宋体" w:hAnsi="宋体" w:eastAsia="宋体" w:cs="宋体"/>
          <w:color w:val="FF0000"/>
          <w:sz w:val="70"/>
          <w:szCs w:val="70"/>
        </w:rPr>
        <w:t>项目投融资专业委员会文件</w:t>
      </w:r>
    </w:p>
    <w:p>
      <w:pPr>
        <w:widowControl/>
        <w:spacing w:line="380" w:lineRule="exact"/>
        <w:ind w:firstLine="3360" w:firstLineChars="1200"/>
        <w:jc w:val="left"/>
        <w:rPr>
          <w:rFonts w:hint="eastAsia" w:ascii="仿宋" w:hAnsi="仿宋" w:cs="宋体"/>
          <w:color w:val="000000"/>
          <w:sz w:val="28"/>
          <w:szCs w:val="28"/>
        </w:rPr>
      </w:pPr>
      <w:r>
        <w:rPr>
          <w:rFonts w:ascii="仿宋" w:hAnsi="仿宋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-278765</wp:posOffset>
                </wp:positionH>
                <wp:positionV relativeFrom="paragraph">
                  <wp:posOffset>226695</wp:posOffset>
                </wp:positionV>
                <wp:extent cx="6882130" cy="11430"/>
                <wp:effectExtent l="19050" t="19050" r="13970" b="762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2130" cy="1143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21.95pt;margin-top:17.85pt;height:0.9pt;width:541.9pt;mso-position-horizontal-relative:margin;z-index:251659264;mso-width-relative:page;mso-height-relative:page;" filled="f" stroked="t" coordsize="21600,21600" o:gfxdata="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z1N2NsAAAAKAQAADwAAAAAAAAABACAAAAAiAAAAZHJzL2Rv&#10;d25yZXYueG1sUEsBAhQAFAAAAAgAh07iQLabiiL+AQAA9QMAAA4AAAAAAAAAAQAgAAAAKgEAAGRy&#10;cy9lMm9Eb2MueG1sUEsFBgAAAAAGAAYAWQEAAJ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宋体"/>
          <w:sz w:val="30"/>
          <w:szCs w:val="30"/>
        </w:rPr>
        <w:t>投融培字〔2023〕</w:t>
      </w:r>
      <w:r>
        <w:rPr>
          <w:rFonts w:hint="eastAsia" w:cs="宋体"/>
          <w:sz w:val="30"/>
          <w:szCs w:val="30"/>
        </w:rPr>
        <w:t>0</w:t>
      </w:r>
      <w:r>
        <w:rPr>
          <w:rFonts w:cs="宋体"/>
          <w:sz w:val="30"/>
          <w:szCs w:val="30"/>
        </w:rPr>
        <w:t>06</w:t>
      </w:r>
      <w:r>
        <w:rPr>
          <w:rFonts w:hint="eastAsia" w:cs="宋体"/>
          <w:sz w:val="30"/>
          <w:szCs w:val="30"/>
        </w:rPr>
        <w:t>号</w:t>
      </w:r>
    </w:p>
    <w:p>
      <w:pPr>
        <w:widowControl/>
        <w:spacing w:line="440" w:lineRule="exact"/>
        <w:jc w:val="center"/>
        <w:rPr>
          <w:rFonts w:ascii="宋体" w:hAnsi="宋体" w:eastAsia="宋体" w:cs="宋体"/>
          <w:b/>
          <w:sz w:val="28"/>
          <w:szCs w:val="28"/>
        </w:rPr>
      </w:pPr>
    </w:p>
    <w:p>
      <w:pPr>
        <w:widowControl/>
        <w:spacing w:line="440" w:lineRule="exact"/>
        <w:jc w:val="center"/>
        <w:rPr>
          <w:rFonts w:ascii="宋体" w:hAnsi="宋体" w:eastAsia="宋体" w:cs="宋体"/>
          <w:b/>
          <w:szCs w:val="32"/>
        </w:rPr>
      </w:pPr>
      <w:r>
        <w:rPr>
          <w:rFonts w:hint="eastAsia" w:ascii="宋体" w:hAnsi="宋体" w:eastAsia="宋体" w:cs="宋体"/>
          <w:b/>
          <w:szCs w:val="32"/>
        </w:rPr>
        <w:t>关于举办</w:t>
      </w:r>
      <w:r>
        <w:rPr>
          <w:rFonts w:hint="eastAsia" w:ascii="宋体" w:hAnsi="宋体" w:eastAsia="宋体" w:cs="宋体"/>
          <w:b/>
          <w:szCs w:val="32"/>
          <w:lang w:eastAsia="zh-Hans"/>
        </w:rPr>
        <w:t>“</w:t>
      </w:r>
      <w:r>
        <w:rPr>
          <w:rFonts w:hint="eastAsia" w:ascii="宋体" w:hAnsi="宋体" w:eastAsia="宋体" w:cs="宋体"/>
          <w:b/>
          <w:szCs w:val="32"/>
        </w:rPr>
        <w:t>新版《清单计价标准(征)》解读、造价精准管控、</w:t>
      </w:r>
      <w:r>
        <w:rPr>
          <w:rFonts w:hint="eastAsia" w:ascii="宋体" w:hAnsi="宋体" w:eastAsia="宋体" w:cs="宋体"/>
          <w:b/>
          <w:szCs w:val="32"/>
          <w:lang w:eastAsia="zh-Hans"/>
        </w:rPr>
        <w:t>结算</w:t>
      </w:r>
      <w:r>
        <w:rPr>
          <w:rFonts w:hint="eastAsia" w:ascii="宋体" w:hAnsi="宋体" w:eastAsia="宋体" w:cs="宋体"/>
          <w:b/>
          <w:szCs w:val="32"/>
        </w:rPr>
        <w:t>痛点</w:t>
      </w:r>
      <w:r>
        <w:rPr>
          <w:rFonts w:hint="eastAsia" w:ascii="宋体" w:hAnsi="宋体" w:eastAsia="宋体" w:cs="宋体"/>
          <w:b/>
          <w:szCs w:val="32"/>
          <w:lang w:eastAsia="zh-Hans"/>
        </w:rPr>
        <w:t>管理</w:t>
      </w:r>
      <w:r>
        <w:rPr>
          <w:rFonts w:hint="eastAsia" w:ascii="宋体" w:hAnsi="宋体" w:eastAsia="宋体" w:cs="宋体"/>
          <w:b/>
          <w:szCs w:val="32"/>
        </w:rPr>
        <w:t>与EPC总承包全过程实战与风险防范管理及全过程咨询</w:t>
      </w:r>
      <w:r>
        <w:rPr>
          <w:rFonts w:hint="eastAsia" w:ascii="宋体" w:hAnsi="宋体" w:eastAsia="宋体" w:cs="宋体"/>
          <w:b/>
          <w:szCs w:val="32"/>
          <w:lang w:eastAsia="zh-Hans"/>
        </w:rPr>
        <w:t>”高级培训班</w:t>
      </w:r>
      <w:r>
        <w:rPr>
          <w:rFonts w:hint="eastAsia" w:ascii="宋体" w:hAnsi="宋体" w:eastAsia="宋体" w:cs="宋体"/>
          <w:b/>
          <w:szCs w:val="32"/>
        </w:rPr>
        <w:t>的通知</w:t>
      </w:r>
    </w:p>
    <w:p>
      <w:pPr>
        <w:widowControl/>
        <w:spacing w:line="320" w:lineRule="exact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仿宋"/>
          <w:b/>
          <w:sz w:val="28"/>
          <w:szCs w:val="28"/>
        </w:rPr>
        <w:t>各有关单位：</w:t>
      </w:r>
    </w:p>
    <w:p>
      <w:pPr>
        <w:widowControl/>
        <w:spacing w:line="340" w:lineRule="exact"/>
        <w:ind w:firstLine="600" w:firstLineChars="200"/>
        <w:jc w:val="left"/>
        <w:rPr>
          <w:bCs/>
          <w:sz w:val="28"/>
          <w:szCs w:val="28"/>
        </w:rPr>
      </w:pPr>
      <w:r>
        <w:rPr>
          <w:rFonts w:hint="eastAsia" w:ascii="仿宋" w:hAnsi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住建部出台的《工程总承包管理办法》和新版《合同（示范文本）》对EPC项目招投标提出新的要求，对风险分担进行了详细规定。建设项目投资融资体制改革、如何科学实施EPC项目工程总承包以及计量计价、优化标前设计、提高清单编制严谨与准确性，同时，对工程合同履行阶段风险的把控管理、工程造价编制阶段各个环节可能存在的纠纷隐患点、涉法行政诉讼案件如何应对，“1+N+X”模型新工程咨询、大数据、人工智能、BIM 等技术与新基建、新咨询、新金融的深度与广度战略融合，以达到提升企业项目投资管控能力，适应新工程咨询的发展需求。</w:t>
      </w:r>
    </w:p>
    <w:p>
      <w:pPr>
        <w:widowControl/>
        <w:spacing w:line="34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当前，在推行工程总承包的过程中都不同程度面临着法律法规、操作实施的困惑及管理与技术的难点，包括：如何进行EPC项目的整体策划，项目前期如何规划EPC的实施，如何编制合理的EPC招标文件，如何进行前瞻性的合同谈判，以及EPC项目全过程履约管理与风险防控，这些必将成为工程项目总承包的关键性工作。</w:t>
      </w:r>
    </w:p>
    <w:p>
      <w:pPr>
        <w:widowControl/>
        <w:spacing w:line="340" w:lineRule="exact"/>
        <w:ind w:firstLine="640" w:firstLineChars="200"/>
        <w:jc w:val="left"/>
        <w:rPr>
          <w:rFonts w:ascii="仿宋" w:hAnsi="仿宋" w:cs="宋体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1443990</wp:posOffset>
            </wp:positionV>
            <wp:extent cx="2735580" cy="1491615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cs="宋体"/>
          <w:sz w:val="28"/>
          <w:szCs w:val="28"/>
        </w:rPr>
        <w:t>为帮助政府职能部门、协会、建设单位、设计单位、施工单位、监理单位、全过程项目咨询单位等相关人员学习理解计价、总包和咨询领域系列规范、行业新政策和管控方法，全面提高项目管理水平，厘清实务中重点难点、疑点、焦点等专业共性问题，实质性地提高专业素养和能力。中国投资协会项目投融资专业委员会决定举办</w:t>
      </w:r>
      <w:r>
        <w:rPr>
          <w:rFonts w:hint="eastAsia" w:ascii="仿宋" w:hAnsi="仿宋" w:cs="宋体"/>
          <w:sz w:val="28"/>
          <w:szCs w:val="28"/>
          <w:lang w:eastAsia="zh-Hans"/>
        </w:rPr>
        <w:t>“</w:t>
      </w:r>
      <w:r>
        <w:rPr>
          <w:rFonts w:hint="eastAsia" w:ascii="仿宋" w:hAnsi="仿宋" w:cs="宋体"/>
          <w:sz w:val="28"/>
          <w:szCs w:val="28"/>
        </w:rPr>
        <w:t>新版《清单计价标准(征)》解读、造价精准管控、</w:t>
      </w:r>
      <w:r>
        <w:rPr>
          <w:rFonts w:hint="eastAsia" w:ascii="仿宋" w:hAnsi="仿宋" w:cs="宋体"/>
          <w:sz w:val="28"/>
          <w:szCs w:val="28"/>
          <w:lang w:eastAsia="zh-Hans"/>
        </w:rPr>
        <w:t>结算</w:t>
      </w:r>
      <w:r>
        <w:rPr>
          <w:rFonts w:hint="eastAsia" w:ascii="仿宋" w:hAnsi="仿宋" w:cs="宋体"/>
          <w:sz w:val="28"/>
          <w:szCs w:val="28"/>
        </w:rPr>
        <w:t>痛点</w:t>
      </w:r>
      <w:r>
        <w:rPr>
          <w:rFonts w:hint="eastAsia" w:ascii="仿宋" w:hAnsi="仿宋" w:cs="宋体"/>
          <w:sz w:val="28"/>
          <w:szCs w:val="28"/>
          <w:lang w:eastAsia="zh-Hans"/>
        </w:rPr>
        <w:t>管理</w:t>
      </w:r>
      <w:r>
        <w:rPr>
          <w:rFonts w:hint="eastAsia" w:ascii="仿宋" w:hAnsi="仿宋" w:cs="宋体"/>
          <w:sz w:val="28"/>
          <w:szCs w:val="28"/>
        </w:rPr>
        <w:t>与EPC总承包全过程实战与风险防管理及全过程咨询</w:t>
      </w:r>
      <w:r>
        <w:rPr>
          <w:rFonts w:hint="eastAsia" w:ascii="仿宋" w:hAnsi="仿宋" w:cs="宋体"/>
          <w:sz w:val="28"/>
          <w:szCs w:val="28"/>
          <w:lang w:eastAsia="zh-Hans"/>
        </w:rPr>
        <w:t>”高级培训班</w:t>
      </w:r>
      <w:r>
        <w:rPr>
          <w:rFonts w:hint="eastAsia" w:ascii="仿宋" w:hAnsi="仿宋" w:cs="宋体"/>
          <w:sz w:val="28"/>
          <w:szCs w:val="28"/>
        </w:rPr>
        <w:t>。请各单位积极组织本单位及下属单位相关人员参加。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附件一、培训内容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附件二、报名表</w:t>
      </w:r>
    </w:p>
    <w:p>
      <w:pPr>
        <w:pStyle w:val="2"/>
        <w:ind w:firstLine="480"/>
        <w:rPr>
          <w:rFonts w:hint="eastAsia"/>
        </w:rPr>
      </w:pPr>
    </w:p>
    <w:p>
      <w:pPr>
        <w:spacing w:line="400" w:lineRule="exact"/>
        <w:rPr>
          <w:rFonts w:ascii="仿宋" w:hAnsi="仿宋" w:cs="宋体"/>
          <w:b/>
          <w:snapToGrid w:val="0"/>
          <w:kern w:val="20"/>
          <w:position w:val="-4"/>
          <w:sz w:val="28"/>
          <w:szCs w:val="28"/>
        </w:rPr>
      </w:pPr>
      <w:r>
        <w:rPr>
          <w:rFonts w:hint="eastAsia" w:ascii="仿宋" w:hAnsi="仿宋" w:cs="宋体"/>
          <w:b/>
          <w:snapToGrid w:val="0"/>
          <w:kern w:val="20"/>
          <w:position w:val="-4"/>
          <w:sz w:val="28"/>
          <w:szCs w:val="28"/>
        </w:rPr>
        <w:t>附件一：培训内容</w:t>
      </w:r>
    </w:p>
    <w:p>
      <w:pPr>
        <w:widowControl/>
        <w:spacing w:line="400" w:lineRule="exact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第一部分：国务院、发改委、住建部及行业、地方发布的相关政策解读</w:t>
      </w:r>
    </w:p>
    <w:p>
      <w:pPr>
        <w:widowControl/>
        <w:numPr>
          <w:ilvl w:val="0"/>
          <w:numId w:val="1"/>
        </w:numPr>
        <w:spacing w:line="400" w:lineRule="exact"/>
        <w:rPr>
          <w:rFonts w:ascii="仿宋" w:hAnsi="仿宋" w:cs="宋体"/>
          <w:sz w:val="28"/>
          <w:szCs w:val="28"/>
        </w:rPr>
      </w:pPr>
      <w:r>
        <w:rPr>
          <w:rFonts w:ascii="仿宋" w:hAnsi="仿宋" w:cs="宋体"/>
          <w:sz w:val="28"/>
          <w:szCs w:val="28"/>
        </w:rPr>
        <w:t xml:space="preserve">《建设工程工程量清单计价标准(征)》(建司局函标〔2021〕144号) </w:t>
      </w:r>
    </w:p>
    <w:p>
      <w:pPr>
        <w:widowControl/>
        <w:numPr>
          <w:ilvl w:val="0"/>
          <w:numId w:val="1"/>
        </w:numPr>
        <w:spacing w:line="400" w:lineRule="exac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《建筑工程施工发包与承包计价管理办法(征)》(建司局函标〔2021〕153号)</w:t>
      </w:r>
    </w:p>
    <w:p>
      <w:pPr>
        <w:widowControl/>
        <w:spacing w:line="400" w:lineRule="exact"/>
        <w:ind w:left="560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3.《房屋建筑和市政基础设施项目工程总承包管理办法》(建市规〔2019〕12号)</w:t>
      </w:r>
    </w:p>
    <w:p>
      <w:pPr>
        <w:widowControl/>
        <w:spacing w:line="400" w:lineRule="exact"/>
        <w:ind w:left="560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4.《建设工程总承包计价规范(征)》(中价协〔2022〕1号)</w:t>
      </w:r>
    </w:p>
    <w:p>
      <w:pPr>
        <w:widowControl/>
        <w:spacing w:line="400" w:lineRule="exact"/>
        <w:ind w:left="560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 xml:space="preserve">5.《房屋建筑和市政基础设施项目工程总承包计价计量规范(征)》(建办标函〔2018〕726号) </w:t>
      </w:r>
    </w:p>
    <w:p>
      <w:pPr>
        <w:widowControl/>
        <w:spacing w:line="400" w:lineRule="exact"/>
        <w:ind w:left="560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6.《建设项目工程总承包合同示范文本</w:t>
      </w:r>
      <w:r>
        <w:rPr>
          <w:rFonts w:ascii="仿宋" w:hAnsi="仿宋" w:cs="宋体"/>
          <w:sz w:val="28"/>
          <w:szCs w:val="28"/>
        </w:rPr>
        <w:t>(</w:t>
      </w:r>
      <w:r>
        <w:rPr>
          <w:rFonts w:hint="eastAsia" w:ascii="仿宋" w:hAnsi="仿宋" w:cs="宋体"/>
          <w:sz w:val="28"/>
          <w:szCs w:val="28"/>
        </w:rPr>
        <w:t>GF-2020-0216</w:t>
      </w:r>
      <w:r>
        <w:rPr>
          <w:rFonts w:ascii="仿宋" w:hAnsi="仿宋" w:cs="宋体"/>
          <w:sz w:val="28"/>
          <w:szCs w:val="28"/>
        </w:rPr>
        <w:t>)</w:t>
      </w:r>
      <w:r>
        <w:rPr>
          <w:rFonts w:hint="eastAsia" w:ascii="仿宋" w:hAnsi="仿宋" w:cs="宋体"/>
          <w:sz w:val="28"/>
          <w:szCs w:val="28"/>
        </w:rPr>
        <w:t>》(建市〔2020〕96号</w:t>
      </w:r>
      <w:r>
        <w:rPr>
          <w:rFonts w:ascii="仿宋" w:hAnsi="仿宋" w:cs="宋体"/>
          <w:sz w:val="28"/>
          <w:szCs w:val="28"/>
        </w:rPr>
        <w:t>)</w:t>
      </w:r>
    </w:p>
    <w:p>
      <w:pPr>
        <w:widowControl/>
        <w:spacing w:line="400" w:lineRule="exact"/>
        <w:ind w:left="560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7.《建设项目工程总承包(EPC)费用项目组成</w:t>
      </w:r>
      <w:r>
        <w:rPr>
          <w:rFonts w:ascii="仿宋" w:hAnsi="仿宋" w:cs="宋体"/>
          <w:sz w:val="28"/>
          <w:szCs w:val="28"/>
        </w:rPr>
        <w:t>(征)</w:t>
      </w:r>
      <w:r>
        <w:rPr>
          <w:rFonts w:hint="eastAsia" w:ascii="仿宋" w:hAnsi="仿宋" w:cs="宋体"/>
          <w:sz w:val="28"/>
          <w:szCs w:val="28"/>
        </w:rPr>
        <w:t>》及《建设项目总投资费用项目组成</w:t>
      </w:r>
      <w:r>
        <w:rPr>
          <w:rFonts w:ascii="仿宋" w:hAnsi="仿宋" w:cs="宋体"/>
          <w:sz w:val="28"/>
          <w:szCs w:val="28"/>
        </w:rPr>
        <w:t>(征)</w:t>
      </w:r>
      <w:r>
        <w:rPr>
          <w:rFonts w:hint="eastAsia" w:ascii="仿宋" w:hAnsi="仿宋" w:cs="宋体"/>
          <w:sz w:val="28"/>
          <w:szCs w:val="28"/>
        </w:rPr>
        <w:t>》(建办标函〔2017〕612号</w:t>
      </w:r>
      <w:r>
        <w:rPr>
          <w:rFonts w:ascii="仿宋" w:hAnsi="仿宋" w:cs="宋体"/>
          <w:sz w:val="28"/>
          <w:szCs w:val="28"/>
        </w:rPr>
        <w:t>)</w:t>
      </w:r>
    </w:p>
    <w:p>
      <w:pPr>
        <w:widowControl/>
        <w:spacing w:line="400" w:lineRule="exact"/>
        <w:ind w:left="560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8.《关于推进全过程工程咨询服务发展的指导意见》(发改投资规〔2019〕515号)</w:t>
      </w:r>
    </w:p>
    <w:p>
      <w:pPr>
        <w:widowControl/>
        <w:spacing w:line="400" w:lineRule="exact"/>
        <w:ind w:left="560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9.《企业安全生产费用提取和使用管理办法》(财资〔</w:t>
      </w:r>
      <w:r>
        <w:rPr>
          <w:rFonts w:ascii="仿宋" w:hAnsi="仿宋" w:cs="宋体"/>
          <w:sz w:val="28"/>
          <w:szCs w:val="28"/>
        </w:rPr>
        <w:t>2022〕136号</w:t>
      </w:r>
      <w:r>
        <w:rPr>
          <w:rFonts w:hint="eastAsia" w:ascii="仿宋" w:hAnsi="仿宋" w:cs="宋体"/>
          <w:sz w:val="28"/>
          <w:szCs w:val="28"/>
        </w:rPr>
        <w:t xml:space="preserve">) </w:t>
      </w:r>
    </w:p>
    <w:p>
      <w:pPr>
        <w:widowControl/>
        <w:spacing w:line="400" w:lineRule="exact"/>
        <w:ind w:left="1405" w:hanging="1401" w:hangingChars="500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第二部分：</w:t>
      </w:r>
      <w:r>
        <w:rPr>
          <w:rFonts w:ascii="仿宋" w:hAnsi="仿宋" w:cs="宋体"/>
          <w:b/>
          <w:bCs/>
          <w:sz w:val="28"/>
          <w:szCs w:val="28"/>
        </w:rPr>
        <w:t>《新清标(征)》</w:t>
      </w:r>
      <w:r>
        <w:rPr>
          <w:rFonts w:hint="eastAsia" w:ascii="仿宋" w:hAnsi="仿宋" w:cs="宋体"/>
          <w:b/>
          <w:bCs/>
          <w:sz w:val="28"/>
          <w:szCs w:val="28"/>
        </w:rPr>
        <w:t>关键条文解读、工程计价与结算管理、总承包(E</w:t>
      </w:r>
      <w:r>
        <w:rPr>
          <w:rFonts w:ascii="仿宋" w:hAnsi="仿宋" w:cs="宋体"/>
          <w:b/>
          <w:bCs/>
          <w:sz w:val="28"/>
          <w:szCs w:val="28"/>
        </w:rPr>
        <w:t>PC)</w:t>
      </w:r>
      <w:r>
        <w:rPr>
          <w:rFonts w:hint="eastAsia" w:ascii="仿宋" w:hAnsi="仿宋" w:cs="宋体"/>
          <w:b/>
          <w:bCs/>
          <w:sz w:val="28"/>
          <w:szCs w:val="28"/>
        </w:rPr>
        <w:t>计价典型案例分析及工程审计实务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工程计价内容的招标设计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工程费用性质分析：按实核定与包干固定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《新清标(征)》中关于合同形式的新规定及计价案例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措施项目清单缺漏项与包干计价分析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过程结算与过程支付的辨析与案例；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工程量增减与不平衡单价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材料单价不合理情形下变更置换计价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工程措施方案变更与优化的计价处理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材料设备认价性质界定与案例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暂估价项目及总承包服务费计价案例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总承包(EPC)计价构成分析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总承包(EPC)计价范围与计价机制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总承包(EPC)计价风险与价格调整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总承包(EPC)变更计价分析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营改增下工程计价与计税典型案例分析</w:t>
      </w:r>
    </w:p>
    <w:p>
      <w:pPr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="918" w:hanging="357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工程结算审计实务及案例分析</w:t>
      </w:r>
    </w:p>
    <w:p>
      <w:pPr>
        <w:spacing w:line="400" w:lineRule="exact"/>
        <w:jc w:val="left"/>
        <w:rPr>
          <w:rFonts w:ascii="仿宋" w:hAnsi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第三部分：EPC 项目投资管控理论与实务及</w:t>
      </w:r>
      <w:r>
        <w:rPr>
          <w:rFonts w:hint="eastAsia" w:ascii="仿宋" w:hAnsi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全过程工程咨询管理实务</w:t>
      </w:r>
    </w:p>
    <w:p>
      <w:pPr>
        <w:spacing w:line="400" w:lineRule="exact"/>
        <w:ind w:firstLine="504" w:firstLineChars="200"/>
        <w:jc w:val="left"/>
        <w:outlineLvl w:val="0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pacing w:val="-14"/>
          <w:sz w:val="28"/>
          <w:szCs w:val="28"/>
        </w:rPr>
        <w:t>一、</w:t>
      </w:r>
      <w:r>
        <w:rPr>
          <w:rFonts w:hint="eastAsia" w:ascii="仿宋" w:hAnsi="仿宋" w:cs="仿宋"/>
          <w:b/>
          <w:bCs/>
          <w:spacing w:val="-7"/>
          <w:sz w:val="28"/>
          <w:szCs w:val="28"/>
        </w:rPr>
        <w:t>EPC 项目投资管控</w:t>
      </w:r>
    </w:p>
    <w:p>
      <w:pPr>
        <w:spacing w:line="400" w:lineRule="exact"/>
        <w:ind w:firstLine="524" w:firstLineChars="20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-9"/>
          <w:sz w:val="28"/>
          <w:szCs w:val="28"/>
        </w:rPr>
        <w:t>1.“发包人要求”配合总价合同；</w:t>
      </w:r>
    </w:p>
    <w:p>
      <w:pPr>
        <w:spacing w:line="400" w:lineRule="exact"/>
        <w:ind w:firstLine="552" w:firstLineChars="20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-2"/>
          <w:sz w:val="28"/>
          <w:szCs w:val="28"/>
        </w:rPr>
        <w:t>2.模拟工程量清单配合单价合同；</w:t>
      </w:r>
    </w:p>
    <w:p>
      <w:pPr>
        <w:spacing w:line="400" w:lineRule="exact"/>
        <w:ind w:firstLine="556" w:firstLineChars="20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-1"/>
          <w:sz w:val="28"/>
          <w:szCs w:val="28"/>
        </w:rPr>
        <w:t>3.总价合同采用里程碑支付、单价按里程碑从量支付；</w:t>
      </w:r>
    </w:p>
    <w:p>
      <w:pPr>
        <w:spacing w:line="400" w:lineRule="exact"/>
        <w:ind w:firstLine="540" w:firstLineChars="20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-5"/>
          <w:sz w:val="28"/>
          <w:szCs w:val="28"/>
        </w:rPr>
        <w:t>4.EPC 两段式设计：标前设计可变更，标后设计无变更；</w:t>
      </w:r>
    </w:p>
    <w:p>
      <w:pPr>
        <w:spacing w:line="400" w:lineRule="exact"/>
        <w:ind w:firstLine="552" w:firstLineChars="20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-2"/>
          <w:sz w:val="28"/>
          <w:szCs w:val="28"/>
        </w:rPr>
        <w:t>5.任</w:t>
      </w:r>
      <w:r>
        <w:rPr>
          <w:rFonts w:hint="eastAsia" w:ascii="仿宋" w:hAnsi="仿宋" w:cs="仿宋"/>
          <w:spacing w:val="-1"/>
          <w:sz w:val="28"/>
          <w:szCs w:val="28"/>
        </w:rPr>
        <w:t>何业主的改变均需向总承包商支付对价；</w:t>
      </w:r>
    </w:p>
    <w:p>
      <w:pPr>
        <w:spacing w:line="400" w:lineRule="exact"/>
        <w:ind w:left="426" w:leftChars="133" w:firstLine="139" w:firstLineChars="57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-18"/>
          <w:sz w:val="28"/>
          <w:szCs w:val="28"/>
        </w:rPr>
        <w:t>6.坚</w:t>
      </w:r>
      <w:r>
        <w:rPr>
          <w:rFonts w:hint="eastAsia" w:ascii="仿宋" w:hAnsi="仿宋" w:cs="仿宋"/>
          <w:spacing w:val="-10"/>
          <w:sz w:val="28"/>
          <w:szCs w:val="28"/>
        </w:rPr>
        <w:t>持标前下达设计限额， 鼓励标前设计优化， 限制标后设计优化， 未经批</w:t>
      </w:r>
      <w:r>
        <w:rPr>
          <w:rFonts w:hint="eastAsia" w:ascii="仿宋" w:hAnsi="仿宋" w:cs="仿宋"/>
          <w:spacing w:val="-1"/>
          <w:sz w:val="28"/>
          <w:szCs w:val="28"/>
        </w:rPr>
        <w:t>准的标后优化</w:t>
      </w:r>
      <w:r>
        <w:rPr>
          <w:rFonts w:hint="eastAsia" w:ascii="仿宋" w:hAnsi="仿宋" w:cs="仿宋"/>
          <w:sz w:val="28"/>
          <w:szCs w:val="28"/>
        </w:rPr>
        <w:t>均为违约行为；</w:t>
      </w:r>
    </w:p>
    <w:p>
      <w:pPr>
        <w:spacing w:line="400" w:lineRule="exact"/>
        <w:ind w:firstLine="556" w:firstLineChars="200"/>
        <w:jc w:val="left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pacing w:val="-1"/>
          <w:sz w:val="28"/>
          <w:szCs w:val="28"/>
        </w:rPr>
        <w:t>7.总价无审核但应交付合格功能后支付，单价</w:t>
      </w:r>
      <w:r>
        <w:rPr>
          <w:rFonts w:hint="eastAsia" w:ascii="仿宋" w:hAnsi="仿宋" w:cs="仿宋"/>
          <w:sz w:val="28"/>
          <w:szCs w:val="28"/>
        </w:rPr>
        <w:t>按周期从量支付；</w:t>
      </w:r>
    </w:p>
    <w:p>
      <w:pPr>
        <w:spacing w:line="400" w:lineRule="exact"/>
        <w:ind w:firstLine="540" w:firstLineChars="200"/>
        <w:jc w:val="left"/>
        <w:rPr>
          <w:rFonts w:ascii="仿宋" w:hAnsi="仿宋" w:cs="仿宋"/>
          <w:spacing w:val="-5"/>
          <w:sz w:val="28"/>
          <w:szCs w:val="28"/>
        </w:rPr>
      </w:pPr>
      <w:r>
        <w:rPr>
          <w:rFonts w:hint="eastAsia" w:ascii="仿宋" w:hAnsi="仿宋" w:cs="仿宋"/>
          <w:spacing w:val="-5"/>
          <w:sz w:val="28"/>
          <w:szCs w:val="28"/>
        </w:rPr>
        <w:t>8.EPC 模式价格清单投标人应在编制价格清单时确保准确完整。</w:t>
      </w:r>
    </w:p>
    <w:p>
      <w:pPr>
        <w:widowControl/>
        <w:spacing w:line="400" w:lineRule="exact"/>
        <w:jc w:val="left"/>
        <w:rPr>
          <w:rFonts w:ascii="仿宋" w:hAnsi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cs="仿宋"/>
          <w:b/>
          <w:bCs/>
          <w:color w:val="000000"/>
          <w:sz w:val="28"/>
          <w:szCs w:val="28"/>
        </w:rPr>
        <w:t>二、EPC工程总承包项目招投标策划与风险防范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1.EPC总承包、分包相关招投标政策解读；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2.EPC项目对甲乙双方固有风险及管理重点；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3.项目核心要求招标指标与系统招标要求的策划；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4.项目前期咨询与招标文件策划；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5.EPC总承包与施工总承包项目招标文件的异同；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6.EPC总承包与施工总承包项目不同合同模式的优缺点；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7.EPC总承包与施工总承包评标的要点及建议；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8.投标方案的确定与文件的编制注意事项；</w:t>
      </w:r>
    </w:p>
    <w:p>
      <w:pPr>
        <w:pStyle w:val="16"/>
        <w:widowControl/>
        <w:numPr>
          <w:ilvl w:val="255"/>
          <w:numId w:val="0"/>
        </w:numPr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9.合同包干模式招标策划；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10.必须招标项目采用EPC总承包可否直接发包。</w:t>
      </w:r>
    </w:p>
    <w:p>
      <w:pPr>
        <w:widowControl/>
        <w:spacing w:line="400" w:lineRule="exact"/>
        <w:jc w:val="left"/>
        <w:rPr>
          <w:rFonts w:ascii="仿宋" w:hAnsi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cs="仿宋"/>
          <w:b/>
          <w:bCs/>
          <w:color w:val="000000"/>
          <w:sz w:val="28"/>
          <w:szCs w:val="28"/>
        </w:rPr>
        <w:t>三、EPC工程投资控制、结算与审计管理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1.国家构建统一内部大循环市场背景下的投资策略；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2.EPC工程范围确定依据计注意事项；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3.EPC合同文件优先次序确定的重要性；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4.EPC合同定价、执行与结算管理；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5.合同包干模式下的工程造价管理；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6.合同可调模式下的工程造价管理；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7.工程变更与EPC合同价的调整；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仿宋"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8.EPC工程移交及审计。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四、全过程工程咨询公司管理EPC的组织、管理、法律、经济及技术理论实务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1.全过程工程咨询负责人领导力、组织机构和团队建设（做法和案例）；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2.全过程工程咨询组织协调中对于EPC质量进度成本管理的整合管理和范围管理（做法和案例）；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3.全过程工程咨询公司对于EPC项目中与相关人的沟通管理（做法和案例）；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4.EPC项目的冲突管理特点及争端解决、商务谈判、突发事故处理以及公关危机处理（做法和案例）；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5.EPC项目特有的设计施工深度融合、平行搭接下的价值工程分析和风险管理（做法和案例）；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6.全过程工程咨询中当前困惑的如何处理最新版EPC合同管理（解读和案例）。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五、建筑师主导的全过程工程咨询管理实务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1.发改委、住建部最新515号文关于建筑师负责制的规定；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2.住建部关于建筑师负责制的7阶段实操；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国内部分城市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各地试点情况；</w:t>
      </w:r>
    </w:p>
    <w:p>
      <w:pPr>
        <w:pStyle w:val="9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4.将来的趋势。</w:t>
      </w:r>
    </w:p>
    <w:p>
      <w:pPr>
        <w:widowControl/>
        <w:spacing w:line="400" w:lineRule="exact"/>
        <w:jc w:val="left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仿宋"/>
          <w:b/>
          <w:sz w:val="28"/>
          <w:szCs w:val="28"/>
        </w:rPr>
        <w:t>三、培训对象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各地政府建设项目监管部门、工程交易中心、投资项目评审中心；各业主单位从事项目管理、合同管理、工程项目建设、开发、审计等相关部门人员；各建筑施工企业、工程公司、总承包公司、设计院、成套设备公司、设备材料供应商、国际招标公司、律师事务所及各公司的总经理、副总经理、部门经理、项目经理、市场开发、法务专员等相关部门负责人、中高等院校、医院及科研机构、参与EPC项目管理的所有管理者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四、拟邀专家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国家发改委、住建部、</w:t>
      </w:r>
      <w:r>
        <w:rPr>
          <w:rFonts w:hint="eastAsia" w:ascii="仿宋" w:hAnsi="仿宋"/>
          <w:sz w:val="28"/>
          <w:szCs w:val="28"/>
          <w:lang w:val="zh-CN"/>
        </w:rPr>
        <w:t>行业协会、参与新规范编写的有关专家</w:t>
      </w:r>
      <w:r>
        <w:rPr>
          <w:rFonts w:hint="eastAsia" w:ascii="仿宋" w:hAnsi="仿宋" w:cs="宋体"/>
          <w:sz w:val="28"/>
          <w:szCs w:val="28"/>
        </w:rPr>
        <w:t>和国内一流EPC总承包项目管理丰富经验的实战专家现场授课，结合经典实例分析，并进行现场答疑和互动交流。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五、培训时间和地点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2023年03月23日-27日(23日全天报到)  地点: 杭州市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2023年04月19日-23日(19日全天报到)  地点: 长沙市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2023年05月25日-29日（25日全天报到）地点：成都市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2023年6月15日-19 日（15日全天报到）地点：乌鲁木齐市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六、收费标准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标准</w:t>
      </w:r>
      <w:r>
        <w:rPr>
          <w:rFonts w:hint="eastAsia" w:ascii="仿宋" w:hAnsi="仿宋" w:cs="宋体"/>
          <w:sz w:val="28"/>
          <w:szCs w:val="28"/>
        </w:rPr>
        <w:t>：</w:t>
      </w:r>
      <w:r>
        <w:rPr>
          <w:rFonts w:ascii="仿宋" w:hAnsi="仿宋" w:cs="宋体"/>
          <w:sz w:val="28"/>
          <w:szCs w:val="28"/>
        </w:rPr>
        <w:t>3600</w:t>
      </w:r>
      <w:r>
        <w:rPr>
          <w:rFonts w:hint="eastAsia" w:ascii="仿宋" w:hAnsi="仿宋" w:cs="宋体"/>
          <w:sz w:val="28"/>
          <w:szCs w:val="28"/>
        </w:rPr>
        <w:t>元/人（含培训、资料、课件、场地、午餐费、专家等），住宿会务组统一安排，费用自理。</w:t>
      </w:r>
    </w:p>
    <w:p>
      <w:pPr>
        <w:widowControl/>
        <w:spacing w:line="400" w:lineRule="exact"/>
        <w:jc w:val="left"/>
        <w:rPr>
          <w:rFonts w:ascii="仿宋" w:hAnsi="仿宋" w:cs="宋体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七、联系方式</w:t>
      </w:r>
    </w:p>
    <w:p>
      <w:pPr>
        <w:widowControl/>
        <w:spacing w:line="320" w:lineRule="exact"/>
        <w:jc w:val="left"/>
        <w:rPr>
          <w:rFonts w:hint="eastAsia"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 xml:space="preserve">报名负责人：聂红军 主任18211071700（微信）   </w:t>
      </w:r>
    </w:p>
    <w:p>
      <w:pPr>
        <w:widowControl/>
        <w:spacing w:line="320" w:lineRule="exact"/>
        <w:jc w:val="left"/>
        <w:rPr>
          <w:rFonts w:hint="eastAsia"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 xml:space="preserve">电  </w:t>
      </w:r>
      <w:r>
        <w:rPr>
          <w:rFonts w:hint="eastAsia" w:ascii="仿宋" w:hAnsi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宋体"/>
          <w:sz w:val="28"/>
          <w:szCs w:val="28"/>
        </w:rPr>
        <w:t xml:space="preserve">话：010-87697580      邮    箱：zqgphwz@126.com  </w:t>
      </w:r>
    </w:p>
    <w:p>
      <w:pPr>
        <w:widowControl/>
        <w:spacing w:line="320" w:lineRule="exact"/>
        <w:jc w:val="left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宋体"/>
          <w:sz w:val="28"/>
          <w:szCs w:val="28"/>
        </w:rPr>
        <w:t>qq咨询：3177524020        网址查询：http://www.zqgpchina.cn</w:t>
      </w:r>
    </w:p>
    <w:p>
      <w:pPr>
        <w:widowControl/>
        <w:spacing w:line="320" w:lineRule="exact"/>
        <w:jc w:val="left"/>
        <w:rPr>
          <w:rFonts w:ascii="仿宋" w:hAnsi="仿宋" w:cs="仿宋"/>
          <w:b/>
          <w:sz w:val="28"/>
          <w:szCs w:val="28"/>
        </w:rPr>
      </w:pPr>
    </w:p>
    <w:p>
      <w:pPr>
        <w:widowControl/>
        <w:spacing w:line="320" w:lineRule="exact"/>
        <w:jc w:val="left"/>
        <w:rPr>
          <w:rFonts w:hint="eastAsia" w:ascii="仿宋" w:hAnsi="仿宋" w:cs="仿宋"/>
          <w:b/>
          <w:sz w:val="28"/>
          <w:szCs w:val="28"/>
        </w:rPr>
      </w:pPr>
    </w:p>
    <w:p>
      <w:pPr>
        <w:widowControl/>
        <w:spacing w:line="320" w:lineRule="exact"/>
        <w:jc w:val="left"/>
        <w:rPr>
          <w:rFonts w:hint="eastAsia" w:ascii="仿宋" w:hAnsi="仿宋" w:cs="仿宋"/>
          <w:b/>
          <w:sz w:val="28"/>
          <w:szCs w:val="28"/>
        </w:rPr>
      </w:pPr>
    </w:p>
    <w:p>
      <w:pPr>
        <w:widowControl/>
        <w:spacing w:line="320" w:lineRule="exact"/>
        <w:jc w:val="left"/>
        <w:rPr>
          <w:rFonts w:hint="eastAsia" w:ascii="仿宋" w:hAnsi="仿宋" w:cs="仿宋"/>
          <w:b/>
          <w:sz w:val="28"/>
          <w:szCs w:val="28"/>
        </w:rPr>
      </w:pPr>
    </w:p>
    <w:p>
      <w:pPr>
        <w:widowControl/>
        <w:spacing w:line="320" w:lineRule="exact"/>
        <w:jc w:val="left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仿宋"/>
          <w:b/>
          <w:sz w:val="28"/>
          <w:szCs w:val="28"/>
        </w:rPr>
        <w:t>附件二：</w:t>
      </w:r>
    </w:p>
    <w:p>
      <w:pPr>
        <w:widowControl/>
        <w:spacing w:line="320" w:lineRule="exact"/>
        <w:ind w:firstLine="560" w:firstLineChars="200"/>
        <w:jc w:val="center"/>
        <w:rPr>
          <w:rFonts w:ascii="仿宋" w:hAnsi="仿宋" w:cs="仿宋"/>
          <w:b/>
          <w:sz w:val="28"/>
          <w:szCs w:val="28"/>
        </w:rPr>
      </w:pPr>
      <w:r>
        <w:rPr>
          <w:rFonts w:hint="eastAsia" w:ascii="仿宋" w:hAnsi="仿宋" w:cs="仿宋"/>
          <w:b/>
          <w:sz w:val="28"/>
          <w:szCs w:val="28"/>
        </w:rPr>
        <w:t>“</w:t>
      </w:r>
      <w:r>
        <w:rPr>
          <w:rFonts w:hint="eastAsia" w:ascii="仿宋" w:hAnsi="仿宋" w:cs="宋体"/>
          <w:sz w:val="28"/>
          <w:szCs w:val="28"/>
        </w:rPr>
        <w:t>新版《清单计价标准(征)》解读、造价精准管控、</w:t>
      </w:r>
      <w:r>
        <w:rPr>
          <w:rFonts w:hint="eastAsia" w:ascii="仿宋" w:hAnsi="仿宋" w:cs="宋体"/>
          <w:sz w:val="28"/>
          <w:szCs w:val="28"/>
          <w:lang w:eastAsia="zh-Hans"/>
        </w:rPr>
        <w:t>结算</w:t>
      </w:r>
      <w:r>
        <w:rPr>
          <w:rFonts w:hint="eastAsia" w:ascii="仿宋" w:hAnsi="仿宋" w:cs="宋体"/>
          <w:sz w:val="28"/>
          <w:szCs w:val="28"/>
        </w:rPr>
        <w:t>痛点</w:t>
      </w:r>
      <w:r>
        <w:rPr>
          <w:rFonts w:hint="eastAsia" w:ascii="仿宋" w:hAnsi="仿宋" w:cs="宋体"/>
          <w:sz w:val="28"/>
          <w:szCs w:val="28"/>
          <w:lang w:eastAsia="zh-Hans"/>
        </w:rPr>
        <w:t>管理</w:t>
      </w:r>
      <w:r>
        <w:rPr>
          <w:rFonts w:hint="eastAsia" w:ascii="仿宋" w:hAnsi="仿宋" w:cs="宋体"/>
          <w:sz w:val="28"/>
          <w:szCs w:val="28"/>
        </w:rPr>
        <w:t>与EPC总承包全过程实战与风险防管理及全过程咨询</w:t>
      </w:r>
      <w:r>
        <w:rPr>
          <w:rFonts w:hint="eastAsia" w:ascii="仿宋" w:hAnsi="仿宋" w:cs="宋体"/>
          <w:sz w:val="28"/>
          <w:szCs w:val="28"/>
          <w:lang w:eastAsia="zh-Hans"/>
        </w:rPr>
        <w:t>高级培训班”</w:t>
      </w:r>
      <w:r>
        <w:rPr>
          <w:rFonts w:hint="eastAsia" w:ascii="仿宋" w:hAnsi="仿宋" w:cs="仿宋"/>
          <w:bCs/>
          <w:sz w:val="28"/>
          <w:szCs w:val="28"/>
        </w:rPr>
        <w:t>报名回执表</w:t>
      </w:r>
    </w:p>
    <w:tbl>
      <w:tblPr>
        <w:tblStyle w:val="10"/>
        <w:tblpPr w:leftFromText="180" w:rightFromText="180" w:vertAnchor="text" w:horzAnchor="margin" w:tblpXSpec="center" w:tblpY="70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760"/>
        <w:gridCol w:w="2100"/>
        <w:gridCol w:w="1620"/>
        <w:gridCol w:w="127"/>
        <w:gridCol w:w="1260"/>
        <w:gridCol w:w="197"/>
        <w:gridCol w:w="220"/>
        <w:gridCol w:w="296"/>
        <w:gridCol w:w="68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（开票单位）</w:t>
            </w:r>
          </w:p>
        </w:tc>
        <w:tc>
          <w:tcPr>
            <w:tcW w:w="6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邮  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通讯地址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联 系 人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E-mail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电    话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传  真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姓    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性 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部  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职  务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手 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是否住宿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□是     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住宿要求</w:t>
            </w:r>
          </w:p>
        </w:tc>
        <w:tc>
          <w:tcPr>
            <w:tcW w:w="4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参会地点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付款方式</w:t>
            </w: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□通过银行  □微信或支付宝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金额 额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开票信息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□</w:t>
            </w: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增值税专用发票</w:t>
            </w:r>
            <w:r>
              <w:rPr>
                <w:rFonts w:hint="eastAsia" w:ascii="仿宋" w:hAnsi="仿宋" w:cs="宋体"/>
                <w:sz w:val="28"/>
                <w:szCs w:val="28"/>
              </w:rPr>
              <w:t xml:space="preserve">         □增值税普票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开票信息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收款账户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cs="宋体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en-GB"/>
              </w:rPr>
              <w:t>单位名称：北京众兴企培咨询有限公司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cs="宋体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en-GB"/>
              </w:rPr>
              <w:t>开户行：中国工商银行股份有限公司北京龙泉支行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en-GB"/>
              </w:rPr>
              <w:t>账号：0200002009200234085（行号：102100000208）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</w:rPr>
            </w:pPr>
            <w:r>
              <w:rPr>
                <w:rFonts w:hint="eastAsia" w:ascii="仿宋" w:hAnsi="仿宋" w:cs="宋体"/>
                <w:sz w:val="28"/>
                <w:szCs w:val="28"/>
              </w:rPr>
              <w:t>备注</w:t>
            </w:r>
          </w:p>
        </w:tc>
        <w:tc>
          <w:tcPr>
            <w:tcW w:w="6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请将参会回执回传或E-mail至会务组，在报名</w:t>
            </w:r>
            <w:r>
              <w:rPr>
                <w:rFonts w:hint="eastAsia" w:ascii="仿宋" w:hAnsi="仿宋" w:cs="宋体"/>
                <w:sz w:val="28"/>
                <w:szCs w:val="28"/>
              </w:rPr>
              <w:t>3</w:t>
            </w: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日内将培训费通过银行或邮局等方式付款，会务组确认到款后即发《参会凭证》，其中将详细注明报到时间、地点、</w:t>
            </w:r>
            <w:r>
              <w:rPr>
                <w:rFonts w:hint="eastAsia" w:ascii="仿宋" w:hAnsi="仿宋" w:cs="宋体"/>
                <w:sz w:val="28"/>
                <w:szCs w:val="28"/>
              </w:rPr>
              <w:t>等</w:t>
            </w: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具体安排事项。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cs="宋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二零二</w:t>
            </w:r>
            <w:r>
              <w:rPr>
                <w:rFonts w:hint="eastAsia" w:ascii="仿宋" w:hAnsi="仿宋" w:cs="宋体"/>
                <w:sz w:val="28"/>
                <w:szCs w:val="28"/>
              </w:rPr>
              <w:t>三</w:t>
            </w:r>
            <w:r>
              <w:rPr>
                <w:rFonts w:hint="eastAsia" w:ascii="仿宋" w:hAnsi="仿宋" w:cs="宋体"/>
                <w:sz w:val="28"/>
                <w:szCs w:val="28"/>
                <w:lang w:val="zh-CN"/>
              </w:rPr>
              <w:t>年 月 日</w:t>
            </w:r>
          </w:p>
        </w:tc>
      </w:tr>
    </w:tbl>
    <w:p>
      <w:pPr>
        <w:widowControl/>
        <w:spacing w:line="380" w:lineRule="exact"/>
        <w:jc w:val="left"/>
        <w:rPr>
          <w:rFonts w:ascii="仿宋" w:hAnsi="仿宋" w:cs="宋体"/>
          <w:sz w:val="28"/>
          <w:szCs w:val="28"/>
          <w:lang w:val="zh-CN"/>
        </w:rPr>
      </w:pPr>
      <w:r>
        <w:rPr>
          <w:rFonts w:hint="eastAsia" w:ascii="仿宋" w:hAnsi="仿宋" w:cs="宋体"/>
          <w:sz w:val="28"/>
          <w:szCs w:val="28"/>
          <w:lang w:val="zh-CN"/>
        </w:rPr>
        <w:t>注：1</w:t>
      </w:r>
      <w:r>
        <w:rPr>
          <w:rFonts w:hint="eastAsia" w:ascii="仿宋" w:hAnsi="仿宋" w:cs="宋体"/>
          <w:sz w:val="28"/>
          <w:szCs w:val="28"/>
        </w:rPr>
        <w:t>.</w:t>
      </w:r>
      <w:r>
        <w:rPr>
          <w:rFonts w:hint="eastAsia" w:ascii="仿宋" w:hAnsi="仿宋" w:cs="宋体"/>
          <w:sz w:val="28"/>
          <w:szCs w:val="28"/>
          <w:lang w:val="zh-CN"/>
        </w:rPr>
        <w:t>本次培训内容及建筑口相关管理培训均可赴企业提供内训</w:t>
      </w:r>
      <w:r>
        <w:rPr>
          <w:rFonts w:hint="eastAsia" w:ascii="仿宋" w:hAnsi="仿宋" w:cs="宋体"/>
          <w:sz w:val="28"/>
          <w:szCs w:val="28"/>
        </w:rPr>
        <w:t>;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cs="宋体"/>
          <w:sz w:val="28"/>
          <w:szCs w:val="28"/>
          <w:lang w:val="zh-CN"/>
        </w:rPr>
      </w:pPr>
      <w:r>
        <w:rPr>
          <w:rFonts w:hint="eastAsia" w:ascii="仿宋" w:hAnsi="仿宋" w:cs="宋体"/>
          <w:sz w:val="28"/>
          <w:szCs w:val="28"/>
          <w:lang w:val="zh-CN"/>
        </w:rPr>
        <w:t>2</w:t>
      </w:r>
      <w:r>
        <w:rPr>
          <w:rFonts w:ascii="仿宋" w:hAnsi="仿宋" w:cs="宋体"/>
          <w:sz w:val="28"/>
          <w:szCs w:val="28"/>
          <w:lang w:val="zh-CN"/>
        </w:rPr>
        <w:t>.</w:t>
      </w:r>
      <w:r>
        <w:rPr>
          <w:rFonts w:hint="eastAsia" w:ascii="仿宋" w:hAnsi="仿宋" w:cs="宋体"/>
          <w:sz w:val="28"/>
          <w:szCs w:val="28"/>
          <w:lang w:val="zh-CN"/>
        </w:rPr>
        <w:t>欢迎与会代表携带相关资料和案例赴会与专家进行交流</w:t>
      </w:r>
    </w:p>
    <w:p>
      <w:pPr>
        <w:widowControl/>
        <w:spacing w:line="380" w:lineRule="exact"/>
        <w:ind w:firstLine="560" w:firstLineChars="200"/>
        <w:jc w:val="left"/>
        <w:rPr>
          <w:rFonts w:hint="eastAsia" w:ascii="仿宋" w:hAnsi="仿宋" w:cs="宋体"/>
          <w:sz w:val="28"/>
          <w:szCs w:val="28"/>
          <w:lang w:val="zh-CN"/>
        </w:rPr>
      </w:pPr>
      <w:r>
        <w:rPr>
          <w:rFonts w:hint="eastAsia" w:ascii="仿宋" w:hAnsi="仿宋" w:cs="宋体"/>
          <w:sz w:val="28"/>
          <w:szCs w:val="28"/>
          <w:lang w:val="zh-CN"/>
        </w:rPr>
        <w:t>3</w:t>
      </w:r>
      <w:r>
        <w:rPr>
          <w:rFonts w:ascii="仿宋" w:hAnsi="仿宋" w:cs="宋体"/>
          <w:sz w:val="28"/>
          <w:szCs w:val="28"/>
          <w:lang w:val="zh-CN"/>
        </w:rPr>
        <w:t>.</w:t>
      </w:r>
      <w:r>
        <w:rPr>
          <w:rFonts w:hint="eastAsia" w:ascii="仿宋" w:hAnsi="仿宋" w:cs="宋体"/>
          <w:sz w:val="28"/>
          <w:szCs w:val="28"/>
          <w:lang w:val="zh-CN"/>
        </w:rPr>
        <w:t xml:space="preserve">报名负责人：聂红军 主任18211071700（微信）   </w:t>
      </w:r>
    </w:p>
    <w:p>
      <w:pPr>
        <w:widowControl/>
        <w:spacing w:line="380" w:lineRule="exact"/>
        <w:ind w:firstLine="560" w:firstLineChars="200"/>
        <w:jc w:val="left"/>
        <w:rPr>
          <w:rFonts w:hint="eastAsia" w:ascii="仿宋" w:hAnsi="仿宋" w:cs="宋体"/>
          <w:sz w:val="28"/>
          <w:szCs w:val="28"/>
          <w:lang w:val="zh-CN"/>
        </w:rPr>
      </w:pPr>
      <w:r>
        <w:rPr>
          <w:rFonts w:hint="eastAsia" w:ascii="仿宋" w:hAnsi="仿宋" w:cs="宋体"/>
          <w:sz w:val="28"/>
          <w:szCs w:val="28"/>
          <w:lang w:val="zh-CN"/>
        </w:rPr>
        <w:t xml:space="preserve">电  话：010-87697580      邮    箱：zqgphwz@126.com  </w:t>
      </w:r>
    </w:p>
    <w:p>
      <w:pPr>
        <w:widowControl/>
        <w:spacing w:line="380" w:lineRule="exact"/>
        <w:ind w:firstLine="560" w:firstLineChars="200"/>
        <w:jc w:val="left"/>
        <w:rPr>
          <w:rFonts w:ascii="仿宋" w:hAnsi="仿宋" w:cs="宋体"/>
          <w:sz w:val="28"/>
          <w:szCs w:val="28"/>
        </w:rPr>
      </w:pPr>
      <w:r>
        <w:rPr>
          <w:rFonts w:hint="eastAsia" w:ascii="仿宋" w:hAnsi="仿宋" w:cs="宋体"/>
          <w:sz w:val="28"/>
          <w:szCs w:val="28"/>
          <w:lang w:val="zh-CN"/>
        </w:rPr>
        <w:t>qq咨询：3177524020        网址查询：http://www.zqgpchina.cn</w:t>
      </w:r>
      <w:bookmarkStart w:id="0" w:name="_GoBack"/>
      <w:bookmarkEnd w:id="0"/>
    </w:p>
    <w:sectPr>
      <w:footerReference r:id="rId3" w:type="default"/>
      <w:pgSz w:w="11906" w:h="16838"/>
      <w:pgMar w:top="851" w:right="1274" w:bottom="1134" w:left="851" w:header="567" w:footer="340" w:gutter="0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15"/>
        <w:szCs w:val="15"/>
      </w:rPr>
    </w:pPr>
    <w:r>
      <w:rPr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50290" cy="1809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029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0"/>
                            </w:rPr>
                            <w:t>2</w:t>
                          </w:r>
                          <w:r>
                            <w:rPr>
                              <w:sz w:val="22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25pt;width:82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UAmmdMAAAAEAQAADwAAAAAAAAABACAAAAAiAAAAZHJzL2Rvd25yZXYueG1sUEsBAhQA&#10;FAAAAAgAh07iQBeJrqIwAgAAVA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22"/>
                        <w:szCs w:val="20"/>
                      </w:rPr>
                    </w:pPr>
                    <w:r>
                      <w:rPr>
                        <w:rFonts w:hint="eastAsia"/>
                        <w:sz w:val="22"/>
                        <w:szCs w:val="20"/>
                      </w:rPr>
                      <w:t xml:space="preserve">第 </w:t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fldChar w:fldCharType="separate"/>
                    </w:r>
                    <w:r>
                      <w:rPr>
                        <w:sz w:val="22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0"/>
                      </w:rPr>
                      <w:t>2</w:t>
                    </w:r>
                    <w:r>
                      <w:rPr>
                        <w:sz w:val="22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ABB"/>
    <w:multiLevelType w:val="multilevel"/>
    <w:tmpl w:val="46794ABB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82737E8"/>
    <w:multiLevelType w:val="multilevel"/>
    <w:tmpl w:val="482737E8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1"/>
  <w:drawingGridHorizontalSpacing w:val="160"/>
  <w:drawingGridVerticalSpacing w:val="2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Y2NlNjZjOWY0N2EwZjc1NTYwNGUwZWJkMmY1ZDQifQ=="/>
  </w:docVars>
  <w:rsids>
    <w:rsidRoot w:val="00104116"/>
    <w:rsid w:val="00077FA0"/>
    <w:rsid w:val="000A357C"/>
    <w:rsid w:val="000D593A"/>
    <w:rsid w:val="000D68C5"/>
    <w:rsid w:val="00104116"/>
    <w:rsid w:val="0016255A"/>
    <w:rsid w:val="001A0600"/>
    <w:rsid w:val="001A604D"/>
    <w:rsid w:val="001F1AA9"/>
    <w:rsid w:val="001F60EE"/>
    <w:rsid w:val="001F6A6F"/>
    <w:rsid w:val="0023068F"/>
    <w:rsid w:val="002778B6"/>
    <w:rsid w:val="002E0120"/>
    <w:rsid w:val="002F1A44"/>
    <w:rsid w:val="00307D60"/>
    <w:rsid w:val="003475C4"/>
    <w:rsid w:val="003646D3"/>
    <w:rsid w:val="00390B55"/>
    <w:rsid w:val="0039517B"/>
    <w:rsid w:val="003A26AB"/>
    <w:rsid w:val="003A7C6A"/>
    <w:rsid w:val="003C5E34"/>
    <w:rsid w:val="003E351D"/>
    <w:rsid w:val="0044265B"/>
    <w:rsid w:val="00456B37"/>
    <w:rsid w:val="00482A73"/>
    <w:rsid w:val="00487911"/>
    <w:rsid w:val="004C1D95"/>
    <w:rsid w:val="004D4220"/>
    <w:rsid w:val="004D652E"/>
    <w:rsid w:val="004E5ADF"/>
    <w:rsid w:val="00501D1E"/>
    <w:rsid w:val="00516031"/>
    <w:rsid w:val="00532CED"/>
    <w:rsid w:val="00584CFB"/>
    <w:rsid w:val="0058576B"/>
    <w:rsid w:val="005A006F"/>
    <w:rsid w:val="005A6003"/>
    <w:rsid w:val="005E08B9"/>
    <w:rsid w:val="006718C1"/>
    <w:rsid w:val="0067346A"/>
    <w:rsid w:val="006D4726"/>
    <w:rsid w:val="006F3EB7"/>
    <w:rsid w:val="00723EEB"/>
    <w:rsid w:val="007A2B02"/>
    <w:rsid w:val="00803581"/>
    <w:rsid w:val="00823877"/>
    <w:rsid w:val="00826ED5"/>
    <w:rsid w:val="0084210F"/>
    <w:rsid w:val="008729F5"/>
    <w:rsid w:val="00925BF7"/>
    <w:rsid w:val="00937E48"/>
    <w:rsid w:val="00942684"/>
    <w:rsid w:val="00950CD2"/>
    <w:rsid w:val="009824A8"/>
    <w:rsid w:val="00986224"/>
    <w:rsid w:val="009A12EE"/>
    <w:rsid w:val="009B06B4"/>
    <w:rsid w:val="009C1B43"/>
    <w:rsid w:val="00A149C9"/>
    <w:rsid w:val="00A35070"/>
    <w:rsid w:val="00A359D3"/>
    <w:rsid w:val="00A70FF0"/>
    <w:rsid w:val="00A8158D"/>
    <w:rsid w:val="00AB2F0E"/>
    <w:rsid w:val="00AB66AC"/>
    <w:rsid w:val="00B20C27"/>
    <w:rsid w:val="00B214F8"/>
    <w:rsid w:val="00B46958"/>
    <w:rsid w:val="00B73A5D"/>
    <w:rsid w:val="00B73FA4"/>
    <w:rsid w:val="00B80C06"/>
    <w:rsid w:val="00BB302A"/>
    <w:rsid w:val="00BB4C09"/>
    <w:rsid w:val="00C743FE"/>
    <w:rsid w:val="00CC0FCD"/>
    <w:rsid w:val="00CD4FCB"/>
    <w:rsid w:val="00DA63F4"/>
    <w:rsid w:val="00DF22FA"/>
    <w:rsid w:val="00E34019"/>
    <w:rsid w:val="00E70C8A"/>
    <w:rsid w:val="00E835FF"/>
    <w:rsid w:val="00F41B25"/>
    <w:rsid w:val="00F52D29"/>
    <w:rsid w:val="00F735CC"/>
    <w:rsid w:val="00F81A29"/>
    <w:rsid w:val="00F9231C"/>
    <w:rsid w:val="00F97467"/>
    <w:rsid w:val="00FA316C"/>
    <w:rsid w:val="00FE2864"/>
    <w:rsid w:val="00FE65D9"/>
    <w:rsid w:val="0146180C"/>
    <w:rsid w:val="015B6FB4"/>
    <w:rsid w:val="02BD7E0E"/>
    <w:rsid w:val="05625FDD"/>
    <w:rsid w:val="06280608"/>
    <w:rsid w:val="072A037D"/>
    <w:rsid w:val="08F26D0A"/>
    <w:rsid w:val="09081396"/>
    <w:rsid w:val="099F77E2"/>
    <w:rsid w:val="09B859B5"/>
    <w:rsid w:val="09F91BAB"/>
    <w:rsid w:val="0A3D43A5"/>
    <w:rsid w:val="0A456EFE"/>
    <w:rsid w:val="0B872906"/>
    <w:rsid w:val="0BB87C7F"/>
    <w:rsid w:val="0C1A0844"/>
    <w:rsid w:val="0D083ABC"/>
    <w:rsid w:val="0D4228C7"/>
    <w:rsid w:val="0D7C3DC2"/>
    <w:rsid w:val="0D9865FC"/>
    <w:rsid w:val="0E2C1557"/>
    <w:rsid w:val="0E6B7334"/>
    <w:rsid w:val="0FE23E49"/>
    <w:rsid w:val="0FF90BF3"/>
    <w:rsid w:val="11A84636"/>
    <w:rsid w:val="12DA00C2"/>
    <w:rsid w:val="143164B1"/>
    <w:rsid w:val="14A44E78"/>
    <w:rsid w:val="152E0316"/>
    <w:rsid w:val="15BF0E17"/>
    <w:rsid w:val="16CC5F90"/>
    <w:rsid w:val="16D10BD4"/>
    <w:rsid w:val="188450D8"/>
    <w:rsid w:val="192E5F9E"/>
    <w:rsid w:val="1969038D"/>
    <w:rsid w:val="1AA82C03"/>
    <w:rsid w:val="1AC67D54"/>
    <w:rsid w:val="1BFC72B7"/>
    <w:rsid w:val="1C9512F2"/>
    <w:rsid w:val="1CAB4025"/>
    <w:rsid w:val="1D8B27BD"/>
    <w:rsid w:val="21122AA5"/>
    <w:rsid w:val="213D0C0E"/>
    <w:rsid w:val="21FB58E1"/>
    <w:rsid w:val="24D2203D"/>
    <w:rsid w:val="2879565F"/>
    <w:rsid w:val="299C1DE3"/>
    <w:rsid w:val="2CE10526"/>
    <w:rsid w:val="2E47155F"/>
    <w:rsid w:val="2E6C61D6"/>
    <w:rsid w:val="2EF0593A"/>
    <w:rsid w:val="2F104C27"/>
    <w:rsid w:val="30500B1B"/>
    <w:rsid w:val="33CE5FC6"/>
    <w:rsid w:val="35380332"/>
    <w:rsid w:val="36502B15"/>
    <w:rsid w:val="37D4471E"/>
    <w:rsid w:val="38C45E61"/>
    <w:rsid w:val="39413D39"/>
    <w:rsid w:val="3983669A"/>
    <w:rsid w:val="3AD7752D"/>
    <w:rsid w:val="3AF93D9D"/>
    <w:rsid w:val="3B2767A2"/>
    <w:rsid w:val="3B8A5345"/>
    <w:rsid w:val="3C934241"/>
    <w:rsid w:val="3FA63751"/>
    <w:rsid w:val="40892A09"/>
    <w:rsid w:val="40E32157"/>
    <w:rsid w:val="41853E5F"/>
    <w:rsid w:val="439C3174"/>
    <w:rsid w:val="43C5315B"/>
    <w:rsid w:val="4575522F"/>
    <w:rsid w:val="45FE3E19"/>
    <w:rsid w:val="465B6280"/>
    <w:rsid w:val="48253196"/>
    <w:rsid w:val="488B1E6F"/>
    <w:rsid w:val="48DC3E4B"/>
    <w:rsid w:val="4A137AC1"/>
    <w:rsid w:val="4B760144"/>
    <w:rsid w:val="4B996CE5"/>
    <w:rsid w:val="4C7735DF"/>
    <w:rsid w:val="4CF611AA"/>
    <w:rsid w:val="4D560E3E"/>
    <w:rsid w:val="4D6F0292"/>
    <w:rsid w:val="4DC4550D"/>
    <w:rsid w:val="4DC517A7"/>
    <w:rsid w:val="4E335488"/>
    <w:rsid w:val="4FDF74A1"/>
    <w:rsid w:val="51A079E4"/>
    <w:rsid w:val="51E640CB"/>
    <w:rsid w:val="51E83378"/>
    <w:rsid w:val="53020004"/>
    <w:rsid w:val="53AD7931"/>
    <w:rsid w:val="550C6C72"/>
    <w:rsid w:val="565224C8"/>
    <w:rsid w:val="569F3A0E"/>
    <w:rsid w:val="56A908E0"/>
    <w:rsid w:val="570C1C25"/>
    <w:rsid w:val="57923EA3"/>
    <w:rsid w:val="586A1D02"/>
    <w:rsid w:val="591F50BD"/>
    <w:rsid w:val="59301FAD"/>
    <w:rsid w:val="595D44DE"/>
    <w:rsid w:val="5AF2451D"/>
    <w:rsid w:val="5D697C40"/>
    <w:rsid w:val="5F4C73B7"/>
    <w:rsid w:val="5F7321BE"/>
    <w:rsid w:val="5FEB39BB"/>
    <w:rsid w:val="5FF90D6B"/>
    <w:rsid w:val="612629E6"/>
    <w:rsid w:val="61C92EBA"/>
    <w:rsid w:val="6215091F"/>
    <w:rsid w:val="622206F9"/>
    <w:rsid w:val="62F9311B"/>
    <w:rsid w:val="636E3700"/>
    <w:rsid w:val="6409668F"/>
    <w:rsid w:val="662C2D59"/>
    <w:rsid w:val="66B13B90"/>
    <w:rsid w:val="66EC0607"/>
    <w:rsid w:val="672B59EC"/>
    <w:rsid w:val="67797F96"/>
    <w:rsid w:val="677F1C0D"/>
    <w:rsid w:val="68E93F5E"/>
    <w:rsid w:val="690A751F"/>
    <w:rsid w:val="69F3103A"/>
    <w:rsid w:val="6CC50FE7"/>
    <w:rsid w:val="6CE231BD"/>
    <w:rsid w:val="6DEB7F14"/>
    <w:rsid w:val="70EE338F"/>
    <w:rsid w:val="71DD178E"/>
    <w:rsid w:val="72347373"/>
    <w:rsid w:val="7670078A"/>
    <w:rsid w:val="76AF35BA"/>
    <w:rsid w:val="787E2D2B"/>
    <w:rsid w:val="7A362513"/>
    <w:rsid w:val="7AB72B1C"/>
    <w:rsid w:val="7AC11B5D"/>
    <w:rsid w:val="7C161AFA"/>
    <w:rsid w:val="7E2B0087"/>
    <w:rsid w:val="7E2B4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3">
    <w:name w:val="页眉 字符"/>
    <w:basedOn w:val="11"/>
    <w:link w:val="8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5">
    <w:name w:val="样式1"/>
    <w:basedOn w:val="11"/>
    <w:qFormat/>
    <w:uiPriority w:val="0"/>
    <w:rPr>
      <w:rFonts w:ascii="等线" w:hAnsi="等线" w:eastAsia="宋体"/>
      <w:b/>
      <w:sz w:val="7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1"/>
    <w:link w:val="4"/>
    <w:uiPriority w:val="9"/>
    <w:rPr>
      <w:rFonts w:ascii="Calibri" w:hAnsi="Calibri" w:eastAsia="仿宋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3DD0C-BF1A-413E-9C6C-34BE0CBD9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3126</Words>
  <Characters>3472</Characters>
  <Lines>26</Lines>
  <Paragraphs>7</Paragraphs>
  <TotalTime>3</TotalTime>
  <ScaleCrop>false</ScaleCrop>
  <LinksUpToDate>false</LinksUpToDate>
  <CharactersWithSpaces>3548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2021-06-03T04:24:00Z</dcterms:created>
  <dc:creator>田勇 田勇</dc:creator>
  <cp:lastModifiedBy>聂红军</cp:lastModifiedBy>
  <dcterms:modified xsi:type="dcterms:W3CDTF">2023-03-03T09:03:34Z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D6DE864ACD6D4685BBAC6A1D4530D641</vt:lpwstr>
  </property>
</Properties>
</file>