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 w:lineRule="auto"/>
        <w:jc w:val="center"/>
        <w:rPr>
          <w:rFonts w:ascii="仿宋" w:hAnsi="仿宋" w:eastAsia="仿宋" w:cs="仿宋_GB2312"/>
          <w:b/>
          <w:color w:val="FF0000"/>
          <w:sz w:val="72"/>
          <w:szCs w:val="72"/>
        </w:rPr>
      </w:pPr>
    </w:p>
    <w:p>
      <w:pPr>
        <w:adjustRightInd w:val="0"/>
        <w:snapToGrid w:val="0"/>
        <w:spacing w:line="360" w:lineRule="auto"/>
        <w:jc w:val="center"/>
        <w:rPr>
          <w:rFonts w:ascii="仿宋" w:hAnsi="仿宋" w:eastAsia="仿宋" w:cs="仿宋_GB2312"/>
          <w:b/>
          <w:color w:val="FF0000"/>
          <w:spacing w:val="62"/>
          <w:sz w:val="72"/>
          <w:szCs w:val="72"/>
        </w:rPr>
      </w:pPr>
      <w:r>
        <w:rPr>
          <w:rFonts w:hint="eastAsia" w:ascii="仿宋" w:hAnsi="仿宋" w:eastAsia="仿宋" w:cs="仿宋_GB2312"/>
          <w:b/>
          <w:color w:val="FF0000"/>
          <w:spacing w:val="-85"/>
          <w:sz w:val="72"/>
          <w:szCs w:val="72"/>
        </w:rPr>
        <w:t>北京建术信息科技研究院有限公司</w:t>
      </w:r>
    </w:p>
    <w:p>
      <w:pPr>
        <w:adjustRightInd w:val="0"/>
        <w:snapToGrid w:val="0"/>
        <w:spacing w:line="300" w:lineRule="exact"/>
        <w:jc w:val="center"/>
        <w:rPr>
          <w:rFonts w:ascii="仿宋" w:hAnsi="仿宋" w:eastAsia="仿宋" w:cs="仿宋_GB2312"/>
          <w:color w:val="000000"/>
          <w:spacing w:val="-12"/>
          <w:sz w:val="28"/>
          <w:szCs w:val="28"/>
        </w:rPr>
      </w:pPr>
      <w:r>
        <w:rPr>
          <w:rFonts w:hint="eastAsia" w:ascii="仿宋" w:hAnsi="仿宋" w:eastAsia="仿宋" w:cs="仿宋_GB2312"/>
          <w:color w:val="000000"/>
          <w:spacing w:val="-12"/>
          <w:sz w:val="28"/>
          <w:szCs w:val="28"/>
        </w:rPr>
        <w:t>建术[2023] 08 号</w:t>
      </w:r>
    </w:p>
    <w:p>
      <w:pPr>
        <w:jc w:val="center"/>
        <w:rPr>
          <w:rFonts w:ascii="仿宋" w:hAnsi="仿宋" w:eastAsia="仿宋"/>
          <w:b/>
          <w:sz w:val="36"/>
          <w:szCs w:val="36"/>
        </w:rPr>
      </w:pP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202565</wp:posOffset>
                </wp:positionV>
                <wp:extent cx="6057900" cy="0"/>
                <wp:effectExtent l="0" t="9525" r="0" b="9525"/>
                <wp:wrapNone/>
                <wp:docPr id="1" name="直接连接符 1"/>
                <wp:cNvGraphicFramePr/>
                <a:graphic xmlns:a="http://schemas.openxmlformats.org/drawingml/2006/main">
                  <a:graphicData uri="http://schemas.microsoft.com/office/word/2010/wordprocessingShape">
                    <wps:wsp>
                      <wps:cNvCnPr/>
                      <wps:spPr>
                        <a:xfrm>
                          <a:off x="409575" y="2267585"/>
                          <a:ext cx="60579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75pt;margin-top:15.95pt;height:0pt;width:477pt;z-index:251659264;mso-width-relative:page;mso-height-relative:page;" filled="f" stroked="t" coordsize="21600,21600" o:gfxdata="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wMLi9gAAAAJAQAADwAAAAAAAAABACAAAAAiAAAAZHJzL2Rv&#10;d25yZXYueG1sUEsBAhQAFAAAAAgAh07iQJTtORcBAgAA8gMAAA4AAAAAAAAAAQAgAAAAJwEAAGRy&#10;cy9lMm9Eb2MueG1sUEsFBgAAAAAGAAYAWQEAAJoFAAAAAA==&#10;">
                <v:fill on="f" focussize="0,0"/>
                <v:stroke weight="1.5pt" color="#FF0000" joinstyle="round"/>
                <v:imagedata o:title=""/>
                <o:lock v:ext="edit" aspectratio="f"/>
              </v:line>
            </w:pict>
          </mc:Fallback>
        </mc:AlternateContent>
      </w:r>
    </w:p>
    <w:p>
      <w:pPr>
        <w:widowControl/>
        <w:spacing w:line="560" w:lineRule="exact"/>
        <w:jc w:val="center"/>
        <w:rPr>
          <w:rFonts w:ascii="仿宋" w:hAnsi="仿宋" w:eastAsia="仿宋"/>
          <w:b/>
          <w:sz w:val="32"/>
          <w:szCs w:val="32"/>
        </w:rPr>
      </w:pPr>
      <w:r>
        <w:rPr>
          <w:rFonts w:hint="eastAsia" w:ascii="仿宋" w:hAnsi="仿宋" w:eastAsia="仿宋"/>
          <w:b/>
          <w:sz w:val="32"/>
          <w:szCs w:val="32"/>
        </w:rPr>
        <w:t>关于举办《新监管环境下“工程总承包项目招投标、合同订立、项目实施、结算、造价管理暨全方位风险识别与防范案例精讲”》专题培训班的通知</w:t>
      </w:r>
    </w:p>
    <w:p>
      <w:pPr>
        <w:widowControl/>
        <w:spacing w:line="560" w:lineRule="exact"/>
        <w:jc w:val="center"/>
        <w:rPr>
          <w:rFonts w:ascii="仿宋" w:hAnsi="仿宋" w:eastAsia="仿宋"/>
          <w:b/>
          <w:sz w:val="32"/>
          <w:szCs w:val="32"/>
        </w:rPr>
      </w:pPr>
    </w:p>
    <w:p>
      <w:pPr>
        <w:widowControl/>
        <w:spacing w:line="600" w:lineRule="exact"/>
        <w:rPr>
          <w:rFonts w:ascii="仿宋" w:hAnsi="仿宋" w:eastAsia="仿宋"/>
          <w:bCs/>
          <w:color w:val="000000"/>
          <w:sz w:val="28"/>
          <w:szCs w:val="28"/>
        </w:rPr>
      </w:pPr>
      <w:r>
        <w:rPr>
          <w:rFonts w:hint="eastAsia" w:ascii="仿宋" w:hAnsi="仿宋" w:eastAsia="仿宋"/>
          <w:bCs/>
          <w:color w:val="000000"/>
          <w:sz w:val="28"/>
          <w:szCs w:val="28"/>
        </w:rPr>
        <w:t>各相关单位：</w:t>
      </w:r>
    </w:p>
    <w:p>
      <w:pPr>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2022年1月，住建部印发《“十四五”建筑业发展规划》。《规划》指出，到2035年，建筑业发展质量和效益大幅提升，建筑工业化全面实现，建筑品质显著提升。</w:t>
      </w:r>
    </w:p>
    <w:p>
      <w:pPr>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住建部出台的《工程总承包管理办法》和新版《合同（示范文本）》对工程总承包项目招投标提出新的要求，对风险分担进行了详细规定，如何合理有效地管控招投标、合同签订履约、分包、计量计价、变更索赔与结算各阶段风险？如何应对官方审计和财政评审，变被动为主动，确保较好的经济效益，越来越受到相关企业的高度关注。</w:t>
      </w:r>
    </w:p>
    <w:p>
      <w:pPr>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为立足“十四五”新发展阶段、贯彻新发展理念，融入新发展格局，更新经营高级管理人才开拓市场知识结构，搭建经营管理人才沟通交流平台，进一步做好建设工程项目管理及风险防控工作，提高项目管理人员合同管理能力，我院特邀曹珊老师就当前工程总承包项目全过程、全方位的风险识别与应对作专题讲解和交流。</w:t>
      </w:r>
    </w:p>
    <w:p>
      <w:pPr>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请各单位积极组织本单位及下属单位相关人员参加。</w:t>
      </w:r>
    </w:p>
    <w:p>
      <w:pPr>
        <w:widowControl/>
        <w:spacing w:line="600" w:lineRule="exact"/>
        <w:rPr>
          <w:rFonts w:ascii="仿宋" w:hAnsi="仿宋" w:eastAsia="仿宋"/>
          <w:b/>
          <w:color w:val="000000"/>
          <w:sz w:val="28"/>
          <w:szCs w:val="28"/>
        </w:rPr>
      </w:pPr>
      <w:r>
        <w:rPr>
          <w:rFonts w:hint="eastAsia" w:ascii="仿宋" w:hAnsi="仿宋" w:eastAsia="仿宋"/>
          <w:b/>
          <w:color w:val="000000"/>
          <w:sz w:val="28"/>
          <w:szCs w:val="28"/>
        </w:rPr>
        <w:t>一、培训收益</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1.准确识别项目各阶段风险点，进一步做好建设工程项目管理及风险防控工作；</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2.有效审查合同重点条款，提高合同管理能力；</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3.了解和掌握工程造价管理风险高发领域、全过程工程造价管理流程及施工阶段造价管理争议解决措施；</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4.理论讲解辅以案例评述，理论专业翔实、案例生动契合。</w:t>
      </w:r>
    </w:p>
    <w:p>
      <w:pPr>
        <w:widowControl/>
        <w:spacing w:line="600" w:lineRule="exact"/>
        <w:rPr>
          <w:rFonts w:ascii="仿宋" w:hAnsi="仿宋" w:eastAsia="仿宋"/>
          <w:b/>
          <w:color w:val="000000"/>
          <w:sz w:val="28"/>
          <w:szCs w:val="28"/>
        </w:rPr>
      </w:pPr>
      <w:r>
        <w:rPr>
          <w:rFonts w:hint="eastAsia" w:ascii="仿宋" w:hAnsi="仿宋" w:eastAsia="仿宋"/>
          <w:b/>
          <w:color w:val="000000"/>
          <w:sz w:val="28"/>
          <w:szCs w:val="28"/>
        </w:rPr>
        <w:t>二、培训内容</w:t>
      </w:r>
    </w:p>
    <w:p>
      <w:pPr>
        <w:widowControl/>
        <w:spacing w:line="60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一、招投标阶段的风险管控重点及风险防范措施</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1.关注招标人的资信情况</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2.关注项目资金的来源情况</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3.工程总承包暂估价部分招投标风险及应对</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4.加强对招标文件的审查及实质性响应</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5.项目工程变更的风险与防范</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6.对项目信息描述不明或复杂地质项目的应对</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7.加强对投标报价形式及风险范围审查</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8.对中标无效以及“黑白合同”的风险管控</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9.投标文件编制遗漏风险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10.投标报价策略风险</w:t>
      </w:r>
    </w:p>
    <w:p>
      <w:pPr>
        <w:widowControl/>
        <w:spacing w:line="60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二、合同订立阶段的风险管控重点及风险防范措施</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（一）总包合同订立阶段的风险管控重点及风险防范措施</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1.工程总承包各参与方管理职责条款</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2.重视合同价格条款</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3.重视工程款支付条款</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4.重视合同变更与调价条款</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5.自然环境、地质条件、技术标准等风险的分担条款</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6.发包人资料错误的风险承担条款</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7.重视违约责任条款</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8.重视竣工验收条款</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9.重视结算方式条款</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10.重视合同终止条款以及不可抗力条款</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11.合同效力审查重点汇总</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（二）分包合同订立阶段的风险管控重点及风险防范措施</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1.分包合同的风险识别</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2.分包合同的风险防范</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3.分包合同的审查要点汇总</w:t>
      </w:r>
    </w:p>
    <w:p>
      <w:pPr>
        <w:widowControl/>
        <w:spacing w:line="60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三、项目实施阶段风险识别及应对</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1.项目开工手续不全的风险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2.合同交底不充分的风险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3.项目部对外签订合同不规范的风险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4.项目现场货物、材料进场或移交不规范的风险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5.业主赶工需求与成本控制不对等的风险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6.现场资料保存不完备及分包管理不规范的风险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7.履约保函见索即付风险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8.变更风险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9.索赔风险的识别与防范（工程索赔的重要性、工程签证与工程索赔的区别和转化、通过案例分析看工期索赔的重点防范要素、履约过程中如何切实有效的进行索赔证据管理工作）</w:t>
      </w:r>
    </w:p>
    <w:p>
      <w:pPr>
        <w:widowControl/>
        <w:spacing w:line="60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四、结算阶段风险识别及应对</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1.发包人结算审核迟延的风险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2.竣工结算价格核减的风险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3.第三方咨询机构对价款核减的风险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4.以政府审计作为结算依据的风险</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5.审价和审计</w:t>
      </w:r>
    </w:p>
    <w:p>
      <w:pPr>
        <w:widowControl/>
        <w:spacing w:line="60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特别课程：工程总承包造价管理的重点法律风险识别、应对和案例精讲</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1.工程造价管理风险高发领域概述</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2.全过程工程造价管理流程</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3.施工阶段是全过程造价管理争议频发领域</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4.建设单位、承包单位和造价咨询单位的关系和分工</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5.全过程造价“失控”与施工企业调增价款的机会</w:t>
      </w:r>
    </w:p>
    <w:p>
      <w:pPr>
        <w:widowControl/>
        <w:spacing w:line="600" w:lineRule="exact"/>
        <w:rPr>
          <w:rFonts w:ascii="仿宋" w:hAnsi="仿宋" w:eastAsia="仿宋"/>
          <w:b/>
          <w:color w:val="000000"/>
          <w:sz w:val="28"/>
          <w:szCs w:val="28"/>
        </w:rPr>
      </w:pPr>
      <w:r>
        <w:rPr>
          <w:rFonts w:hint="eastAsia" w:ascii="仿宋" w:hAnsi="仿宋" w:eastAsia="仿宋"/>
          <w:b/>
          <w:color w:val="000000"/>
          <w:sz w:val="28"/>
          <w:szCs w:val="28"/>
        </w:rPr>
        <w:t>三、培训对象</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1.各地方政府有关建设规划、工程管理、市场监督管理等建设项目监管部门，工程勘察、设计、施工、监理单位以及建设工程交易、投资项目评审相关人员；</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2.各业主单位从事项目管理、合同管理、工程项目建设、开发、审计等相关部门人员；</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3.各建筑设计、施工、设备材料供应、分包等企业领导、项目经理以及从事投标报价、合同谈判、合同管理的工程技术人员，其他工程总承包相关人员；</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4.高校、科研单位及工程咨询、律师事务所等机构专业人员。</w:t>
      </w:r>
    </w:p>
    <w:p>
      <w:pPr>
        <w:widowControl/>
        <w:spacing w:line="600" w:lineRule="exact"/>
        <w:rPr>
          <w:rFonts w:ascii="仿宋" w:hAnsi="仿宋" w:eastAsia="仿宋"/>
          <w:b/>
          <w:color w:val="000000"/>
          <w:sz w:val="28"/>
          <w:szCs w:val="28"/>
        </w:rPr>
      </w:pPr>
      <w:r>
        <w:rPr>
          <w:rFonts w:hint="eastAsia" w:ascii="仿宋" w:hAnsi="仿宋" w:eastAsia="仿宋"/>
          <w:b/>
          <w:color w:val="000000"/>
          <w:sz w:val="28"/>
          <w:szCs w:val="28"/>
        </w:rPr>
        <w:t>四、主讲专家介绍</w:t>
      </w:r>
    </w:p>
    <w:p>
      <w:pPr>
        <w:widowControl/>
        <w:spacing w:line="600" w:lineRule="exact"/>
        <w:rPr>
          <w:rFonts w:ascii="仿宋" w:hAnsi="仿宋" w:eastAsia="仿宋"/>
          <w:b/>
          <w:color w:val="000000"/>
          <w:sz w:val="28"/>
          <w:szCs w:val="28"/>
        </w:rPr>
      </w:pPr>
      <w:r>
        <w:rPr>
          <w:rFonts w:hint="eastAsia" w:ascii="仿宋" w:hAnsi="仿宋" w:eastAsia="仿宋"/>
          <w:b/>
          <w:color w:val="000000"/>
          <w:sz w:val="28"/>
          <w:szCs w:val="28"/>
        </w:rPr>
        <w:t>主讲人：曹珊</w:t>
      </w:r>
    </w:p>
    <w:p>
      <w:pPr>
        <w:widowControl/>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曹老师现任北京德恒律师事务所高级合伙人，中华全国律师协会建设工程与房地产专业委员会秘书长暨建设工程论坛副主任，中国建筑学会建筑经济分会理事，北京建术信息科技研究院有限公司特聘专家；高级工程师、土建一级项目经理、土建一级建造师、造价工程师、国际工程高级项目经理（B）、英国皇家测量师、政府和社会资本合作高级项目咨询师、项目投资分析师。</w:t>
      </w:r>
    </w:p>
    <w:p>
      <w:pPr>
        <w:widowControl/>
        <w:spacing w:line="600" w:lineRule="exact"/>
        <w:rPr>
          <w:rFonts w:ascii="仿宋" w:hAnsi="仿宋" w:eastAsia="仿宋"/>
          <w:b/>
          <w:color w:val="000000"/>
          <w:sz w:val="28"/>
          <w:szCs w:val="28"/>
        </w:rPr>
      </w:pPr>
      <w:r>
        <w:rPr>
          <w:rFonts w:hint="eastAsia" w:ascii="仿宋" w:hAnsi="仿宋" w:eastAsia="仿宋"/>
          <w:b/>
          <w:color w:val="000000"/>
          <w:sz w:val="28"/>
          <w:szCs w:val="28"/>
        </w:rPr>
        <w:t>五、培训时间、地点</w:t>
      </w:r>
    </w:p>
    <w:p>
      <w:pPr>
        <w:spacing w:line="600" w:lineRule="exact"/>
        <w:ind w:firstLine="560" w:firstLineChars="200"/>
        <w:rPr>
          <w:rFonts w:cs="仿宋" w:asciiTheme="minorEastAsia" w:hAnsiTheme="minorEastAsia" w:eastAsiaTheme="minorEastAsia"/>
          <w:sz w:val="28"/>
          <w:szCs w:val="28"/>
        </w:rPr>
      </w:pPr>
      <w:r>
        <w:rPr>
          <w:rFonts w:hint="eastAsia" w:ascii="仿宋" w:hAnsi="仿宋" w:eastAsia="仿宋"/>
          <w:bCs/>
          <w:color w:val="000000"/>
          <w:sz w:val="28"/>
          <w:szCs w:val="28"/>
        </w:rPr>
        <w:t>2023年4月24日—26日 （ 24日全天报到）   上海市</w:t>
      </w:r>
      <w:r>
        <w:rPr>
          <w:rFonts w:hint="eastAsia" w:cs="仿宋" w:asciiTheme="minorEastAsia" w:hAnsiTheme="minorEastAsia" w:eastAsiaTheme="minorEastAsia"/>
          <w:sz w:val="28"/>
          <w:szCs w:val="28"/>
        </w:rPr>
        <w:t xml:space="preserve"> </w:t>
      </w:r>
    </w:p>
    <w:p>
      <w:pPr>
        <w:widowControl/>
        <w:spacing w:line="600" w:lineRule="exact"/>
        <w:rPr>
          <w:rFonts w:ascii="仿宋" w:hAnsi="仿宋" w:eastAsia="仿宋"/>
          <w:b/>
          <w:color w:val="000000"/>
          <w:sz w:val="28"/>
          <w:szCs w:val="28"/>
        </w:rPr>
      </w:pPr>
      <w:r>
        <w:rPr>
          <w:rFonts w:hint="eastAsia" w:ascii="仿宋" w:hAnsi="仿宋" w:eastAsia="仿宋"/>
          <w:b/>
          <w:color w:val="000000"/>
          <w:sz w:val="28"/>
          <w:szCs w:val="28"/>
        </w:rPr>
        <w:t xml:space="preserve">六、相关费用标准   </w:t>
      </w:r>
    </w:p>
    <w:p>
      <w:pPr>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A.3580元/人（含培训费、资料费、电子课件、场地、会议期间午餐），住宿统一安排，费用自理。</w:t>
      </w:r>
    </w:p>
    <w:p>
      <w:pPr>
        <w:spacing w:line="600" w:lineRule="exact"/>
        <w:rPr>
          <w:rFonts w:ascii="仿宋" w:hAnsi="仿宋" w:eastAsia="仿宋"/>
          <w:bCs/>
          <w:color w:val="000000"/>
          <w:sz w:val="28"/>
          <w:szCs w:val="28"/>
        </w:rPr>
      </w:pPr>
      <w:r>
        <w:rPr>
          <w:rFonts w:hint="eastAsia" w:ascii="仿宋" w:hAnsi="仿宋" w:eastAsia="仿宋"/>
          <w:bCs/>
          <w:color w:val="000000"/>
          <w:sz w:val="28"/>
          <w:szCs w:val="28"/>
        </w:rPr>
        <w:t xml:space="preserve">    B.5980元/人（含全过程工程咨询师(高级、中级)证书及网上学习3天专业课程、资料费、电子课件、会议期间午餐），住宿统一安排，费用自理。</w:t>
      </w:r>
    </w:p>
    <w:p>
      <w:pPr>
        <w:spacing w:line="6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C. 4800元/人网上学习（全过程工程咨询师(高级、中级)）3天课程。</w:t>
      </w:r>
    </w:p>
    <w:p>
      <w:pPr>
        <w:spacing w:line="600" w:lineRule="exact"/>
        <w:rPr>
          <w:rFonts w:ascii="仿宋" w:hAnsi="仿宋" w:eastAsia="仿宋"/>
          <w:bCs/>
          <w:color w:val="000000"/>
          <w:sz w:val="28"/>
          <w:szCs w:val="28"/>
        </w:rPr>
      </w:pPr>
      <w:r>
        <w:rPr>
          <w:rFonts w:hint="eastAsia" w:ascii="仿宋" w:hAnsi="仿宋" w:eastAsia="仿宋"/>
          <w:bCs/>
          <w:color w:val="000000"/>
          <w:sz w:val="28"/>
          <w:szCs w:val="28"/>
        </w:rPr>
        <w:t>备注：申报证书需提供报名表一份、2寸照电子照片（蓝底免冠彩照）、身份证复印件一份、学历证书复印件一份，在职单位证明（原件）一份，审核通过后出准考证，每个月最后一个周末为网上考试时间。</w:t>
      </w:r>
    </w:p>
    <w:p>
      <w:pPr>
        <w:spacing w:line="600" w:lineRule="exact"/>
        <w:rPr>
          <w:rFonts w:ascii="仿宋" w:hAnsi="仿宋" w:eastAsia="仿宋"/>
          <w:b/>
          <w:color w:val="000000"/>
          <w:sz w:val="28"/>
          <w:szCs w:val="28"/>
        </w:rPr>
      </w:pPr>
      <w:r>
        <w:rPr>
          <w:rFonts w:hint="eastAsia" w:ascii="仿宋" w:hAnsi="仿宋" w:eastAsia="仿宋"/>
          <w:bCs/>
          <w:color w:val="000000"/>
          <w:sz w:val="28"/>
          <w:szCs w:val="28"/>
        </w:rPr>
        <w:t>颁证机构：国家职业资格培训鉴定实验基地（http://www.nptb.org/）是人力资源和社会保障部在天津建立的综合性职业标准开发机构，主要承担国家新职业标准研发和推广任务，开展培训鉴定实验项目和课题研究，进行新职业教材和课程设计，建立新职业考核标准、考试题库。</w:t>
      </w:r>
    </w:p>
    <w:p>
      <w:pPr>
        <w:spacing w:line="600" w:lineRule="exact"/>
        <w:rPr>
          <w:rFonts w:ascii="仿宋" w:hAnsi="仿宋" w:eastAsia="仿宋"/>
          <w:b/>
          <w:color w:val="000000"/>
          <w:sz w:val="28"/>
          <w:szCs w:val="28"/>
        </w:rPr>
      </w:pPr>
      <w:r>
        <w:rPr>
          <w:rFonts w:hint="eastAsia" w:ascii="仿宋" w:hAnsi="仿宋" w:eastAsia="仿宋"/>
          <w:b/>
          <w:color w:val="000000"/>
          <w:sz w:val="28"/>
          <w:szCs w:val="28"/>
        </w:rPr>
        <w:t>七、联系方式</w:t>
      </w:r>
    </w:p>
    <w:p>
      <w:pPr>
        <w:spacing w:line="600" w:lineRule="exact"/>
        <w:rPr>
          <w:rFonts w:hint="eastAsia" w:ascii="仿宋" w:hAnsi="仿宋" w:eastAsia="仿宋"/>
          <w:b/>
          <w:color w:val="000000"/>
          <w:sz w:val="28"/>
          <w:szCs w:val="28"/>
        </w:rPr>
      </w:pPr>
      <w:r>
        <w:rPr>
          <w:rFonts w:hint="eastAsia" w:ascii="仿宋" w:hAnsi="仿宋" w:eastAsia="仿宋"/>
          <w:b/>
          <w:color w:val="000000"/>
          <w:sz w:val="28"/>
          <w:szCs w:val="28"/>
        </w:rPr>
        <w:t xml:space="preserve">报名负责人：聂红军 主任18211071700（微信）   </w:t>
      </w:r>
    </w:p>
    <w:p>
      <w:pPr>
        <w:spacing w:line="600" w:lineRule="exact"/>
        <w:rPr>
          <w:rFonts w:hint="eastAsia" w:ascii="仿宋" w:hAnsi="仿宋" w:eastAsia="仿宋"/>
          <w:b/>
          <w:color w:val="000000"/>
          <w:sz w:val="28"/>
          <w:szCs w:val="28"/>
        </w:rPr>
      </w:pPr>
      <w:r>
        <w:rPr>
          <w:rFonts w:hint="eastAsia" w:ascii="仿宋" w:hAnsi="仿宋" w:eastAsia="仿宋"/>
          <w:b/>
          <w:color w:val="000000"/>
          <w:sz w:val="28"/>
          <w:szCs w:val="28"/>
        </w:rPr>
        <w:t xml:space="preserve">电  话：010-87697580      邮    箱：zqgphwz@126.com  </w:t>
      </w:r>
    </w:p>
    <w:p>
      <w:pPr>
        <w:spacing w:line="600" w:lineRule="exact"/>
        <w:rPr>
          <w:rFonts w:ascii="仿宋" w:hAnsi="仿宋" w:eastAsia="仿宋"/>
          <w:b/>
          <w:color w:val="000000"/>
          <w:sz w:val="28"/>
          <w:szCs w:val="28"/>
        </w:rPr>
      </w:pPr>
      <w:r>
        <w:rPr>
          <w:rFonts w:hint="eastAsia" w:ascii="仿宋" w:hAnsi="仿宋" w:eastAsia="仿宋"/>
          <w:b/>
          <w:color w:val="000000"/>
          <w:sz w:val="28"/>
          <w:szCs w:val="28"/>
        </w:rPr>
        <w:t>qq咨询：3177524020        网址查询：http://www.zqgpchina.cn</w:t>
      </w:r>
    </w:p>
    <w:p>
      <w:pPr>
        <w:spacing w:line="600" w:lineRule="exact"/>
        <w:ind w:firstLine="420" w:firstLineChars="200"/>
        <w:rPr>
          <w:rFonts w:ascii="仿宋" w:hAnsi="仿宋" w:eastAsia="仿宋"/>
          <w:color w:val="000000"/>
          <w:sz w:val="28"/>
          <w:szCs w:val="28"/>
        </w:rPr>
      </w:pPr>
      <w:r>
        <w:rPr>
          <w:rFonts w:hint="eastAsia" w:ascii="宋体" w:hAnsi="宋体" w:cs="宋体"/>
          <w:color w:val="000000"/>
          <w:szCs w:val="21"/>
        </w:rPr>
        <w:drawing>
          <wp:anchor distT="0" distB="0" distL="114300" distR="114300" simplePos="0" relativeHeight="251660288" behindDoc="1" locked="0" layoutInCell="1" allowOverlap="1">
            <wp:simplePos x="0" y="0"/>
            <wp:positionH relativeFrom="column">
              <wp:posOffset>3022600</wp:posOffset>
            </wp:positionH>
            <wp:positionV relativeFrom="paragraph">
              <wp:posOffset>173355</wp:posOffset>
            </wp:positionV>
            <wp:extent cx="2679700" cy="1905000"/>
            <wp:effectExtent l="0" t="0" r="0" b="0"/>
            <wp:wrapNone/>
            <wp:docPr id="2" name="图片 2" descr="建术公章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术公章12"/>
                    <pic:cNvPicPr>
                      <a:picLocks noChangeAspect="1"/>
                    </pic:cNvPicPr>
                  </pic:nvPicPr>
                  <pic:blipFill>
                    <a:blip r:embed="rId4" cstate="print"/>
                    <a:stretch>
                      <a:fillRect/>
                    </a:stretch>
                  </pic:blipFill>
                  <pic:spPr>
                    <a:xfrm>
                      <a:off x="0" y="0"/>
                      <a:ext cx="2679700" cy="1905000"/>
                    </a:xfrm>
                    <a:prstGeom prst="rect">
                      <a:avLst/>
                    </a:prstGeom>
                    <a:noFill/>
                    <a:ln>
                      <a:noFill/>
                    </a:ln>
                  </pic:spPr>
                </pic:pic>
              </a:graphicData>
            </a:graphic>
          </wp:anchor>
        </w:drawing>
      </w:r>
    </w:p>
    <w:p>
      <w:pPr>
        <w:ind w:firstLine="5320" w:firstLineChars="1900"/>
        <w:rPr>
          <w:rFonts w:asciiTheme="minorEastAsia" w:hAnsiTheme="minorEastAsia" w:eastAsiaTheme="minorEastAsia"/>
          <w:sz w:val="28"/>
          <w:szCs w:val="28"/>
        </w:rPr>
      </w:pPr>
    </w:p>
    <w:p>
      <w:pPr>
        <w:jc w:val="right"/>
        <w:rPr>
          <w:rFonts w:ascii="仿宋" w:hAnsi="仿宋" w:eastAsia="仿宋"/>
          <w:bCs/>
          <w:color w:val="000000"/>
          <w:sz w:val="28"/>
          <w:szCs w:val="28"/>
        </w:rPr>
      </w:pPr>
      <w:r>
        <w:rPr>
          <w:rFonts w:hint="eastAsia" w:ascii="仿宋" w:hAnsi="仿宋" w:eastAsia="仿宋"/>
          <w:bCs/>
          <w:color w:val="000000"/>
          <w:sz w:val="28"/>
          <w:szCs w:val="28"/>
        </w:rPr>
        <w:t>北京建术信息科技研究院有限公司</w:t>
      </w:r>
    </w:p>
    <w:p>
      <w:pPr>
        <w:ind w:firstLine="5320" w:firstLineChars="1900"/>
        <w:jc w:val="left"/>
        <w:rPr>
          <w:rFonts w:ascii="仿宋" w:hAnsi="仿宋" w:eastAsia="仿宋"/>
          <w:bCs/>
          <w:color w:val="000000"/>
          <w:sz w:val="28"/>
          <w:szCs w:val="28"/>
        </w:rPr>
      </w:pPr>
      <w:r>
        <w:rPr>
          <w:rFonts w:hint="eastAsia" w:ascii="仿宋" w:hAnsi="仿宋" w:eastAsia="仿宋"/>
          <w:bCs/>
          <w:color w:val="000000"/>
          <w:sz w:val="28"/>
          <w:szCs w:val="28"/>
        </w:rPr>
        <w:t>二零二三年三月三十日</w:t>
      </w:r>
    </w:p>
    <w:p>
      <w:pPr>
        <w:widowControl/>
        <w:ind w:left="0" w:leftChars="-400" w:hanging="840" w:hangingChars="300"/>
        <w:jc w:val="left"/>
        <w:rPr>
          <w:rFonts w:ascii="仿宋" w:hAnsi="仿宋" w:eastAsia="仿宋"/>
          <w:b/>
          <w:sz w:val="28"/>
          <w:szCs w:val="28"/>
        </w:rPr>
      </w:pPr>
    </w:p>
    <w:p>
      <w:pPr>
        <w:widowControl/>
        <w:ind w:left="0" w:leftChars="-400" w:hanging="840" w:hangingChars="300"/>
        <w:jc w:val="left"/>
        <w:rPr>
          <w:rFonts w:ascii="仿宋" w:hAnsi="仿宋" w:eastAsia="仿宋"/>
          <w:b/>
          <w:sz w:val="28"/>
          <w:szCs w:val="28"/>
        </w:rPr>
      </w:pPr>
    </w:p>
    <w:p>
      <w:pPr>
        <w:widowControl/>
        <w:ind w:left="0" w:leftChars="-400" w:hanging="840" w:hangingChars="300"/>
        <w:jc w:val="left"/>
        <w:rPr>
          <w:rFonts w:ascii="仿宋" w:hAnsi="仿宋" w:eastAsia="仿宋"/>
          <w:b/>
          <w:sz w:val="28"/>
          <w:szCs w:val="28"/>
        </w:rPr>
      </w:pPr>
    </w:p>
    <w:p>
      <w:pPr>
        <w:widowControl/>
        <w:ind w:left="0" w:leftChars="-400" w:hanging="840" w:hangingChars="300"/>
        <w:jc w:val="left"/>
        <w:rPr>
          <w:rFonts w:ascii="仿宋" w:hAnsi="仿宋" w:eastAsia="仿宋"/>
          <w:b/>
          <w:sz w:val="28"/>
          <w:szCs w:val="28"/>
        </w:rPr>
      </w:pPr>
    </w:p>
    <w:p>
      <w:pPr>
        <w:widowControl/>
        <w:ind w:left="0" w:leftChars="-400" w:hanging="840" w:hangingChars="300"/>
        <w:jc w:val="left"/>
        <w:rPr>
          <w:rFonts w:ascii="仿宋" w:hAnsi="仿宋" w:eastAsia="仿宋"/>
          <w:b/>
          <w:sz w:val="28"/>
          <w:szCs w:val="28"/>
        </w:rPr>
      </w:pPr>
    </w:p>
    <w:p>
      <w:pPr>
        <w:widowControl/>
        <w:ind w:left="0" w:leftChars="-400" w:hanging="840" w:hangingChars="300"/>
        <w:jc w:val="left"/>
        <w:rPr>
          <w:rFonts w:ascii="仿宋" w:hAnsi="仿宋" w:eastAsia="仿宋"/>
          <w:b/>
          <w:sz w:val="28"/>
          <w:szCs w:val="28"/>
        </w:rPr>
      </w:pPr>
    </w:p>
    <w:p>
      <w:pPr>
        <w:widowControl/>
        <w:ind w:left="0" w:leftChars="-400" w:hanging="840" w:hangingChars="300"/>
        <w:jc w:val="left"/>
        <w:rPr>
          <w:rFonts w:ascii="仿宋" w:hAnsi="仿宋" w:eastAsia="仿宋"/>
          <w:b/>
          <w:sz w:val="28"/>
          <w:szCs w:val="28"/>
        </w:rPr>
      </w:pPr>
    </w:p>
    <w:p>
      <w:pPr>
        <w:widowControl/>
        <w:ind w:left="0" w:leftChars="-400" w:hanging="840" w:hangingChars="300"/>
        <w:jc w:val="left"/>
        <w:rPr>
          <w:rFonts w:ascii="仿宋" w:hAnsi="仿宋" w:eastAsia="仿宋"/>
          <w:sz w:val="28"/>
          <w:szCs w:val="28"/>
        </w:rPr>
      </w:pPr>
      <w:r>
        <w:rPr>
          <w:rFonts w:hint="eastAsia" w:ascii="仿宋" w:hAnsi="仿宋" w:eastAsia="仿宋"/>
          <w:b/>
          <w:sz w:val="28"/>
          <w:szCs w:val="28"/>
        </w:rPr>
        <w:t>附 件：</w:t>
      </w:r>
      <w:r>
        <w:rPr>
          <w:rFonts w:hint="eastAsia" w:ascii="仿宋" w:hAnsi="仿宋" w:eastAsia="仿宋"/>
          <w:sz w:val="28"/>
          <w:szCs w:val="28"/>
        </w:rPr>
        <w:t xml:space="preserve"> </w:t>
      </w:r>
    </w:p>
    <w:p>
      <w:pPr>
        <w:widowControl/>
        <w:spacing w:line="360" w:lineRule="exact"/>
        <w:jc w:val="center"/>
        <w:rPr>
          <w:rFonts w:ascii="仿宋" w:hAnsi="仿宋" w:eastAsia="仿宋"/>
          <w:b/>
          <w:sz w:val="30"/>
          <w:szCs w:val="30"/>
        </w:rPr>
      </w:pPr>
      <w:r>
        <w:rPr>
          <w:rFonts w:hint="eastAsia" w:ascii="仿宋" w:hAnsi="仿宋" w:eastAsia="仿宋"/>
          <w:b/>
          <w:sz w:val="30"/>
          <w:szCs w:val="30"/>
        </w:rPr>
        <w:t>《新监管环境下“工程总承包项目招投标、合同订立、项目实施、结算、造价管理暨全方位风险识别与防范案例精讲”》</w:t>
      </w:r>
    </w:p>
    <w:p>
      <w:pPr>
        <w:widowControl/>
        <w:spacing w:line="360" w:lineRule="exact"/>
        <w:jc w:val="center"/>
        <w:rPr>
          <w:rFonts w:ascii="仿宋" w:hAnsi="仿宋" w:eastAsia="仿宋"/>
          <w:sz w:val="28"/>
          <w:szCs w:val="28"/>
        </w:rPr>
      </w:pPr>
      <w:r>
        <w:rPr>
          <w:rFonts w:hint="eastAsia" w:ascii="仿宋" w:hAnsi="仿宋" w:eastAsia="仿宋"/>
          <w:b/>
          <w:sz w:val="30"/>
          <w:szCs w:val="30"/>
        </w:rPr>
        <w:t>专题培训班报名表</w:t>
      </w:r>
    </w:p>
    <w:tbl>
      <w:tblPr>
        <w:tblStyle w:val="5"/>
        <w:tblpPr w:leftFromText="180" w:rightFromText="180" w:vertAnchor="text" w:horzAnchor="page" w:tblpXSpec="center" w:tblpY="187"/>
        <w:tblOverlap w:val="never"/>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71"/>
        <w:gridCol w:w="1374"/>
        <w:gridCol w:w="1418"/>
        <w:gridCol w:w="802"/>
        <w:gridCol w:w="6"/>
        <w:gridCol w:w="1176"/>
        <w:gridCol w:w="49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单位名称</w:t>
            </w:r>
          </w:p>
        </w:tc>
        <w:tc>
          <w:tcPr>
            <w:tcW w:w="4371" w:type="dxa"/>
            <w:gridSpan w:val="5"/>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176" w:type="dxa"/>
            <w:vAlign w:val="center"/>
          </w:tcPr>
          <w:p>
            <w:pPr>
              <w:keepLines w:val="0"/>
              <w:pageBreakBefore w:val="0"/>
              <w:kinsoku/>
              <w:wordWrap/>
              <w:overflowPunct/>
              <w:topLinePunct w:val="0"/>
              <w:autoSpaceDE/>
              <w:autoSpaceDN/>
              <w:bidi w:val="0"/>
              <w:adjustRightInd/>
              <w:snapToGrid/>
              <w:spacing w:line="360" w:lineRule="exact"/>
              <w:ind w:right="-107" w:rightChars="-51"/>
              <w:jc w:val="center"/>
              <w:textAlignment w:val="auto"/>
              <w:rPr>
                <w:rFonts w:ascii="仿宋" w:hAnsi="仿宋" w:eastAsia="仿宋" w:cs="仿宋"/>
                <w:bCs/>
                <w:sz w:val="24"/>
              </w:rPr>
            </w:pPr>
            <w:r>
              <w:rPr>
                <w:rFonts w:hint="eastAsia" w:ascii="仿宋" w:hAnsi="仿宋" w:eastAsia="仿宋" w:cs="仿宋"/>
                <w:bCs/>
                <w:sz w:val="24"/>
              </w:rPr>
              <w:t>邮编</w:t>
            </w:r>
          </w:p>
        </w:tc>
        <w:tc>
          <w:tcPr>
            <w:tcW w:w="1984" w:type="dxa"/>
            <w:gridSpan w:val="2"/>
            <w:vAlign w:val="center"/>
          </w:tcPr>
          <w:p>
            <w:pPr>
              <w:keepLines w:val="0"/>
              <w:pageBreakBefore w:val="0"/>
              <w:kinsoku/>
              <w:wordWrap/>
              <w:overflowPunct/>
              <w:topLinePunct w:val="0"/>
              <w:autoSpaceDE/>
              <w:autoSpaceDN/>
              <w:bidi w:val="0"/>
              <w:adjustRightInd/>
              <w:snapToGrid/>
              <w:spacing w:line="360" w:lineRule="exact"/>
              <w:ind w:left="149" w:hanging="148" w:hangingChars="62"/>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详细地址</w:t>
            </w:r>
          </w:p>
        </w:tc>
        <w:tc>
          <w:tcPr>
            <w:tcW w:w="7531" w:type="dxa"/>
            <w:gridSpan w:val="8"/>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联系人</w:t>
            </w:r>
          </w:p>
        </w:tc>
        <w:tc>
          <w:tcPr>
            <w:tcW w:w="3563"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3"/>
            <w:vAlign w:val="center"/>
          </w:tcPr>
          <w:p>
            <w:pPr>
              <w:keepNext/>
              <w:keepLines w:val="0"/>
              <w:pageBreakBefore w:val="0"/>
              <w:kinsoku/>
              <w:wordWrap/>
              <w:overflowPunct/>
              <w:topLinePunct w:val="0"/>
              <w:autoSpaceDE/>
              <w:autoSpaceDN/>
              <w:bidi w:val="0"/>
              <w:adjustRightInd/>
              <w:snapToGrid/>
              <w:spacing w:line="360" w:lineRule="exact"/>
              <w:jc w:val="center"/>
              <w:textAlignment w:val="auto"/>
              <w:outlineLvl w:val="0"/>
              <w:rPr>
                <w:rFonts w:ascii="仿宋" w:hAnsi="仿宋" w:eastAsia="仿宋" w:cs="仿宋"/>
                <w:bCs/>
                <w:sz w:val="24"/>
              </w:rPr>
            </w:pPr>
            <w:r>
              <w:rPr>
                <w:rFonts w:hint="eastAsia" w:ascii="仿宋" w:hAnsi="仿宋" w:eastAsia="仿宋" w:cs="仿宋"/>
                <w:bCs/>
                <w:sz w:val="24"/>
              </w:rPr>
              <w:t>E-mail</w:t>
            </w:r>
          </w:p>
        </w:tc>
        <w:tc>
          <w:tcPr>
            <w:tcW w:w="1984" w:type="dxa"/>
            <w:gridSpan w:val="2"/>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电话（区号）</w:t>
            </w:r>
          </w:p>
        </w:tc>
        <w:tc>
          <w:tcPr>
            <w:tcW w:w="3563"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传真</w:t>
            </w:r>
          </w:p>
        </w:tc>
        <w:tc>
          <w:tcPr>
            <w:tcW w:w="1984" w:type="dxa"/>
            <w:gridSpan w:val="2"/>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参班代表姓名</w:t>
            </w:r>
          </w:p>
        </w:tc>
        <w:tc>
          <w:tcPr>
            <w:tcW w:w="771"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性别</w:t>
            </w:r>
          </w:p>
        </w:tc>
        <w:tc>
          <w:tcPr>
            <w:tcW w:w="1374"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部门</w:t>
            </w:r>
          </w:p>
        </w:tc>
        <w:tc>
          <w:tcPr>
            <w:tcW w:w="1418"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职务</w:t>
            </w:r>
          </w:p>
        </w:tc>
        <w:tc>
          <w:tcPr>
            <w:tcW w:w="1984"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手机</w:t>
            </w:r>
          </w:p>
        </w:tc>
        <w:tc>
          <w:tcPr>
            <w:tcW w:w="1984" w:type="dxa"/>
            <w:gridSpan w:val="2"/>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771"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374"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418"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2"/>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771"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374"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418"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2"/>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771"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374"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418"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2"/>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771"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szCs w:val="28"/>
              </w:rPr>
            </w:pPr>
          </w:p>
        </w:tc>
        <w:tc>
          <w:tcPr>
            <w:tcW w:w="1374"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szCs w:val="28"/>
              </w:rPr>
            </w:pPr>
          </w:p>
        </w:tc>
        <w:tc>
          <w:tcPr>
            <w:tcW w:w="1418"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2"/>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 xml:space="preserve"> </w:t>
            </w:r>
          </w:p>
        </w:tc>
        <w:tc>
          <w:tcPr>
            <w:tcW w:w="771"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374"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418"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2"/>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771"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374"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418"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2"/>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771"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374"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418"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c>
          <w:tcPr>
            <w:tcW w:w="1984" w:type="dxa"/>
            <w:gridSpan w:val="2"/>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住宿安排</w:t>
            </w:r>
          </w:p>
        </w:tc>
        <w:tc>
          <w:tcPr>
            <w:tcW w:w="7531" w:type="dxa"/>
            <w:gridSpan w:val="8"/>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参会地点</w:t>
            </w:r>
          </w:p>
        </w:tc>
        <w:tc>
          <w:tcPr>
            <w:tcW w:w="4365" w:type="dxa"/>
            <w:gridSpan w:val="4"/>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上海□</w:t>
            </w:r>
          </w:p>
        </w:tc>
        <w:tc>
          <w:tcPr>
            <w:tcW w:w="1680" w:type="dxa"/>
            <w:gridSpan w:val="3"/>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培训费用</w:t>
            </w:r>
          </w:p>
        </w:tc>
        <w:tc>
          <w:tcPr>
            <w:tcW w:w="1486"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付款方式</w:t>
            </w:r>
          </w:p>
        </w:tc>
        <w:tc>
          <w:tcPr>
            <w:tcW w:w="7531" w:type="dxa"/>
            <w:gridSpan w:val="8"/>
            <w:vAlign w:val="center"/>
          </w:tcPr>
          <w:p>
            <w:pPr>
              <w:keepLines w:val="0"/>
              <w:pageBreakBefore w:val="0"/>
              <w:kinsoku/>
              <w:wordWrap/>
              <w:overflowPunct/>
              <w:topLinePunct w:val="0"/>
              <w:autoSpaceDE/>
              <w:autoSpaceDN/>
              <w:bidi w:val="0"/>
              <w:adjustRightInd/>
              <w:snapToGrid/>
              <w:spacing w:line="360" w:lineRule="exact"/>
              <w:ind w:firstLine="240" w:firstLineChars="100"/>
              <w:jc w:val="center"/>
              <w:textAlignment w:val="auto"/>
              <w:rPr>
                <w:rFonts w:ascii="仿宋" w:hAnsi="仿宋" w:eastAsia="仿宋" w:cs="仿宋"/>
                <w:bCs/>
                <w:sz w:val="24"/>
              </w:rPr>
            </w:pPr>
            <w:r>
              <w:rPr>
                <w:rFonts w:hint="eastAsia" w:ascii="仿宋" w:hAnsi="仿宋" w:eastAsia="仿宋" w:cs="仿宋"/>
                <w:bCs/>
                <w:sz w:val="24"/>
              </w:rPr>
              <w:t>□通过银行        □刷卡      □现金   □微信/支付宝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
                <w:bCs/>
                <w:sz w:val="24"/>
                <w:lang w:val="zh-CN" w:bidi="zh-CN"/>
              </w:rPr>
            </w:pPr>
            <w:r>
              <w:rPr>
                <w:rFonts w:hint="eastAsia" w:ascii="仿宋" w:hAnsi="仿宋" w:eastAsia="仿宋" w:cs="仿宋"/>
                <w:b/>
                <w:bCs/>
                <w:sz w:val="24"/>
              </w:rPr>
              <w:t>发票类别</w:t>
            </w:r>
          </w:p>
        </w:tc>
        <w:tc>
          <w:tcPr>
            <w:tcW w:w="7531" w:type="dxa"/>
            <w:gridSpan w:val="8"/>
          </w:tcPr>
          <w:p>
            <w:pPr>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pPr>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
                <w:bCs/>
                <w:sz w:val="24"/>
              </w:rPr>
            </w:pPr>
            <w:r>
              <w:rPr>
                <w:rFonts w:hint="eastAsia" w:ascii="仿宋" w:hAnsi="仿宋" w:eastAsia="仿宋" w:cs="仿宋"/>
                <w:b/>
                <w:bCs/>
                <w:sz w:val="24"/>
              </w:rPr>
              <w:t>单 位 名 称：</w:t>
            </w:r>
          </w:p>
          <w:p>
            <w:pPr>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
                <w:bCs/>
                <w:sz w:val="24"/>
              </w:rPr>
            </w:pPr>
            <w:r>
              <w:rPr>
                <w:rFonts w:hint="eastAsia" w:ascii="仿宋" w:hAnsi="仿宋" w:eastAsia="仿宋" w:cs="仿宋"/>
                <w:b/>
                <w:bCs/>
                <w:sz w:val="24"/>
              </w:rPr>
              <w:t>税       号：</w:t>
            </w:r>
          </w:p>
          <w:p>
            <w:pPr>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
                <w:bCs/>
                <w:sz w:val="24"/>
              </w:rPr>
            </w:pPr>
            <w:r>
              <w:rPr>
                <w:rFonts w:hint="eastAsia" w:ascii="仿宋" w:hAnsi="仿宋" w:eastAsia="仿宋" w:cs="仿宋"/>
                <w:b/>
                <w:bCs/>
                <w:sz w:val="24"/>
              </w:rPr>
              <w:t>地址、 电话：</w:t>
            </w:r>
          </w:p>
          <w:p>
            <w:pPr>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Cs/>
                <w:sz w:val="24"/>
              </w:rPr>
            </w:pPr>
            <w:r>
              <w:rPr>
                <w:rFonts w:hint="eastAsia" w:ascii="仿宋" w:hAnsi="仿宋" w:eastAsia="仿宋" w:cs="仿宋"/>
                <w:b/>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lang w:val="zh-CN" w:bidi="zh-CN"/>
              </w:rPr>
            </w:pPr>
            <w:r>
              <w:rPr>
                <w:rFonts w:hint="eastAsia" w:ascii="仿宋" w:hAnsi="仿宋" w:eastAsia="仿宋" w:cs="仿宋"/>
                <w:bCs/>
                <w:sz w:val="24"/>
              </w:rPr>
              <w:t>指定收款账户</w:t>
            </w:r>
          </w:p>
        </w:tc>
        <w:tc>
          <w:tcPr>
            <w:tcW w:w="7531" w:type="dxa"/>
            <w:gridSpan w:val="8"/>
            <w:vAlign w:val="center"/>
          </w:tcPr>
          <w:p>
            <w:pPr>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Cs/>
                <w:sz w:val="28"/>
                <w:szCs w:val="28"/>
                <w:lang w:val="ru-RU"/>
              </w:rPr>
            </w:pPr>
            <w:r>
              <w:rPr>
                <w:rFonts w:hint="eastAsia" w:ascii="仿宋" w:hAnsi="仿宋" w:eastAsia="仿宋" w:cs="仿宋"/>
                <w:bCs/>
                <w:sz w:val="28"/>
                <w:szCs w:val="28"/>
                <w:lang w:val="ru-RU"/>
              </w:rPr>
              <w:t>户  名：北京建术信息科技研究院有限公司</w:t>
            </w:r>
          </w:p>
          <w:p>
            <w:pPr>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Cs/>
                <w:sz w:val="28"/>
                <w:szCs w:val="28"/>
                <w:lang w:val="ru-RU"/>
              </w:rPr>
            </w:pPr>
            <w:r>
              <w:rPr>
                <w:rFonts w:hint="eastAsia" w:ascii="仿宋" w:hAnsi="仿宋" w:eastAsia="仿宋" w:cs="仿宋"/>
                <w:bCs/>
                <w:sz w:val="28"/>
                <w:szCs w:val="28"/>
                <w:lang w:val="ru-RU"/>
              </w:rPr>
              <w:t>开户行：中国建设银行股份有限公司北京昌平小汤山支行</w:t>
            </w:r>
          </w:p>
          <w:p>
            <w:pPr>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Cs/>
                <w:sz w:val="28"/>
                <w:szCs w:val="28"/>
              </w:rPr>
            </w:pPr>
            <w:r>
              <w:rPr>
                <w:rFonts w:hint="eastAsia" w:ascii="仿宋" w:hAnsi="仿宋" w:eastAsia="仿宋" w:cs="仿宋"/>
                <w:bCs/>
                <w:sz w:val="28"/>
                <w:szCs w:val="28"/>
                <w:lang w:val="ru-RU"/>
              </w:rPr>
              <w:t>账  号：1105 0110 2401 0900 0164</w:t>
            </w:r>
          </w:p>
          <w:p>
            <w:pPr>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Cs/>
                <w:sz w:val="24"/>
                <w:lang w:bidi="zh-CN"/>
              </w:rPr>
            </w:pPr>
            <w:r>
              <w:rPr>
                <w:rFonts w:hint="eastAsia" w:ascii="仿宋" w:hAnsi="仿宋" w:eastAsia="仿宋" w:cs="仿宋"/>
                <w:sz w:val="28"/>
                <w:szCs w:val="28"/>
              </w:rPr>
              <w:t>汇款后，请将银行电汇凭证传真至：010-87205552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2" w:type="dxa"/>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参会方式</w:t>
            </w:r>
          </w:p>
        </w:tc>
        <w:tc>
          <w:tcPr>
            <w:tcW w:w="7531" w:type="dxa"/>
            <w:gridSpan w:val="8"/>
            <w:vAlign w:val="center"/>
          </w:tcPr>
          <w:p>
            <w:pPr>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s="仿宋"/>
                <w:bCs/>
                <w:sz w:val="24"/>
              </w:rPr>
            </w:pPr>
            <w:r>
              <w:rPr>
                <w:rFonts w:hint="eastAsia" w:ascii="仿宋" w:hAnsi="仿宋" w:eastAsia="仿宋" w:cs="仿宋"/>
                <w:bCs/>
                <w:sz w:val="24"/>
              </w:rPr>
              <w:t>请参会单位把参会回执回传至会务组，会务组确认后即发《参会凭证》，其中将详细注明报到时间、报到地点、食宿等具体安排事项。</w:t>
            </w:r>
          </w:p>
        </w:tc>
      </w:tr>
    </w:tbl>
    <w:p>
      <w:pPr>
        <w:keepLines w:val="0"/>
        <w:pageBreakBefore w:val="0"/>
        <w:kinsoku/>
        <w:wordWrap/>
        <w:overflowPunct/>
        <w:topLinePunct w:val="0"/>
        <w:autoSpaceDE/>
        <w:autoSpaceDN/>
        <w:bidi w:val="0"/>
        <w:adjustRightInd/>
        <w:snapToGrid/>
        <w:spacing w:line="360" w:lineRule="exact"/>
        <w:textAlignment w:val="auto"/>
        <w:rPr>
          <w:rFonts w:ascii="仿宋" w:hAnsi="仿宋" w:eastAsia="仿宋"/>
          <w:bCs/>
          <w:sz w:val="28"/>
          <w:szCs w:val="28"/>
        </w:rPr>
      </w:pPr>
      <w:bookmarkStart w:id="0" w:name="_GoBack"/>
      <w:bookmarkEnd w:id="0"/>
      <w:r>
        <w:rPr>
          <w:rFonts w:hint="eastAsia" w:ascii="仿宋" w:hAnsi="仿宋" w:eastAsia="仿宋"/>
          <w:bCs/>
          <w:sz w:val="28"/>
          <w:szCs w:val="28"/>
        </w:rPr>
        <w:t>备注： 1、欢迎参会代表携带相关资料、案例赴会与专家交流学习。</w:t>
      </w:r>
    </w:p>
    <w:p>
      <w:pPr>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bCs/>
          <w:sz w:val="28"/>
          <w:szCs w:val="28"/>
        </w:rPr>
      </w:pPr>
      <w:r>
        <w:rPr>
          <w:rFonts w:hint="eastAsia" w:ascii="仿宋" w:hAnsi="仿宋" w:eastAsia="仿宋"/>
          <w:bCs/>
          <w:sz w:val="28"/>
          <w:szCs w:val="28"/>
        </w:rPr>
        <w:t xml:space="preserve">报名负责人：聂红军 主任18211071700（微信）   </w:t>
      </w:r>
    </w:p>
    <w:p>
      <w:pPr>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bCs/>
          <w:sz w:val="28"/>
          <w:szCs w:val="28"/>
        </w:rPr>
      </w:pPr>
      <w:r>
        <w:rPr>
          <w:rFonts w:hint="eastAsia" w:ascii="仿宋" w:hAnsi="仿宋" w:eastAsia="仿宋"/>
          <w:bCs/>
          <w:sz w:val="28"/>
          <w:szCs w:val="28"/>
        </w:rPr>
        <w:t xml:space="preserve">电  话：010-87697580  邮    箱：zqgphwz@126.com  </w:t>
      </w:r>
    </w:p>
    <w:p>
      <w:pPr>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bCs/>
          <w:sz w:val="28"/>
          <w:szCs w:val="28"/>
        </w:rPr>
      </w:pPr>
      <w:r>
        <w:rPr>
          <w:rFonts w:hint="eastAsia" w:ascii="仿宋" w:hAnsi="仿宋" w:eastAsia="仿宋"/>
          <w:bCs/>
          <w:sz w:val="28"/>
          <w:szCs w:val="28"/>
        </w:rPr>
        <w:t>qq咨询：3177524020 网址查询：http://www.zqgpchina.cn</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w:compa"/>
  </w:docVars>
  <w:rsids>
    <w:rsidRoot w:val="00027639"/>
    <w:rsid w:val="00027639"/>
    <w:rsid w:val="000513B4"/>
    <w:rsid w:val="002239AD"/>
    <w:rsid w:val="004F06AB"/>
    <w:rsid w:val="004F7BCB"/>
    <w:rsid w:val="00601C67"/>
    <w:rsid w:val="006C0AF0"/>
    <w:rsid w:val="006C5735"/>
    <w:rsid w:val="00780FBB"/>
    <w:rsid w:val="007C2098"/>
    <w:rsid w:val="00843CF0"/>
    <w:rsid w:val="00852A43"/>
    <w:rsid w:val="00893A6E"/>
    <w:rsid w:val="008F5B4C"/>
    <w:rsid w:val="00925B1B"/>
    <w:rsid w:val="009865BF"/>
    <w:rsid w:val="00BF6641"/>
    <w:rsid w:val="00C11E2C"/>
    <w:rsid w:val="00DD5753"/>
    <w:rsid w:val="01AE4574"/>
    <w:rsid w:val="02246087"/>
    <w:rsid w:val="02283D27"/>
    <w:rsid w:val="02E736C5"/>
    <w:rsid w:val="02EC7B2B"/>
    <w:rsid w:val="03EF1A7B"/>
    <w:rsid w:val="04B540F9"/>
    <w:rsid w:val="059A1535"/>
    <w:rsid w:val="05CB627D"/>
    <w:rsid w:val="06D1078B"/>
    <w:rsid w:val="070257B1"/>
    <w:rsid w:val="07103229"/>
    <w:rsid w:val="07107623"/>
    <w:rsid w:val="075305FE"/>
    <w:rsid w:val="075A03B2"/>
    <w:rsid w:val="09CB1100"/>
    <w:rsid w:val="0A7210C7"/>
    <w:rsid w:val="0A737B86"/>
    <w:rsid w:val="0A8D5FD1"/>
    <w:rsid w:val="0A946EB5"/>
    <w:rsid w:val="0C5A58C0"/>
    <w:rsid w:val="0F25330D"/>
    <w:rsid w:val="0F724577"/>
    <w:rsid w:val="11335E1F"/>
    <w:rsid w:val="127D248A"/>
    <w:rsid w:val="13B93AA7"/>
    <w:rsid w:val="13F353AF"/>
    <w:rsid w:val="15962717"/>
    <w:rsid w:val="16C819B2"/>
    <w:rsid w:val="17405949"/>
    <w:rsid w:val="177E216A"/>
    <w:rsid w:val="17E354E6"/>
    <w:rsid w:val="1839071D"/>
    <w:rsid w:val="1995519E"/>
    <w:rsid w:val="1C5D7946"/>
    <w:rsid w:val="1C6B75F8"/>
    <w:rsid w:val="1D807902"/>
    <w:rsid w:val="1F9B0676"/>
    <w:rsid w:val="209041B3"/>
    <w:rsid w:val="20E1336C"/>
    <w:rsid w:val="21363C77"/>
    <w:rsid w:val="214B1AB8"/>
    <w:rsid w:val="21D34E85"/>
    <w:rsid w:val="22146EA2"/>
    <w:rsid w:val="22205588"/>
    <w:rsid w:val="22B13BF7"/>
    <w:rsid w:val="22DE0403"/>
    <w:rsid w:val="242C2EB1"/>
    <w:rsid w:val="25894AE9"/>
    <w:rsid w:val="25CF331C"/>
    <w:rsid w:val="263B316A"/>
    <w:rsid w:val="272A3D8F"/>
    <w:rsid w:val="27F40B59"/>
    <w:rsid w:val="281D624C"/>
    <w:rsid w:val="284A2E8F"/>
    <w:rsid w:val="29E54625"/>
    <w:rsid w:val="2B1617BA"/>
    <w:rsid w:val="2C1B3710"/>
    <w:rsid w:val="2CF87677"/>
    <w:rsid w:val="2FEB6BAD"/>
    <w:rsid w:val="30550691"/>
    <w:rsid w:val="30786424"/>
    <w:rsid w:val="31331269"/>
    <w:rsid w:val="318560F5"/>
    <w:rsid w:val="324E3B43"/>
    <w:rsid w:val="32C42970"/>
    <w:rsid w:val="33D95DD0"/>
    <w:rsid w:val="33FB534F"/>
    <w:rsid w:val="34857C70"/>
    <w:rsid w:val="34E84457"/>
    <w:rsid w:val="3504664F"/>
    <w:rsid w:val="35D00C4E"/>
    <w:rsid w:val="35EC51ED"/>
    <w:rsid w:val="3655075B"/>
    <w:rsid w:val="377C07F6"/>
    <w:rsid w:val="387E2E52"/>
    <w:rsid w:val="38F31DD6"/>
    <w:rsid w:val="393130F5"/>
    <w:rsid w:val="39E64B64"/>
    <w:rsid w:val="3A5B6E57"/>
    <w:rsid w:val="3C1914F6"/>
    <w:rsid w:val="3C322776"/>
    <w:rsid w:val="3CE734E8"/>
    <w:rsid w:val="3DEC596B"/>
    <w:rsid w:val="3E2E5006"/>
    <w:rsid w:val="3E5945DA"/>
    <w:rsid w:val="41140FA4"/>
    <w:rsid w:val="414D55BF"/>
    <w:rsid w:val="415365F3"/>
    <w:rsid w:val="416D064F"/>
    <w:rsid w:val="445428A5"/>
    <w:rsid w:val="44F31B62"/>
    <w:rsid w:val="454A4722"/>
    <w:rsid w:val="45A21D6F"/>
    <w:rsid w:val="4607616F"/>
    <w:rsid w:val="46C85908"/>
    <w:rsid w:val="470D2E82"/>
    <w:rsid w:val="4740023F"/>
    <w:rsid w:val="480D306A"/>
    <w:rsid w:val="485A43AD"/>
    <w:rsid w:val="49100BEF"/>
    <w:rsid w:val="4B935DB5"/>
    <w:rsid w:val="4C3F71EA"/>
    <w:rsid w:val="4D01600E"/>
    <w:rsid w:val="4EB0783E"/>
    <w:rsid w:val="501E0B2E"/>
    <w:rsid w:val="508227B1"/>
    <w:rsid w:val="50843749"/>
    <w:rsid w:val="51072E29"/>
    <w:rsid w:val="514A0CA9"/>
    <w:rsid w:val="51B613A2"/>
    <w:rsid w:val="520C2832"/>
    <w:rsid w:val="5259180E"/>
    <w:rsid w:val="53632BF3"/>
    <w:rsid w:val="53672652"/>
    <w:rsid w:val="53B575D1"/>
    <w:rsid w:val="547278B4"/>
    <w:rsid w:val="54BD30D7"/>
    <w:rsid w:val="55581709"/>
    <w:rsid w:val="56D05ED4"/>
    <w:rsid w:val="57C85650"/>
    <w:rsid w:val="581A2C5C"/>
    <w:rsid w:val="59183369"/>
    <w:rsid w:val="591D44D4"/>
    <w:rsid w:val="594E2CF2"/>
    <w:rsid w:val="59D0248F"/>
    <w:rsid w:val="5B8B1239"/>
    <w:rsid w:val="5BE2525D"/>
    <w:rsid w:val="5C485A8F"/>
    <w:rsid w:val="5CDF5916"/>
    <w:rsid w:val="5D1A2BD1"/>
    <w:rsid w:val="5D5E3558"/>
    <w:rsid w:val="5D8B205D"/>
    <w:rsid w:val="5DC14469"/>
    <w:rsid w:val="5E57605E"/>
    <w:rsid w:val="5F477CD2"/>
    <w:rsid w:val="5FDE1567"/>
    <w:rsid w:val="61F90E67"/>
    <w:rsid w:val="63010E7F"/>
    <w:rsid w:val="635F7F10"/>
    <w:rsid w:val="64F6629B"/>
    <w:rsid w:val="65005A5A"/>
    <w:rsid w:val="652F01FE"/>
    <w:rsid w:val="677245A4"/>
    <w:rsid w:val="67CC4360"/>
    <w:rsid w:val="67D422AC"/>
    <w:rsid w:val="69AE723D"/>
    <w:rsid w:val="6A272DD0"/>
    <w:rsid w:val="6AAD6029"/>
    <w:rsid w:val="6ADA3941"/>
    <w:rsid w:val="6CDB2A7E"/>
    <w:rsid w:val="6DFB7150"/>
    <w:rsid w:val="6F0D5D08"/>
    <w:rsid w:val="6F214980"/>
    <w:rsid w:val="6FAC2319"/>
    <w:rsid w:val="70A616C3"/>
    <w:rsid w:val="70E54759"/>
    <w:rsid w:val="72185BDB"/>
    <w:rsid w:val="72471157"/>
    <w:rsid w:val="72BE604F"/>
    <w:rsid w:val="72F36177"/>
    <w:rsid w:val="733572E2"/>
    <w:rsid w:val="734B771E"/>
    <w:rsid w:val="7389364F"/>
    <w:rsid w:val="74325BC2"/>
    <w:rsid w:val="7477623B"/>
    <w:rsid w:val="74B943A6"/>
    <w:rsid w:val="74D10463"/>
    <w:rsid w:val="77203594"/>
    <w:rsid w:val="77402BC1"/>
    <w:rsid w:val="77C53F91"/>
    <w:rsid w:val="77E02FA1"/>
    <w:rsid w:val="785A0282"/>
    <w:rsid w:val="789B48A7"/>
    <w:rsid w:val="78CF5E67"/>
    <w:rsid w:val="795C6A1C"/>
    <w:rsid w:val="7AB4450E"/>
    <w:rsid w:val="7AE373EA"/>
    <w:rsid w:val="7B5B0882"/>
    <w:rsid w:val="7BF658CD"/>
    <w:rsid w:val="7C6C3019"/>
    <w:rsid w:val="7C84619E"/>
    <w:rsid w:val="7CE253F0"/>
    <w:rsid w:val="7D144014"/>
    <w:rsid w:val="7E962F62"/>
    <w:rsid w:val="7FFF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rPr>
      <w:kern w:val="0"/>
      <w:sz w:val="24"/>
      <w:szCs w:val="24"/>
    </w:rPr>
  </w:style>
  <w:style w:type="paragraph" w:customStyle="1" w:styleId="7">
    <w:name w:val="列出段落1"/>
    <w:basedOn w:val="1"/>
    <w:qFormat/>
    <w:uiPriority w:val="34"/>
    <w:pPr>
      <w:ind w:left="480" w:leftChars="200"/>
    </w:p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483</Words>
  <Characters>2755</Characters>
  <Lines>22</Lines>
  <Paragraphs>6</Paragraphs>
  <TotalTime>11</TotalTime>
  <ScaleCrop>false</ScaleCrop>
  <LinksUpToDate>false</LinksUpToDate>
  <CharactersWithSpaces>3232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聂红军</cp:lastModifiedBy>
  <dcterms:modified xsi:type="dcterms:W3CDTF">2023-04-05T07:46:05Z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8FA63ECFE0B54D9E8A7D436761E968E1</vt:lpwstr>
  </property>
</Properties>
</file>