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adjustRightInd w:val="0"/>
        <w:snapToGrid w:val="0"/>
        <w:spacing w:line="300" w:lineRule="exact"/>
        <w:jc w:val="center"/>
        <w:rPr>
          <w:rFonts w:hint="eastAsia" w:ascii="仿宋" w:hAnsi="仿宋" w:eastAsia="仿宋" w:cs="仿宋"/>
          <w:color w:val="000000" w:themeColor="text1"/>
          <w:spacing w:val="-12"/>
          <w:sz w:val="28"/>
          <w:szCs w:val="28"/>
          <w14:textFill>
            <w14:solidFill>
              <w14:schemeClr w14:val="tx1"/>
            </w14:solidFill>
          </w14:textFill>
        </w:rPr>
      </w:pPr>
    </w:p>
    <w:p>
      <w:pPr>
        <w:adjustRightInd w:val="0"/>
        <w:snapToGrid w:val="0"/>
        <w:spacing w:line="300" w:lineRule="exact"/>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77470</wp:posOffset>
                </wp:positionV>
                <wp:extent cx="5681980" cy="6985"/>
                <wp:effectExtent l="0" t="0" r="0" b="0"/>
                <wp:wrapNone/>
                <wp:docPr id="3" name="直接连接符 1"/>
                <wp:cNvGraphicFramePr/>
                <a:graphic xmlns:a="http://schemas.openxmlformats.org/drawingml/2006/main">
                  <a:graphicData uri="http://schemas.microsoft.com/office/word/2010/wordprocessingShape">
                    <wps:wsp>
                      <wps:cNvCnPr/>
                      <wps:spPr>
                        <a:xfrm>
                          <a:off x="409575" y="2267585"/>
                          <a:ext cx="5681980" cy="698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55pt;width:447.4pt;z-index:251661312;mso-width-relative:page;mso-height-relative:page;" filled="f" stroked="t" coordsize="21600,21600" o:gfxdata="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FyJ7&#10;1gAAAAgBAAAPAAAAAAAAAAEAIAAAACIAAABkcnMvZG93bnJldi54bWxQSwECFAAUAAAACACHTuJA&#10;IeEsVOoBAACnAwAADgAAAAAAAAABACAAAAAlAQAAZHJzL2Uyb0RvYy54bWxQSwUGAAAAAAYABgBZ&#10;AQAAgQUAAAAA&#10;">
                <v:fill on="f" focussize="0,0"/>
                <v:stroke weight="2.25pt" color="#FF0000" joinstyle="round"/>
                <v:imagedata o:title=""/>
                <o:lock v:ext="edit" aspectratio="f"/>
              </v:line>
            </w:pict>
          </mc:Fallback>
        </mc:AlternateContent>
      </w:r>
    </w:p>
    <w:p>
      <w:pPr>
        <w:spacing w:line="300" w:lineRule="exact"/>
        <w:rPr>
          <w:rFonts w:hint="eastAsia" w:ascii="仿宋" w:hAnsi="仿宋" w:eastAsia="仿宋" w:cs="仿宋"/>
          <w:snapToGrid w:val="0"/>
          <w:color w:val="000000"/>
          <w:kern w:val="20"/>
          <w:position w:val="-4"/>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val="0"/>
          <w:sz w:val="36"/>
          <w:szCs w:val="36"/>
        </w:rPr>
      </w:pPr>
      <w:r>
        <w:rPr>
          <w:rFonts w:hint="eastAsia" w:ascii="华文中宋" w:hAnsi="华文中宋" w:eastAsia="华文中宋" w:cs="华文中宋"/>
          <w:b/>
          <w:bCs w:val="0"/>
          <w:sz w:val="36"/>
          <w:szCs w:val="36"/>
        </w:rPr>
        <w:t>关于举办建设项目安全生产</w:t>
      </w:r>
      <w:r>
        <w:rPr>
          <w:rFonts w:hint="eastAsia" w:ascii="华文中宋" w:hAnsi="华文中宋" w:eastAsia="华文中宋" w:cs="华文中宋"/>
          <w:b/>
          <w:bCs w:val="0"/>
          <w:sz w:val="36"/>
          <w:szCs w:val="36"/>
          <w:lang w:val="en-US" w:eastAsia="zh-CN"/>
        </w:rPr>
        <w:t>与</w:t>
      </w:r>
      <w:r>
        <w:rPr>
          <w:rFonts w:hint="eastAsia" w:ascii="华文中宋" w:hAnsi="华文中宋" w:eastAsia="华文中宋" w:cs="华文中宋"/>
          <w:b/>
          <w:bCs w:val="0"/>
          <w:sz w:val="36"/>
          <w:szCs w:val="36"/>
        </w:rPr>
        <w:t>“危大工程”</w:t>
      </w:r>
      <w:r>
        <w:rPr>
          <w:rFonts w:hint="eastAsia" w:ascii="华文中宋" w:hAnsi="华文中宋" w:eastAsia="华文中宋" w:cs="华文中宋"/>
          <w:b/>
          <w:bCs w:val="0"/>
          <w:sz w:val="36"/>
          <w:szCs w:val="36"/>
          <w:lang w:eastAsia="zh-CN"/>
        </w:rPr>
        <w:t>全过程</w:t>
      </w:r>
      <w:r>
        <w:rPr>
          <w:rFonts w:hint="eastAsia" w:ascii="华文中宋" w:hAnsi="华文中宋" w:eastAsia="华文中宋" w:cs="华文中宋"/>
          <w:b/>
          <w:bCs w:val="0"/>
          <w:sz w:val="36"/>
          <w:szCs w:val="36"/>
        </w:rPr>
        <w:t>安全管理风险</w:t>
      </w:r>
      <w:r>
        <w:rPr>
          <w:rFonts w:hint="eastAsia" w:ascii="华文中宋" w:hAnsi="华文中宋" w:eastAsia="华文中宋" w:cs="华文中宋"/>
          <w:b/>
          <w:bCs w:val="0"/>
          <w:sz w:val="36"/>
          <w:szCs w:val="36"/>
          <w:lang w:val="en-US" w:eastAsia="zh-CN"/>
        </w:rPr>
        <w:t>防范</w:t>
      </w:r>
      <w:r>
        <w:rPr>
          <w:rFonts w:hint="eastAsia" w:ascii="华文中宋" w:hAnsi="华文中宋" w:eastAsia="华文中宋" w:cs="华文中宋"/>
          <w:b/>
          <w:bCs w:val="0"/>
          <w:sz w:val="36"/>
          <w:szCs w:val="36"/>
        </w:rPr>
        <w:t>专题培训班的通知</w:t>
      </w:r>
    </w:p>
    <w:p>
      <w:pPr>
        <w:adjustRightInd w:val="0"/>
        <w:snapToGrid w:val="0"/>
        <w:spacing w:line="300" w:lineRule="exact"/>
        <w:jc w:val="both"/>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lang w:val="en-US" w:eastAsia="zh-CN"/>
        </w:rPr>
        <w:t xml:space="preserve">                                              </w:t>
      </w: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46</w:t>
      </w:r>
      <w:r>
        <w:rPr>
          <w:rFonts w:hint="eastAsia" w:ascii="宋体" w:hAnsi="宋体" w:eastAsia="宋体" w:cs="宋体"/>
          <w:b/>
          <w:bCs/>
          <w:color w:val="000000" w:themeColor="text1"/>
          <w:spacing w:val="-12"/>
          <w:sz w:val="28"/>
          <w:szCs w:val="28"/>
          <w14:textFill>
            <w14:solidFill>
              <w14:schemeClr w14:val="tx1"/>
            </w14:solidFill>
          </w14:textFill>
        </w:rPr>
        <w:t>号</w:t>
      </w:r>
    </w:p>
    <w:p>
      <w:pPr>
        <w:spacing w:line="320" w:lineRule="exact"/>
        <w:jc w:val="left"/>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各有关单位</w:t>
      </w:r>
      <w:r>
        <w:rPr>
          <w:rFonts w:ascii="仿宋" w:hAnsi="仿宋" w:eastAsia="仿宋" w:cs="仿宋_GB2312"/>
          <w:b/>
          <w:bCs/>
          <w:color w:val="000000"/>
          <w:w w:val="90"/>
          <w:sz w:val="28"/>
          <w:szCs w:val="28"/>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我国建筑业规模庞大，在建工程数量持续保持在高位，近期安全生产重大事故接连发生，事故总量同比增加，安全形势异常严峻。事故主要原因是部分施工单位安全生产红线意识不牢，存在侥幸心理，大部分的事故中施工单位总承包、专业承包、劳务分包关系界限不清、职责不明，现场管理混乱，以包代管、包而不管，安全技术交底和培训教育流于形式，不按专项方案施工，施工现场违规违章行为普遍，直接导致事故发生；建设、监理等单位未严格对工程项目进行监督管理，对施工现场安全隐患督促整改不力。国务院近期印发《全国重大事故隐患专项排查整治</w:t>
      </w:r>
      <w:r>
        <w:rPr>
          <w:rFonts w:hint="default" w:ascii="仿宋" w:hAnsi="仿宋" w:eastAsia="仿宋" w:cs="仿宋"/>
          <w:color w:val="000000"/>
          <w:spacing w:val="10"/>
          <w:kern w:val="2"/>
          <w:sz w:val="28"/>
          <w:szCs w:val="28"/>
          <w:shd w:val="clear" w:color="auto" w:fill="auto"/>
          <w:lang w:val="en-US" w:eastAsia="zh-CN" w:bidi="ar-SA"/>
        </w:rPr>
        <w:t>2023</w:t>
      </w:r>
      <w:r>
        <w:rPr>
          <w:rFonts w:hint="eastAsia" w:ascii="仿宋" w:hAnsi="仿宋" w:eastAsia="仿宋" w:cs="仿宋"/>
          <w:color w:val="000000"/>
          <w:spacing w:val="10"/>
          <w:kern w:val="2"/>
          <w:sz w:val="28"/>
          <w:szCs w:val="28"/>
          <w:shd w:val="clear" w:color="auto" w:fill="auto"/>
          <w:lang w:val="en-US" w:eastAsia="zh-CN" w:bidi="ar-SA"/>
        </w:rPr>
        <w:t>行动总体方案》，要求各有关部门和企业守牢安全生产底线红线，切实消除重大安全隐患，坚决遏制重特大事故发生。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帮助相关单位学习和掌握建设领域最新安全政策、标准规范，落实建设项目安全要求，保障生命安全。我会决定举办建设项目安全生产与“危大工程”全过程安全管理风险防范专题培训班。本次培训班由中国国际工程咨询协会主办，</w:t>
      </w:r>
      <w:r>
        <w:rPr>
          <w:rFonts w:hint="eastAsia" w:ascii="仿宋" w:hAnsi="仿宋" w:eastAsia="仿宋" w:cs="仿宋"/>
          <w:color w:val="000000"/>
          <w:spacing w:val="10"/>
          <w:kern w:val="2"/>
          <w:sz w:val="28"/>
          <w:szCs w:val="28"/>
          <w:shd w:val="clear" w:color="auto" w:fill="auto"/>
          <w:lang w:val="zh-CN" w:eastAsia="zh-CN" w:bidi="ar-SA"/>
        </w:rPr>
        <w:t>北京中科领航教育咨询有限公司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44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一、培训内容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rPr>
        <w:t>（一）</w:t>
      </w:r>
      <w:r>
        <w:rPr>
          <w:rFonts w:hint="eastAsia" w:ascii="仿宋" w:hAnsi="仿宋" w:eastAsia="仿宋" w:cs="仿宋"/>
          <w:b/>
          <w:bCs/>
          <w:color w:val="000000"/>
          <w:w w:val="90"/>
          <w:kern w:val="2"/>
          <w:sz w:val="28"/>
          <w:szCs w:val="28"/>
          <w:lang w:eastAsia="zh-CN"/>
        </w:rPr>
        <w:t>建设项目安全生产</w:t>
      </w:r>
      <w:r>
        <w:rPr>
          <w:rFonts w:hint="eastAsia" w:ascii="仿宋" w:hAnsi="仿宋" w:eastAsia="仿宋" w:cs="仿宋"/>
          <w:b/>
          <w:bCs/>
          <w:color w:val="000000"/>
          <w:w w:val="90"/>
          <w:kern w:val="2"/>
          <w:sz w:val="28"/>
          <w:szCs w:val="28"/>
          <w:lang w:val="en-US" w:eastAsia="zh-CN"/>
        </w:rPr>
        <w:t>风险防范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1.《安全生产法-2021》和《“十四五”国家安全生产规划》解读；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2.《全国重大事故隐患专项排查整治</w:t>
      </w:r>
      <w:r>
        <w:rPr>
          <w:rFonts w:hint="default" w:ascii="仿宋" w:hAnsi="仿宋" w:eastAsia="仿宋" w:cs="仿宋"/>
          <w:color w:val="000000"/>
          <w:spacing w:val="10"/>
          <w:kern w:val="2"/>
          <w:sz w:val="28"/>
          <w:szCs w:val="28"/>
          <w:shd w:val="clear" w:color="auto" w:fill="auto"/>
          <w:lang w:val="en-US" w:eastAsia="zh-CN" w:bidi="ar-SA"/>
        </w:rPr>
        <w:t>2023</w:t>
      </w:r>
      <w:r>
        <w:rPr>
          <w:rFonts w:hint="eastAsia" w:ascii="仿宋" w:hAnsi="仿宋" w:eastAsia="仿宋" w:cs="仿宋"/>
          <w:color w:val="000000"/>
          <w:spacing w:val="10"/>
          <w:kern w:val="2"/>
          <w:sz w:val="28"/>
          <w:szCs w:val="28"/>
          <w:shd w:val="clear" w:color="auto" w:fill="auto"/>
          <w:lang w:val="en-US" w:eastAsia="zh-CN" w:bidi="ar-SA"/>
        </w:rPr>
        <w:t>行动总体方案》重点解读；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3.现代企业安全生产管理；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4.安全风险管控与隐患排查治理双重预防机制建设；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5.企业安全生产标准化管理体系思路与建设和规范解读；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6.安全生产主体责任解读及落实;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7.企业安全事故应急预案编写与应急演练指南及《生产经营单位生产安全事故应急预案编制导则》（GB/T 29639-2020）解读；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bidi="ar-SA"/>
        </w:rPr>
        <w:t>8.安全生产事故案例分析。</w:t>
      </w:r>
    </w:p>
    <w:p>
      <w:pPr>
        <w:keepNext w:val="0"/>
        <w:keepLines w:val="0"/>
        <w:pageBreakBefore w:val="0"/>
        <w:tabs>
          <w:tab w:val="left" w:pos="567"/>
          <w:tab w:val="left" w:pos="709"/>
          <w:tab w:val="left" w:pos="851"/>
          <w:tab w:val="right" w:leader="dot" w:pos="8296"/>
        </w:tabs>
        <w:kinsoku/>
        <w:wordWrap/>
        <w:overflowPunct/>
        <w:topLinePunct w:val="0"/>
        <w:autoSpaceDE/>
        <w:autoSpaceDN/>
        <w:bidi w:val="0"/>
        <w:adjustRightInd/>
        <w:snapToGrid/>
        <w:spacing w:line="400" w:lineRule="exact"/>
        <w:ind w:leftChars="0" w:firstLine="253" w:firstLineChars="100"/>
        <w:jc w:val="left"/>
        <w:rPr>
          <w:rFonts w:hint="eastAsia" w:ascii="仿宋" w:hAnsi="仿宋" w:eastAsia="仿宋" w:cs="仿宋"/>
          <w:b/>
          <w:w w:val="90"/>
          <w:kern w:val="0"/>
          <w:sz w:val="28"/>
          <w:szCs w:val="28"/>
        </w:rPr>
      </w:pPr>
      <w:r>
        <w:rPr>
          <w:rFonts w:hint="eastAsia" w:ascii="仿宋" w:hAnsi="仿宋" w:eastAsia="仿宋" w:cs="仿宋"/>
          <w:b/>
          <w:w w:val="90"/>
          <w:kern w:val="0"/>
          <w:sz w:val="28"/>
          <w:szCs w:val="28"/>
        </w:rPr>
        <w:t>（二）</w:t>
      </w:r>
      <w:r>
        <w:rPr>
          <w:rFonts w:hint="eastAsia" w:ascii="仿宋" w:hAnsi="仿宋" w:eastAsia="仿宋" w:cs="仿宋"/>
          <w:b/>
          <w:w w:val="90"/>
          <w:sz w:val="28"/>
          <w:szCs w:val="28"/>
        </w:rPr>
        <w:t>建设</w:t>
      </w:r>
      <w:r>
        <w:rPr>
          <w:rFonts w:hint="eastAsia" w:ascii="仿宋" w:hAnsi="仿宋" w:eastAsia="仿宋" w:cs="仿宋"/>
          <w:b/>
          <w:bCs/>
          <w:w w:val="90"/>
          <w:sz w:val="28"/>
          <w:szCs w:val="28"/>
        </w:rPr>
        <w:t>项目</w:t>
      </w:r>
      <w:r>
        <w:rPr>
          <w:rFonts w:hint="eastAsia" w:ascii="仿宋" w:hAnsi="仿宋" w:eastAsia="仿宋" w:cs="仿宋"/>
          <w:b/>
          <w:w w:val="90"/>
          <w:kern w:val="0"/>
          <w:sz w:val="28"/>
          <w:szCs w:val="28"/>
        </w:rPr>
        <w:t>安全生产管理实务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1.项目安全生产管理计划应满足事故预防的管理要求，并应符合的规定；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bookmarkStart w:id="0" w:name="_Toc419217405"/>
      <w:r>
        <w:rPr>
          <w:rFonts w:hint="eastAsia" w:ascii="仿宋" w:hAnsi="仿宋" w:eastAsia="仿宋" w:cs="仿宋"/>
          <w:color w:val="000000"/>
          <w:spacing w:val="10"/>
          <w:kern w:val="2"/>
          <w:sz w:val="28"/>
          <w:szCs w:val="28"/>
          <w:shd w:val="clear" w:color="auto" w:fill="auto"/>
          <w:lang w:val="en-US" w:eastAsia="zh-CN" w:bidi="ar-SA"/>
        </w:rPr>
        <w:t>2.施工现场的安全生产管理应符合的要求；</w:t>
      </w:r>
    </w:p>
    <w:bookmarkEnd w:id="0"/>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3.项目管理机构应急准备与响应预案应包括的内容；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4.组织应按相关规定实施项目安全生产管理评价，评估项目安全生产能力满足规定要求的程度；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5.安全生产管理检查与评价的程序、方法、标准、评价人员应执行的相关规定；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6.项目管理机构实施项目安全管理标准化工作，开展安全文明工地建设活动的有关要求。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 xml:space="preserve"> </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三</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建设工程安全风险分级管控与关键技术实务操作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w w:val="90"/>
          <w:kern w:val="2"/>
          <w:sz w:val="28"/>
          <w:szCs w:val="28"/>
        </w:rPr>
      </w:pPr>
      <w:r>
        <w:rPr>
          <w:rFonts w:hint="eastAsia" w:ascii="仿宋" w:hAnsi="仿宋" w:eastAsia="仿宋" w:cs="仿宋"/>
          <w:color w:val="000000"/>
          <w:spacing w:val="10"/>
          <w:kern w:val="2"/>
          <w:sz w:val="28"/>
          <w:szCs w:val="28"/>
          <w:shd w:val="clear" w:color="auto" w:fill="auto"/>
          <w:lang w:val="en-US" w:eastAsia="zh-CN" w:bidi="ar-SA"/>
        </w:rPr>
        <w:t>（3）高处作业吊篮事故</w:t>
      </w:r>
      <w:r>
        <w:rPr>
          <w:rFonts w:hint="eastAsia" w:ascii="仿宋" w:hAnsi="仿宋" w:eastAsia="仿宋" w:cs="仿宋"/>
          <w:color w:val="000000"/>
          <w:w w:val="90"/>
          <w:kern w:val="2"/>
          <w:sz w:val="28"/>
          <w:szCs w:val="28"/>
        </w:rPr>
        <w:t>案例分析；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504" w:firstLineChars="200"/>
        <w:jc w:val="both"/>
        <w:rPr>
          <w:rFonts w:hint="eastAsia" w:ascii="仿宋" w:hAnsi="仿宋" w:eastAsia="仿宋" w:cs="仿宋"/>
          <w:color w:val="000000"/>
          <w:w w:val="90"/>
          <w:kern w:val="2"/>
          <w:sz w:val="28"/>
          <w:szCs w:val="28"/>
        </w:rPr>
      </w:pPr>
      <w:r>
        <w:rPr>
          <w:rFonts w:hint="eastAsia" w:ascii="仿宋" w:hAnsi="仿宋" w:eastAsia="仿宋" w:cs="仿宋"/>
          <w:color w:val="000000"/>
          <w:w w:val="90"/>
          <w:kern w:val="2"/>
          <w:sz w:val="28"/>
          <w:szCs w:val="28"/>
        </w:rPr>
        <w:t>4</w:t>
      </w:r>
      <w:r>
        <w:rPr>
          <w:rFonts w:hint="eastAsia" w:ascii="仿宋" w:hAnsi="仿宋" w:eastAsia="仿宋" w:cs="仿宋"/>
          <w:color w:val="000000"/>
          <w:w w:val="90"/>
          <w:kern w:val="2"/>
          <w:sz w:val="28"/>
          <w:szCs w:val="28"/>
          <w:lang w:eastAsia="zh-CN"/>
        </w:rPr>
        <w:t>.</w:t>
      </w:r>
      <w:r>
        <w:rPr>
          <w:rFonts w:hint="eastAsia" w:ascii="仿宋" w:hAnsi="仿宋" w:eastAsia="仿宋" w:cs="仿宋"/>
          <w:color w:val="000000"/>
          <w:w w:val="90"/>
          <w:kern w:val="2"/>
          <w:sz w:val="28"/>
          <w:szCs w:val="28"/>
        </w:rPr>
        <w:t>模板支架应用技术。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(四)建设施工过程中安全隐患排查治理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(五)危大工程安全管理实务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（六）安全管理信息化建设项目解决方案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1.建筑施工安全信息化管理现状；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2.基于网络及数据的安全管理信息系统；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3.隐患排查标准不统一；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4.隐患整改跟进落实不到位；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5.安全教育培训管理易疏漏。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（七）如何规避安全事故引起的刑事法律风险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2.企业主要负责人和安全生产管理人员常见的刑事法律风险；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3.典型的安全事故追责案件辩护实录及精解；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4.刑辩律师视角下看企业主要负责人和安全生产管理人员应如何规避安全事故引发的刑事法律风险。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施工单位主要安全负责人、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3" w:firstLineChars="1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2023年06月15日—06月18日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 青岛市</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（15日全天报到）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2023年07月13日—07月16日    贵阳市 （13日全天报到）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2023年08月10日—08月13日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昆明</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市</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（10日全天报到）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2023年08月25日—08月28日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银川</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市</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（25日全天报到）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2023年09月22日—09月25日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珠海</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市</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（22日全天报到）</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3"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B.5600元/人（含培训、资料、电子课件、场地、证书及培训期间午餐），住宿统一安排，费用自理。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t>六、课程权益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1.本培训班常年举办，本人全年免费复训一次，只交资料费300元即可；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2.推送各类行业政策新闻及专家解读相关资讯信息；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rPr>
      </w:pPr>
      <w:r>
        <w:rPr>
          <w:rFonts w:hint="eastAsia" w:ascii="仿宋" w:hAnsi="仿宋" w:eastAsia="仿宋" w:cs="仿宋"/>
          <w:color w:val="000000"/>
          <w:spacing w:val="10"/>
          <w:kern w:val="2"/>
          <w:sz w:val="28"/>
          <w:szCs w:val="28"/>
          <w:shd w:val="clear" w:color="auto" w:fill="auto"/>
          <w:lang w:val="en-US" w:eastAsia="zh-CN"/>
        </w:rPr>
        <w:t>培训结束后，经考核合格，由我会颁发“《安全总监》、《安全管理工程师》”证书。</w:t>
      </w:r>
      <w:r>
        <w:rPr>
          <w:rFonts w:ascii="仿宋" w:hAnsi="仿宋" w:eastAsia="仿宋" w:cs="仿宋"/>
          <w:bCs/>
          <w:kern w:val="2"/>
          <w:sz w:val="28"/>
          <w:szCs w:val="28"/>
        </w:rPr>
        <w:t>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3"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七</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bCs/>
          <w:color w:val="000000"/>
          <w:w w:val="90"/>
          <w:sz w:val="28"/>
          <w:szCs w:val="28"/>
        </w:rPr>
      </w:pPr>
      <w:r>
        <w:rPr>
          <w:rFonts w:hint="eastAsia" w:ascii="仿宋" w:hAnsi="仿宋" w:eastAsia="仿宋" w:cs="仿宋"/>
          <w:color w:val="000000"/>
          <w:spacing w:val="10"/>
          <w:kern w:val="2"/>
          <w:sz w:val="28"/>
          <w:szCs w:val="28"/>
          <w:shd w:val="clear" w:color="auto" w:fill="auto"/>
          <w:lang w:val="en-US" w:eastAsia="zh-CN"/>
        </w:rPr>
        <w:t>qq咨询：3177524020        网    址：http://www.zqgpchina.cn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3422015</wp:posOffset>
            </wp:positionH>
            <wp:positionV relativeFrom="paragraph">
              <wp:posOffset>248285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5">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二〇二三年五月六日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2"/>
        <w:rPr>
          <w:rFonts w:ascii="宋体" w:hAnsi="宋体"/>
          <w:b/>
          <w:w w:val="90"/>
          <w:sz w:val="28"/>
          <w:szCs w:val="28"/>
        </w:rPr>
      </w:pPr>
    </w:p>
    <w:p>
      <w:pPr>
        <w:rPr>
          <w:rFonts w:ascii="宋体" w:hAnsi="宋体"/>
          <w:b/>
          <w:w w:val="90"/>
          <w:sz w:val="28"/>
          <w:szCs w:val="28"/>
        </w:rPr>
      </w:pPr>
    </w:p>
    <w:p>
      <w:pPr>
        <w:pStyle w:val="2"/>
        <w:rPr>
          <w:rFonts w:ascii="宋体" w:hAnsi="宋体"/>
          <w:b/>
          <w:w w:val="90"/>
          <w:sz w:val="28"/>
          <w:szCs w:val="28"/>
        </w:rPr>
      </w:pPr>
    </w:p>
    <w:p/>
    <w:p>
      <w:pPr>
        <w:tabs>
          <w:tab w:val="left" w:pos="567"/>
          <w:tab w:val="left" w:pos="709"/>
        </w:tabs>
        <w:spacing w:line="320" w:lineRule="exact"/>
        <w:jc w:val="both"/>
        <w:textAlignment w:val="baseline"/>
        <w:outlineLvl w:val="0"/>
        <w:rPr>
          <w:rFonts w:hint="eastAsia" w:ascii="仿宋" w:hAnsi="仿宋" w:eastAsia="仿宋" w:cs="仿宋"/>
          <w:b/>
          <w:bCs w:val="0"/>
          <w:sz w:val="32"/>
          <w:szCs w:val="32"/>
        </w:rPr>
      </w:pP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
          <w:b/>
          <w:bCs w:val="0"/>
          <w:sz w:val="32"/>
          <w:szCs w:val="32"/>
        </w:rPr>
        <w:t>建设项目安全生产</w:t>
      </w:r>
      <w:r>
        <w:rPr>
          <w:rFonts w:hint="eastAsia" w:ascii="仿宋" w:hAnsi="仿宋" w:eastAsia="仿宋" w:cs="仿宋"/>
          <w:b/>
          <w:bCs w:val="0"/>
          <w:sz w:val="32"/>
          <w:szCs w:val="32"/>
          <w:lang w:val="en-US" w:eastAsia="zh-CN"/>
        </w:rPr>
        <w:t>与</w:t>
      </w:r>
      <w:r>
        <w:rPr>
          <w:rFonts w:hint="eastAsia" w:ascii="仿宋" w:hAnsi="仿宋" w:eastAsia="仿宋" w:cs="仿宋"/>
          <w:b/>
          <w:bCs w:val="0"/>
          <w:sz w:val="32"/>
          <w:szCs w:val="32"/>
        </w:rPr>
        <w:t>“危大工程”</w:t>
      </w:r>
      <w:r>
        <w:rPr>
          <w:rFonts w:hint="eastAsia" w:ascii="仿宋" w:hAnsi="仿宋" w:eastAsia="仿宋" w:cs="仿宋"/>
          <w:b/>
          <w:bCs w:val="0"/>
          <w:sz w:val="32"/>
          <w:szCs w:val="32"/>
          <w:lang w:eastAsia="zh-CN"/>
        </w:rPr>
        <w:t>全过程</w:t>
      </w:r>
      <w:r>
        <w:rPr>
          <w:rFonts w:hint="eastAsia" w:ascii="仿宋" w:hAnsi="仿宋" w:eastAsia="仿宋" w:cs="仿宋"/>
          <w:b/>
          <w:bCs w:val="0"/>
          <w:sz w:val="32"/>
          <w:szCs w:val="32"/>
        </w:rPr>
        <w:t>安全管理风险</w:t>
      </w:r>
      <w:r>
        <w:rPr>
          <w:rFonts w:hint="eastAsia" w:ascii="仿宋" w:hAnsi="仿宋" w:eastAsia="仿宋" w:cs="仿宋"/>
          <w:b/>
          <w:bCs w:val="0"/>
          <w:sz w:val="32"/>
          <w:szCs w:val="32"/>
          <w:lang w:val="en-US" w:eastAsia="zh-CN"/>
        </w:rPr>
        <w:t>防范</w:t>
      </w:r>
      <w:r>
        <w:rPr>
          <w:rFonts w:hint="eastAsia" w:ascii="仿宋" w:hAnsi="仿宋" w:eastAsia="仿宋" w:cs="仿宋"/>
          <w:b/>
          <w:bCs w:val="0"/>
          <w:sz w:val="32"/>
          <w:szCs w:val="32"/>
        </w:rPr>
        <w:t>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eastAsia="zh-CN"/>
              </w:rPr>
              <w:t>账</w:t>
            </w:r>
            <w:r>
              <w:rPr>
                <w:rFonts w:hint="eastAsia" w:ascii="仿宋" w:hAnsi="仿宋" w:eastAsia="仿宋" w:cs="仿宋"/>
                <w:bCs/>
                <w:w w:val="100"/>
                <w:sz w:val="24"/>
                <w:szCs w:val="24"/>
                <w:lang w:val="zh-CN"/>
              </w:rPr>
              <w:t xml:space="preserve">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w:t>
            </w:r>
            <w:r>
              <w:rPr>
                <w:rFonts w:hint="eastAsia" w:ascii="仿宋" w:hAnsi="仿宋" w:eastAsia="仿宋" w:cs="仿宋"/>
                <w:bCs/>
                <w:w w:val="100"/>
                <w:sz w:val="24"/>
                <w:szCs w:val="24"/>
                <w:lang w:val="en-US" w:eastAsia="zh-CN"/>
              </w:rPr>
              <w:t>76612</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报名负责人：聂红军 主任18211071700（微信）   </w:t>
      </w:r>
    </w:p>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电  话：13141289128        邮    箱：zqgphwz@126.com  </w:t>
      </w:r>
    </w:p>
    <w:p>
      <w:pPr>
        <w:spacing w:line="400" w:lineRule="exact"/>
        <w:rPr>
          <w:rFonts w:ascii="仿宋" w:hAnsi="仿宋" w:eastAsia="仿宋" w:cs="仿宋_GB2312"/>
          <w:bCs/>
          <w:color w:val="000000"/>
          <w:sz w:val="28"/>
          <w:szCs w:val="28"/>
        </w:rPr>
      </w:pPr>
      <w:r>
        <w:rPr>
          <w:rStyle w:val="11"/>
          <w:rFonts w:hint="eastAsia" w:ascii="仿宋" w:hAnsi="仿宋" w:eastAsia="仿宋" w:cs="仿宋"/>
          <w:b w:val="0"/>
          <w:bCs w:val="0"/>
          <w:color w:val="000000"/>
          <w:sz w:val="28"/>
          <w:szCs w:val="28"/>
          <w:lang w:val="zh-CN"/>
        </w:rPr>
        <w:t>qq咨询：3177524020        网    址：http://www.zqgpchina.cn</w:t>
      </w:r>
      <w:bookmarkStart w:id="1" w:name="_GoBack"/>
      <w:bookmarkEnd w:id="1"/>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bGRr0QAAAAIBAAAPAAAAAAAA&#10;AAEAIAAAACIAAABkcnMvZG93bnJldi54bWxQSwECFAAUAAAACACHTuJA7v01HRkCAAASBAAADgAA&#10;AAAAAAABACAAAAAgAQAAZHJzL2Uyb0RvYy54bWxQSwUGAAAAAAYABgBZAQAAq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M4Y2FiYTQ0ZDExNjg0MjEzZDViYjkxMTI4NDI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3CE231F"/>
    <w:rsid w:val="063F1274"/>
    <w:rsid w:val="07097292"/>
    <w:rsid w:val="07D01B5E"/>
    <w:rsid w:val="086B2BCC"/>
    <w:rsid w:val="08C2594B"/>
    <w:rsid w:val="094B11BC"/>
    <w:rsid w:val="0A971D96"/>
    <w:rsid w:val="0B30198C"/>
    <w:rsid w:val="0E767C02"/>
    <w:rsid w:val="101133B7"/>
    <w:rsid w:val="105129C5"/>
    <w:rsid w:val="107C6D27"/>
    <w:rsid w:val="1149633E"/>
    <w:rsid w:val="149061D5"/>
    <w:rsid w:val="14AE254B"/>
    <w:rsid w:val="173533D7"/>
    <w:rsid w:val="1FB12AFA"/>
    <w:rsid w:val="22D84291"/>
    <w:rsid w:val="24DC4D6F"/>
    <w:rsid w:val="26E522F3"/>
    <w:rsid w:val="27F96D69"/>
    <w:rsid w:val="281612B4"/>
    <w:rsid w:val="2944586D"/>
    <w:rsid w:val="2B7546E9"/>
    <w:rsid w:val="2DC203B6"/>
    <w:rsid w:val="2E58122D"/>
    <w:rsid w:val="3391591B"/>
    <w:rsid w:val="33A41AA3"/>
    <w:rsid w:val="343F5187"/>
    <w:rsid w:val="357B0FAE"/>
    <w:rsid w:val="3699743B"/>
    <w:rsid w:val="37610C7D"/>
    <w:rsid w:val="379813FB"/>
    <w:rsid w:val="37C82AE4"/>
    <w:rsid w:val="39491CE4"/>
    <w:rsid w:val="3A2B124D"/>
    <w:rsid w:val="3D2A7B71"/>
    <w:rsid w:val="3E664B6D"/>
    <w:rsid w:val="437B6926"/>
    <w:rsid w:val="438651D3"/>
    <w:rsid w:val="446529ED"/>
    <w:rsid w:val="44A616A1"/>
    <w:rsid w:val="451E56DB"/>
    <w:rsid w:val="458E7036"/>
    <w:rsid w:val="460D2589"/>
    <w:rsid w:val="47415467"/>
    <w:rsid w:val="4777325F"/>
    <w:rsid w:val="4930203C"/>
    <w:rsid w:val="4B6556D7"/>
    <w:rsid w:val="4B8359A5"/>
    <w:rsid w:val="4BE0656F"/>
    <w:rsid w:val="4DD354BD"/>
    <w:rsid w:val="50957218"/>
    <w:rsid w:val="50C81726"/>
    <w:rsid w:val="5236594B"/>
    <w:rsid w:val="527F2630"/>
    <w:rsid w:val="5453405A"/>
    <w:rsid w:val="54683335"/>
    <w:rsid w:val="55067F3A"/>
    <w:rsid w:val="57CA5049"/>
    <w:rsid w:val="57E15B41"/>
    <w:rsid w:val="5BDF1AF2"/>
    <w:rsid w:val="5C3816D7"/>
    <w:rsid w:val="5FB47DE5"/>
    <w:rsid w:val="600F05EB"/>
    <w:rsid w:val="615D0EE2"/>
    <w:rsid w:val="638A686D"/>
    <w:rsid w:val="63B84051"/>
    <w:rsid w:val="648D71A0"/>
    <w:rsid w:val="657137AC"/>
    <w:rsid w:val="65CF4766"/>
    <w:rsid w:val="66EB6240"/>
    <w:rsid w:val="67684FD9"/>
    <w:rsid w:val="68DB306A"/>
    <w:rsid w:val="699279AE"/>
    <w:rsid w:val="69DE4C53"/>
    <w:rsid w:val="6BAB44AE"/>
    <w:rsid w:val="6F7A39B4"/>
    <w:rsid w:val="6FEC567C"/>
    <w:rsid w:val="7102558A"/>
    <w:rsid w:val="715E40C3"/>
    <w:rsid w:val="72002506"/>
    <w:rsid w:val="74E27C24"/>
    <w:rsid w:val="767F63B8"/>
    <w:rsid w:val="76C03B43"/>
    <w:rsid w:val="78CC06D3"/>
    <w:rsid w:val="791D53D0"/>
    <w:rsid w:val="796B7EBB"/>
    <w:rsid w:val="79C96EB1"/>
    <w:rsid w:val="79E20DA5"/>
    <w:rsid w:val="7ED25187"/>
    <w:rsid w:val="7EFE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paragraph" w:styleId="3">
    <w:name w:val="Body Text Indent"/>
    <w:basedOn w:val="1"/>
    <w:next w:val="4"/>
    <w:unhideWhenUsed/>
    <w:qFormat/>
    <w:uiPriority w:val="99"/>
    <w:pPr>
      <w:spacing w:after="120"/>
      <w:ind w:left="420" w:leftChars="200"/>
    </w:p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character" w:styleId="11">
    <w:name w:val="Strong"/>
    <w:basedOn w:val="10"/>
    <w:qFormat/>
    <w:uiPriority w:val="22"/>
    <w:rPr>
      <w:rFonts w:cs="Times New Roman"/>
      <w:b/>
      <w:bCs/>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0"/>
    <w:link w:val="4"/>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2621</Words>
  <Characters>2915</Characters>
  <Lines>25</Lines>
  <Paragraphs>7</Paragraphs>
  <TotalTime>0</TotalTime>
  <ScaleCrop>false</ScaleCrop>
  <LinksUpToDate>false</LinksUpToDate>
  <CharactersWithSpaces>3156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Administrator</cp:lastModifiedBy>
  <dcterms:modified xsi:type="dcterms:W3CDTF">2023-05-07T05:36:46Z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85185A5AFE934C14B74C996E5EF3DF03_13</vt:lpwstr>
  </property>
</Properties>
</file>