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distribute"/>
        <w:rPr>
          <w:rFonts w:hint="eastAsia" w:ascii="宋体" w:hAnsi="宋体" w:eastAsia="宋体" w:cs="宋体"/>
          <w:b/>
          <w:bCs/>
          <w:color w:val="FF0000"/>
          <w:sz w:val="96"/>
          <w:szCs w:val="96"/>
        </w:rPr>
      </w:pPr>
      <w:r>
        <w:rPr>
          <w:rFonts w:hint="eastAsia" w:ascii="宋体" w:hAnsi="宋体" w:eastAsia="宋体" w:cs="宋体"/>
          <w:b/>
          <w:bCs/>
          <w:color w:val="FF0000"/>
          <w:sz w:val="96"/>
          <w:szCs w:val="96"/>
        </w:rPr>
        <w:t>中国工业合作协会</w:t>
      </w:r>
    </w:p>
    <w:p>
      <w:pPr>
        <w:spacing w:line="240" w:lineRule="auto"/>
        <w:jc w:val="distribute"/>
        <w:rPr>
          <w:rFonts w:hint="eastAsia" w:ascii="宋体" w:hAnsi="宋体" w:eastAsia="宋体" w:cs="宋体"/>
          <w:b/>
          <w:bCs/>
          <w:color w:val="FF0000"/>
          <w:sz w:val="96"/>
          <w:szCs w:val="96"/>
        </w:rPr>
      </w:pPr>
      <w:r>
        <w:rPr>
          <w:rFonts w:hint="eastAsia" w:ascii="宋体" w:hAnsi="宋体" w:eastAsia="宋体" w:cs="宋体"/>
          <w:b/>
          <w:bCs/>
          <w:color w:val="FF0000"/>
          <w:sz w:val="96"/>
          <w:szCs w:val="96"/>
        </w:rPr>
        <w:t>建设工程分会</w:t>
      </w:r>
    </w:p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847725</wp:posOffset>
                </wp:positionH>
                <wp:positionV relativeFrom="paragraph">
                  <wp:posOffset>397510</wp:posOffset>
                </wp:positionV>
                <wp:extent cx="5824855" cy="2540"/>
                <wp:effectExtent l="0" t="0" r="0" b="0"/>
                <wp:wrapTopAndBottom/>
                <wp:docPr id="2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24855" cy="254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flip:y;margin-left:66.75pt;margin-top:31.3pt;height:0.2pt;width:458.65pt;mso-position-horizontal-relative:page;mso-wrap-distance-bottom:0pt;mso-wrap-distance-top:0pt;z-index:-251656192;mso-width-relative:page;mso-height-relative:page;" filled="f" stroked="t" coordsize="21600,21600" o:gfxdata="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MwHq8nXAAAACgEAAA8AAAAAAAAAAQAg&#10;AAAAIgAAAGRycy9kb3ducmV2LnhtbFBLAQIUABQAAAAIAIdO4kCZ4PIM1gEAAJ0DAAAOAAAAAAAA&#10;AAEAIAAAACYBAABkcnMvZTJvRG9jLnhtbFBLBQYAAAAABgAGAFkBAABuBQAAAAA=&#10;">
                <v:fill on="f" focussize="0,0"/>
                <v:stroke weight="1.25pt" color="#FF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hint="eastAsia" w:ascii="宋体" w:hAnsi="宋体" w:eastAsia="宋体" w:cs="宋体"/>
          <w:b/>
          <w:bCs/>
          <w:sz w:val="28"/>
          <w:szCs w:val="28"/>
        </w:rPr>
        <w:t>工合建发〔2023〕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号</w:t>
      </w:r>
    </w:p>
    <w:p>
      <w:pPr>
        <w:spacing w:line="440" w:lineRule="exact"/>
        <w:jc w:val="center"/>
        <w:rPr>
          <w:rFonts w:hint="eastAsia" w:ascii="宋体" w:hAnsi="宋体" w:eastAsia="宋体" w:cs="宋体"/>
          <w:b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关于举办“新形势下业主方项目总控管理提升与EPC工程总承包项目管理实践及风险控制专题培训班”的通知</w:t>
      </w:r>
    </w:p>
    <w:p>
      <w:pPr>
        <w:spacing w:line="360" w:lineRule="exact"/>
        <w:rPr>
          <w:rFonts w:hint="eastAsia" w:ascii="仿宋" w:hAnsi="仿宋" w:eastAsia="仿宋" w:cs="仿宋"/>
          <w:bCs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ascii="仿宋" w:hAnsi="仿宋" w:eastAsia="仿宋" w:cs="仿宋"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Cs/>
          <w:color w:val="000000"/>
          <w:sz w:val="28"/>
          <w:szCs w:val="28"/>
        </w:rPr>
        <w:t>各有关单位：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560" w:firstLineChars="200"/>
        <w:jc w:val="left"/>
        <w:textAlignment w:val="auto"/>
        <w:rPr>
          <w:rFonts w:ascii="仿宋" w:hAnsi="仿宋" w:eastAsia="仿宋" w:cs="仿宋"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Cs/>
          <w:color w:val="000000"/>
          <w:sz w:val="28"/>
          <w:szCs w:val="28"/>
          <w:lang w:val="en-US" w:eastAsia="zh-CN"/>
        </w:rPr>
        <w:t>党</w:t>
      </w:r>
      <w:r>
        <w:rPr>
          <w:rFonts w:hint="eastAsia" w:ascii="仿宋" w:hAnsi="仿宋" w:eastAsia="仿宋" w:cs="仿宋"/>
          <w:bCs/>
          <w:color w:val="000000"/>
          <w:sz w:val="28"/>
          <w:szCs w:val="28"/>
        </w:rPr>
        <w:t>的十八大以来，我国建筑业及工程建设领域改革发展和践行“一带一路”国际工程建设中项目管理创新工作取得了跨越式发展，涌现出一系列新理论、新方法、新经验，为建筑业的可持续强劲发展指明了方向。面向“十四五”期间向第二个百年奋斗目标进军的第一个五年，在当前纷繁复杂的国际形势下以及疫情带来的严峻挑战，要求我们抢抓新一轮科技革命和产业变革的重要战略机遇期，大力推进工程承包，深化项目管理模式创新，发展和运用装配式建筑、绿色建造、智能建造、数字建造等新型建造方式提升项目生产力水平，多层面、全方位推进和实现新阶段高质量绿色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Cs/>
          <w:color w:val="000000"/>
          <w:sz w:val="28"/>
          <w:szCs w:val="28"/>
        </w:rPr>
        <w:t>为此，住房和城乡建设部相继制定并实施了《房屋建筑和市政基础设施项目工程总承包管理办法》（建市规〔2019〕12号）、《建设项目工程总承包合同（示范文本）》（GF-2020-0216），2022年1月，住建部发布的《“十四五”建筑业发展规划》，以及自</w:t>
      </w:r>
      <w:r>
        <w:rPr>
          <w:rFonts w:ascii="仿宋" w:hAnsi="仿宋" w:eastAsia="仿宋" w:cs="仿宋"/>
          <w:bCs/>
          <w:color w:val="000000"/>
          <w:sz w:val="28"/>
          <w:szCs w:val="28"/>
        </w:rPr>
        <w:t>2023</w:t>
      </w:r>
      <w:r>
        <w:rPr>
          <w:rFonts w:hint="eastAsia" w:ascii="仿宋" w:hAnsi="仿宋" w:eastAsia="仿宋" w:cs="仿宋"/>
          <w:bCs/>
          <w:color w:val="000000"/>
          <w:sz w:val="28"/>
          <w:szCs w:val="28"/>
        </w:rPr>
        <w:t>年</w:t>
      </w:r>
      <w:r>
        <w:rPr>
          <w:rFonts w:ascii="仿宋" w:hAnsi="仿宋" w:eastAsia="仿宋" w:cs="仿宋"/>
          <w:bCs/>
          <w:color w:val="000000"/>
          <w:sz w:val="28"/>
          <w:szCs w:val="28"/>
        </w:rPr>
        <w:t>3</w:t>
      </w:r>
      <w:r>
        <w:rPr>
          <w:rFonts w:hint="eastAsia" w:ascii="仿宋" w:hAnsi="仿宋" w:eastAsia="仿宋" w:cs="仿宋"/>
          <w:bCs/>
          <w:color w:val="000000"/>
          <w:sz w:val="28"/>
          <w:szCs w:val="28"/>
        </w:rPr>
        <w:t>月</w:t>
      </w:r>
      <w:r>
        <w:rPr>
          <w:rFonts w:ascii="仿宋" w:hAnsi="仿宋" w:eastAsia="仿宋" w:cs="仿宋"/>
          <w:bCs/>
          <w:color w:val="000000"/>
          <w:sz w:val="28"/>
          <w:szCs w:val="28"/>
        </w:rPr>
        <w:t>1</w:t>
      </w:r>
      <w:r>
        <w:rPr>
          <w:rFonts w:hint="eastAsia" w:ascii="仿宋" w:hAnsi="仿宋" w:eastAsia="仿宋" w:cs="仿宋"/>
          <w:bCs/>
          <w:color w:val="000000"/>
          <w:sz w:val="28"/>
          <w:szCs w:val="28"/>
        </w:rPr>
        <w:t>日起实施的《建设项目工程总承包计价规范》</w:t>
      </w:r>
      <w:r>
        <w:rPr>
          <w:rFonts w:ascii="仿宋" w:hAnsi="仿宋" w:eastAsia="仿宋" w:cs="仿宋"/>
          <w:bCs/>
          <w:color w:val="000000"/>
          <w:sz w:val="28"/>
          <w:szCs w:val="28"/>
        </w:rPr>
        <w:t>T/CCEAS001-2022</w:t>
      </w:r>
      <w:r>
        <w:rPr>
          <w:rFonts w:hint="eastAsia" w:ascii="仿宋" w:hAnsi="仿宋" w:eastAsia="仿宋" w:cs="仿宋"/>
          <w:bCs/>
          <w:color w:val="000000"/>
          <w:sz w:val="28"/>
          <w:szCs w:val="28"/>
        </w:rPr>
        <w:t>等的下发更进一步表明了2023年将是建筑业市场模式改革、管理机制创新的特殊时期，也是建筑业突飞猛进、跨越式发展的关键年份。随着国际、国内经济全球化模式快速发展，对建设项目现代管理水平与治理能力涉及的新领域越来越广泛，要求项目建设者能够精准研判市场形势，科学运用现代项目管理方法，更好地适应建筑业高质量发展的总体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560" w:firstLineChars="200"/>
        <w:jc w:val="left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Cs/>
          <w:color w:val="000000"/>
          <w:sz w:val="28"/>
          <w:szCs w:val="28"/>
        </w:rPr>
        <w:t>为贯彻落实工程总承包相关政策，解决工程建设各相关方在推行工程总承包过程中面临的法律法规、操作实施问题和管理技术难点，完善工程项目建设管理制度，全面提高项目管理水平，抓好在建项目现场管理，有效防范风险，全面提升工程建设质量和投资效益。</w:t>
      </w:r>
      <w:r>
        <w:rPr>
          <w:rFonts w:hint="eastAsia" w:ascii="仿宋" w:hAnsi="仿宋" w:eastAsia="仿宋" w:cs="仿宋"/>
          <w:bCs/>
          <w:color w:val="000000"/>
          <w:sz w:val="28"/>
          <w:szCs w:val="28"/>
          <w:lang w:val="en-US" w:eastAsia="zh-CN"/>
        </w:rPr>
        <w:t>经研究，</w:t>
      </w:r>
      <w:r>
        <w:rPr>
          <w:rFonts w:hint="eastAsia" w:ascii="仿宋" w:hAnsi="仿宋" w:eastAsia="仿宋" w:cs="仿宋"/>
          <w:b/>
          <w:bCs w:val="0"/>
          <w:color w:val="000000"/>
          <w:sz w:val="28"/>
          <w:szCs w:val="28"/>
        </w:rPr>
        <w:t>“新形势下业主方建设项目总控管理提升与EPC工程总承包项目管理实践及风险控制专题培训班”</w:t>
      </w:r>
      <w:r>
        <w:rPr>
          <w:rFonts w:hint="eastAsia" w:ascii="仿宋" w:hAnsi="仿宋" w:eastAsia="仿宋" w:cs="仿宋"/>
          <w:bCs/>
          <w:color w:val="000000"/>
          <w:sz w:val="28"/>
          <w:szCs w:val="28"/>
          <w:lang w:val="en-US" w:eastAsia="zh-CN"/>
        </w:rPr>
        <w:t>由北京中科善若教育咨询有限公司</w:t>
      </w:r>
      <w:r>
        <w:rPr>
          <w:rFonts w:hint="eastAsia" w:ascii="仿宋" w:hAnsi="仿宋" w:eastAsia="仿宋" w:cs="仿宋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负责承办</w:t>
      </w:r>
      <w:r>
        <w:rPr>
          <w:rFonts w:hint="eastAsia" w:ascii="仿宋" w:hAnsi="仿宋" w:eastAsia="仿宋" w:cs="仿宋"/>
          <w:bCs/>
          <w:color w:val="000000"/>
          <w:sz w:val="28"/>
          <w:szCs w:val="28"/>
          <w:lang w:val="en-US" w:eastAsia="zh-CN"/>
        </w:rPr>
        <w:t>，请各单位积极组织本单位及下属单位相关人员参加，有关详细事宜请见附件1、附件2。</w:t>
      </w:r>
    </w:p>
    <w:p>
      <w:pPr>
        <w:widowControl/>
        <w:spacing w:line="420" w:lineRule="exact"/>
        <w:ind w:firstLine="4760" w:firstLineChars="1700"/>
        <w:rPr>
          <w:rFonts w:hint="eastAsia" w:ascii="仿宋" w:hAnsi="仿宋" w:eastAsia="仿宋" w:cs="仿宋"/>
          <w:b w:val="0"/>
          <w:bCs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3467100</wp:posOffset>
            </wp:positionH>
            <wp:positionV relativeFrom="paragraph">
              <wp:posOffset>34290</wp:posOffset>
            </wp:positionV>
            <wp:extent cx="1505585" cy="1505585"/>
            <wp:effectExtent l="195580" t="195580" r="203835" b="203835"/>
            <wp:wrapNone/>
            <wp:docPr id="4" name="图片 4" descr="建设工程分会 电子2 新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建设工程分会 电子2 新副本"/>
                    <pic:cNvPicPr>
                      <a:picLocks noChangeAspect="1"/>
                    </pic:cNvPicPr>
                  </pic:nvPicPr>
                  <pic:blipFill>
                    <a:blip r:embed="rId6">
                      <a:lum contrast="6000"/>
                    </a:blip>
                    <a:stretch>
                      <a:fillRect/>
                    </a:stretch>
                  </pic:blipFill>
                  <pic:spPr>
                    <a:xfrm rot="1080000">
                      <a:off x="0" y="0"/>
                      <a:ext cx="1505585" cy="150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/>
        <w:spacing w:line="420" w:lineRule="exact"/>
        <w:ind w:firstLine="4760" w:firstLineChars="1700"/>
        <w:rPr>
          <w:rFonts w:hint="eastAsia" w:ascii="仿宋" w:hAnsi="仿宋" w:eastAsia="仿宋" w:cs="仿宋"/>
          <w:b w:val="0"/>
          <w:bCs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</w:pPr>
    </w:p>
    <w:p>
      <w:pPr>
        <w:widowControl/>
        <w:spacing w:line="420" w:lineRule="exact"/>
        <w:ind w:firstLine="4760" w:firstLineChars="1700"/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中国工业合作协会建设工程分会</w:t>
      </w:r>
    </w:p>
    <w:p>
      <w:pPr>
        <w:widowControl/>
        <w:spacing w:line="420" w:lineRule="exact"/>
        <w:ind w:firstLine="5600" w:firstLineChars="2000"/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2023年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19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 xml:space="preserve">日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281" w:firstLineChars="100"/>
        <w:jc w:val="both"/>
        <w:textAlignment w:val="auto"/>
        <w:rPr>
          <w:rFonts w:hint="default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cs="仿宋"/>
          <w:b/>
          <w:bCs/>
          <w:color w:val="000000"/>
          <w:sz w:val="28"/>
          <w:szCs w:val="28"/>
          <w:lang w:val="en-US" w:eastAsia="zh-CN"/>
        </w:rPr>
        <w:t>附件1：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321" w:firstLineChars="100"/>
        <w:jc w:val="center"/>
        <w:textAlignment w:val="auto"/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  <w:t>培训简章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281" w:firstLineChars="100"/>
        <w:jc w:val="left"/>
        <w:textAlignment w:val="auto"/>
        <w:rPr>
          <w:rFonts w:hint="eastAsia" w:ascii="仿宋" w:hAnsi="仿宋" w:eastAsia="仿宋" w:cs="仿宋"/>
          <w:b/>
          <w:bCs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  <w:t>一、组</w:t>
      </w:r>
      <w:r>
        <w:rPr>
          <w:rFonts w:hint="eastAsia" w:ascii="仿宋" w:hAnsi="仿宋" w:eastAsia="仿宋" w:cs="仿宋"/>
          <w:b/>
          <w:bCs/>
          <w:color w:val="000000"/>
          <w:kern w:val="2"/>
          <w:sz w:val="28"/>
          <w:szCs w:val="28"/>
          <w:lang w:val="en-US" w:eastAsia="zh-CN" w:bidi="ar-SA"/>
        </w:rPr>
        <w:t>织机构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280" w:firstLineChars="100"/>
        <w:jc w:val="left"/>
        <w:textAlignment w:val="auto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 xml:space="preserve">主办单位：中国工业合作协会建设工程分会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280" w:firstLineChars="100"/>
        <w:jc w:val="left"/>
        <w:textAlignment w:val="auto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承办单位：北京众合至诚咨询有限公司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281" w:firstLineChars="100"/>
        <w:textAlignment w:val="auto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二、</w:t>
      </w:r>
      <w:r>
        <w:rPr>
          <w:rFonts w:hint="eastAsia" w:ascii="仿宋" w:hAnsi="仿宋" w:eastAsia="仿宋" w:cs="仿宋"/>
          <w:b/>
          <w:sz w:val="28"/>
          <w:szCs w:val="28"/>
        </w:rPr>
        <w:t>培训内容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281" w:firstLineChars="100"/>
        <w:jc w:val="left"/>
        <w:textAlignment w:val="auto"/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t>第一部分：新形势下业主方项目管理难点、重点风险防范及投资控制能力提升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t>工程建设项目全生命期及新形势下项目管理模式再认识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1.我国工程建设体制的问题与改革；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2.工程建设项目生命期与寿命期；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3.新时期工程建设项目管理发展方向；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4.立项与决策过程管理；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5.项目管理主要模式及风险防范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t>（二）业主方项目管理难点、重点与工作建议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1.业主方项目管理存在的主要问题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2.业主方项目管理难点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3.业主方建设工程管理重点及工作建议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4.项目招投标阶段业主的主要工作及要求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5.合同签订及风险防范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t>（三）业主方项目建设全过程总控管理及风险防范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1.建设工程项目全过程实施流程介绍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2.不同设计阶段发包投标的风险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3.业主方的前期策划工作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4.业主方项目经理部主要职责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5.工程项目合同执行阶段的工作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6.项目启动过程业主方的主要工作、管理要求及风险防范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7.业主方合同执行阶段的策划工作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8.项目策划阶段业主的主要工作及管理要求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；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9.项目设计阶段业主的工作、管理要求及风险防范；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10.项目采购阶段业主的工作、管理要求及风险防范；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11.项目施工阶段业主的工作、管理要求及风险防范；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12.项目试运行与收尾阶段业主的工作、管理要求及风险防范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t>（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  <w:t>四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t>）业主方工程项目现场管理及风险防范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1.项目规划与项目配套策划；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.技术质量监控管理思路方法；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.建设单位的主要工作及注意事项；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.现场管理平面布置与风险防范；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.施工图纸、工程量清单与施工技术文件风险规避方法；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.工程质量、安全、进度、环境、造价集成管理方法；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.工程反索赔、签证、变更、合理化建议的综合管理；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.工程项目质量、安全、环境、进度的监督方式；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.工程验收与工程结算实施的风险管控；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1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0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.工程正面风险的利用与负面风险的规避方法；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1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.项目标准化管理、信息管理与综合管理集成；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1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.施工现场管理与项目知识管理提升。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t>（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  <w:t>五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t>）业主方对联合体、总分包及项目计价的管理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1.EPC模式下的总分包与联合体；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2.总承包联合体模式下的组织机构设置建议；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3.政策、法律方面对有关联合体模式的要求；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4.总承包联合体协议签署的要点；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5.联合体双方间的连带责任；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6.主承包合同与分包合同的关系；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7.EPC总承包合同价格的费用构成；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8.EPC工程结算管理与审计配合。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t xml:space="preserve"> (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  <w:t>六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t>)全过程工程咨询与EPC总承包的区别与联系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1.项目管理模式的发展；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560" w:firstLineChars="200"/>
        <w:jc w:val="left"/>
        <w:textAlignment w:val="auto"/>
        <w:rPr>
          <w:rFonts w:hint="eastAsia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2.PMC在项目实施阶段的管理界面；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3.EPC与全过程咨询的区别与联系；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4.全过程工程咨询的基本原理；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5.全过程工程咨询实施方案策划；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 xml:space="preserve">6.工程项目全过程咨询具体工程管理案例分享；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7.全过程工程咨询服务收费与案例分析；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8.全过程工程咨询合同管理及法律风险防范。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  <w:t>第二部分：新形势下EPC工程总承包项目全过程管控实践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ascii="仿宋" w:hAnsi="仿宋" w:eastAsia="仿宋" w:cs="仿宋"/>
          <w:b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t>（一）EPC工程总承包相关政策解读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560" w:firstLineChars="200"/>
        <w:jc w:val="left"/>
        <w:textAlignment w:val="auto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1.《建设项目工程总承包合同（示范文本）》主要条款解读；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560" w:firstLineChars="200"/>
        <w:jc w:val="left"/>
        <w:textAlignment w:val="auto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2.《房屋建筑和市政基础设施项目工程总承包管理办法》主要条款解读；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560" w:firstLineChars="200"/>
        <w:jc w:val="left"/>
        <w:textAlignment w:val="auto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3.国标《建设工程项目管理规范》（GB/T50326-2017）及《建设项目工程总承包管理规范》GB/T50358-2017）介绍；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560" w:firstLineChars="200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.《建设项目工程总承包计价规范》介绍；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560" w:firstLineChars="200"/>
        <w:jc w:val="left"/>
        <w:textAlignment w:val="auto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.“新基建”项目实施+工程总承包模式法律问题解析；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560" w:firstLineChars="200"/>
        <w:jc w:val="left"/>
        <w:textAlignment w:val="auto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.《民法典》实施对建设工程各方实体权利的调整。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ascii="仿宋" w:hAnsi="仿宋" w:eastAsia="仿宋" w:cs="仿宋"/>
          <w:b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t>（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  <w:t>二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t>）EPC工程总承包项目全过程管理实践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560" w:firstLineChars="200"/>
        <w:jc w:val="left"/>
        <w:textAlignment w:val="auto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1. EPC总承包项目管理发展趋势及项目交付（BIM及数字化交付）；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0" w:firstLineChars="200"/>
        <w:jc w:val="left"/>
        <w:textAlignment w:val="auto"/>
        <w:rPr>
          <w:rFonts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①BIM与数字化交付对于工程总承包的意义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0" w:firstLineChars="200"/>
        <w:jc w:val="left"/>
        <w:textAlignment w:val="auto"/>
        <w:rPr>
          <w:rFonts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②BIM与工程总承包数字化交付项目应用实例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560" w:firstLineChars="200"/>
        <w:jc w:val="left"/>
        <w:textAlignment w:val="auto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2.工程总承包主要模式适用的项目类型及特点（包括政府投资与企业投资项目的异同）；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560" w:firstLineChars="200"/>
        <w:jc w:val="left"/>
        <w:textAlignment w:val="auto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3.项目主要相关方职责与工作界面；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560" w:firstLineChars="200"/>
        <w:jc w:val="left"/>
        <w:textAlignment w:val="auto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4.项目管理流程及管控要点；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560" w:firstLineChars="200"/>
        <w:jc w:val="left"/>
        <w:textAlignment w:val="auto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5.决策阶段的管控要点（包括投资决策和招投标阶段）；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560" w:firstLineChars="200"/>
        <w:jc w:val="left"/>
        <w:textAlignment w:val="auto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6.项目启动、策划阶段管控要点；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560" w:firstLineChars="200"/>
        <w:jc w:val="left"/>
        <w:textAlignment w:val="auto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7.项目勘察设计阶段管控要点；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560" w:firstLineChars="200"/>
        <w:jc w:val="left"/>
        <w:textAlignment w:val="auto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8.项目采购阶段管控要点；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560" w:firstLineChars="200"/>
        <w:jc w:val="left"/>
        <w:textAlignment w:val="auto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9.项目施工、试运行阶段管控要点；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560" w:firstLineChars="200"/>
        <w:jc w:val="left"/>
        <w:textAlignment w:val="auto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10.项目收尾及关闭、移交阶段的管控要点；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560" w:firstLineChars="200"/>
        <w:jc w:val="left"/>
        <w:textAlignment w:val="auto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11.联合体与总分包的管控要点。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ascii="仿宋" w:hAnsi="仿宋" w:eastAsia="仿宋" w:cs="仿宋"/>
          <w:b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t>（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  <w:t>三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t>）EPC工程总承包项目招投标策划与风险防范</w:t>
      </w:r>
    </w:p>
    <w:p>
      <w:pPr>
        <w:pStyle w:val="19"/>
        <w:keepNext w:val="0"/>
        <w:keepLines w:val="0"/>
        <w:pageBreakBefore w:val="0"/>
        <w:widowControl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1.EPC总承包、分包相关招投标政策解读；</w:t>
      </w:r>
    </w:p>
    <w:p>
      <w:pPr>
        <w:pStyle w:val="19"/>
        <w:keepNext w:val="0"/>
        <w:keepLines w:val="0"/>
        <w:pageBreakBefore w:val="0"/>
        <w:widowControl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2.EPC项目对甲乙双方固有风险及管理重点；</w:t>
      </w:r>
    </w:p>
    <w:p>
      <w:pPr>
        <w:pStyle w:val="19"/>
        <w:keepNext w:val="0"/>
        <w:keepLines w:val="0"/>
        <w:pageBreakBefore w:val="0"/>
        <w:widowControl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3.项目核心要求招标指标与系统招标要求的策划；</w:t>
      </w:r>
    </w:p>
    <w:p>
      <w:pPr>
        <w:pStyle w:val="19"/>
        <w:keepNext w:val="0"/>
        <w:keepLines w:val="0"/>
        <w:pageBreakBefore w:val="0"/>
        <w:widowControl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4.项目前期咨询与招标文件策划；</w:t>
      </w:r>
    </w:p>
    <w:p>
      <w:pPr>
        <w:pStyle w:val="19"/>
        <w:keepNext w:val="0"/>
        <w:keepLines w:val="0"/>
        <w:pageBreakBefore w:val="0"/>
        <w:widowControl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5.EPC总承包与施工总承包项目招标文件的异同；</w:t>
      </w:r>
    </w:p>
    <w:p>
      <w:pPr>
        <w:pStyle w:val="19"/>
        <w:keepNext w:val="0"/>
        <w:keepLines w:val="0"/>
        <w:pageBreakBefore w:val="0"/>
        <w:widowControl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6.EPC总承包与施工总承包项目不同合同模式的优缺点；</w:t>
      </w:r>
    </w:p>
    <w:p>
      <w:pPr>
        <w:pStyle w:val="19"/>
        <w:keepNext w:val="0"/>
        <w:keepLines w:val="0"/>
        <w:pageBreakBefore w:val="0"/>
        <w:widowControl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7.EPC总承包与施工总承包评标的要点及建议；</w:t>
      </w:r>
    </w:p>
    <w:p>
      <w:pPr>
        <w:pStyle w:val="19"/>
        <w:keepNext w:val="0"/>
        <w:keepLines w:val="0"/>
        <w:pageBreakBefore w:val="0"/>
        <w:widowControl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8.投标方案的确定与文件的编制注意事项；</w:t>
      </w:r>
    </w:p>
    <w:p>
      <w:pPr>
        <w:pStyle w:val="19"/>
        <w:keepNext w:val="0"/>
        <w:keepLines w:val="0"/>
        <w:pageBreakBefore w:val="0"/>
        <w:widowControl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9.合同包干模式招标策划；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10.必须招标项目采用EPC总承包可否直接发包。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ascii="仿宋" w:hAnsi="仿宋" w:eastAsia="仿宋" w:cs="仿宋"/>
          <w:b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t>（四）EPC工程总承包合同核心风险识别与防范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1.合同及联合体合同的起草注意点及案例分享；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2.合同策划与重点条款的设置；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3.合同核心风险识别与防范；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4.招标与投标、评标、中标后开工前主要工作及合同管理工作重点；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5.合同谈判策略及风险关注要点；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6.发包、专业承包、分包阶段合同风险识别防范；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7.EPC合同实施阶段履约风险和风险控制；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8.工程变更、索赔技巧与风险控制；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9.税务风险及防范措施；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10.合同实施典型案例分析。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ascii="仿宋" w:hAnsi="仿宋" w:eastAsia="仿宋" w:cs="仿宋"/>
          <w:b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t>（五）EPC工程投资控制、结算与审计管理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1.工程总承包工程造价与投资；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2.国家构建统一内部大循环市场背景下的投资策略；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3.EPC工程范围确定依据计注意事项；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4.EPC合同文件优先次序确定的重要性；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5.EPC合同定价、执行与结算管理；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6.《建设工程总承包计价规范》的基本指导作用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7.工程费用组成、总价和单价组合合同；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8.工程总价计价方式与计价风险；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9.工程总承包变更与风险管理；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10.合同包干模式下的工程造价管理；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11.合同可调模式下的工程造价管理；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12.工程变更与EPC合同价的调整；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13.EPC工程移交及审计。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t>（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  <w:t>六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t>）EPC工程总承包项目现场质量安全管理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1.EPC工程开工及许可证新要求；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2.EPC工程质量安全及进度管理新要求；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3.EPC工程现场HSE管理意识及国际国内差异；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4.重大质量安全事故处理要求；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5.EPC合同文件优先次序；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6.工程变更与EPC总价调整；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7.EPC签证变更程序及控制要点；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8.EPC项目合同价格与支付；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9.EPC项目市场价格波动引起的调整；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10.EPC项目增量工程管理；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11.业主图纸错漏导致的纠纷处理；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12.清单问题索赔管理。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三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、培训对象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560" w:firstLineChars="200"/>
        <w:jc w:val="left"/>
        <w:textAlignment w:val="auto"/>
        <w:rPr>
          <w:rFonts w:ascii="仿宋" w:hAnsi="仿宋" w:eastAsia="仿宋" w:cs="仿宋"/>
          <w:color w:val="000000"/>
          <w:sz w:val="28"/>
          <w:szCs w:val="28"/>
          <w:lang w:val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zh-CN"/>
        </w:rPr>
        <w:t>各地方政府、企业建设管理、城市规划、工程设计、工程施工、工程监理、工程造价、工程咨询、计划财务等单位管理人员。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四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、授课专家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560" w:firstLineChars="200"/>
        <w:textAlignment w:val="auto"/>
        <w:rPr>
          <w:rFonts w:ascii="仿宋" w:hAnsi="仿宋" w:eastAsia="仿宋" w:cs="仿宋"/>
          <w:sz w:val="28"/>
          <w:szCs w:val="28"/>
          <w:lang w:val="zh-CN"/>
        </w:rPr>
      </w:pPr>
      <w:r>
        <w:rPr>
          <w:rFonts w:hint="eastAsia" w:ascii="仿宋" w:hAnsi="仿宋" w:eastAsia="仿宋" w:cs="仿宋"/>
          <w:sz w:val="28"/>
          <w:szCs w:val="28"/>
          <w:lang w:val="zh-CN"/>
        </w:rPr>
        <w:t>拟聘请国家发改委、住建部、行业协会等参与</w:t>
      </w:r>
      <w:r>
        <w:rPr>
          <w:rFonts w:hint="eastAsia" w:ascii="仿宋" w:hAnsi="仿宋" w:eastAsia="仿宋" w:cs="仿宋"/>
          <w:bCs/>
          <w:sz w:val="28"/>
          <w:szCs w:val="28"/>
        </w:rPr>
        <w:t>政策制定、</w:t>
      </w:r>
      <w:r>
        <w:rPr>
          <w:rFonts w:hint="eastAsia" w:ascii="仿宋" w:hAnsi="仿宋" w:eastAsia="仿宋" w:cs="仿宋"/>
          <w:sz w:val="28"/>
          <w:szCs w:val="28"/>
          <w:lang w:val="zh-CN"/>
        </w:rPr>
        <w:t>文件编写</w:t>
      </w:r>
      <w:r>
        <w:rPr>
          <w:rFonts w:hint="eastAsia" w:ascii="仿宋" w:hAnsi="仿宋" w:eastAsia="仿宋" w:cs="仿宋"/>
          <w:bCs/>
          <w:sz w:val="28"/>
          <w:szCs w:val="28"/>
        </w:rPr>
        <w:t>，且具有较深理论和实践经验的专家结合亟待解决的热点问题、经典案例，进行全面、系统、深入的讲解和研讨。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hint="eastAsia" w:ascii="仿宋" w:hAnsi="仿宋" w:eastAsia="仿宋" w:cs="仿宋"/>
          <w:kern w:val="2"/>
          <w:sz w:val="28"/>
          <w:szCs w:val="28"/>
          <w:shd w:val="clear" w:color="auto" w:fill="auto"/>
          <w:lang w:val="zh-CN" w:eastAsia="zh-CN" w:bidi="ar-SA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五、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时间地点</w:t>
      </w:r>
      <w:r>
        <w:rPr>
          <w:rFonts w:hint="eastAsia" w:ascii="仿宋" w:hAnsi="仿宋" w:eastAsia="仿宋" w:cs="仿宋"/>
          <w:b/>
          <w:bCs/>
          <w:kern w:val="2"/>
          <w:sz w:val="28"/>
          <w:szCs w:val="28"/>
          <w:shd w:val="clear" w:color="auto" w:fill="auto"/>
          <w:lang w:val="zh-CN" w:eastAsia="zh-CN" w:bidi="ar-SA"/>
        </w:rPr>
        <w:t xml:space="preserve"> </w:t>
      </w:r>
      <w:r>
        <w:rPr>
          <w:rFonts w:hint="eastAsia" w:ascii="仿宋" w:hAnsi="仿宋" w:eastAsia="仿宋" w:cs="仿宋"/>
          <w:kern w:val="2"/>
          <w:sz w:val="28"/>
          <w:szCs w:val="28"/>
          <w:shd w:val="clear" w:color="auto" w:fill="auto"/>
          <w:lang w:val="zh-CN" w:eastAsia="zh-CN" w:bidi="ar-SA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560" w:firstLineChars="200"/>
        <w:textAlignment w:val="auto"/>
        <w:rPr>
          <w:rFonts w:hint="eastAsia" w:ascii="仿宋" w:hAnsi="仿宋" w:eastAsia="仿宋" w:cs="仿宋"/>
          <w:kern w:val="2"/>
          <w:sz w:val="28"/>
          <w:szCs w:val="28"/>
          <w:shd w:val="clear" w:color="auto" w:fill="auto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shd w:val="clear" w:color="auto" w:fill="auto"/>
          <w:lang w:val="en-US" w:eastAsia="zh-CN" w:bidi="ar-SA"/>
        </w:rPr>
        <w:t>2023年06月07日—13日（07日报到）      地点：昆明市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560" w:firstLineChars="200"/>
        <w:textAlignment w:val="auto"/>
        <w:rPr>
          <w:rFonts w:hint="eastAsia" w:ascii="仿宋" w:hAnsi="仿宋" w:eastAsia="仿宋" w:cs="仿宋"/>
          <w:kern w:val="2"/>
          <w:sz w:val="28"/>
          <w:szCs w:val="28"/>
          <w:shd w:val="clear" w:color="auto" w:fill="auto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shd w:val="clear" w:color="auto" w:fill="auto"/>
          <w:lang w:val="en-US" w:eastAsia="zh-CN" w:bidi="ar-SA"/>
        </w:rPr>
        <w:t>2023年06月16日—21日（16日报到）      地点：青岛市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560" w:firstLineChars="200"/>
        <w:textAlignment w:val="auto"/>
        <w:rPr>
          <w:rFonts w:hint="eastAsia" w:ascii="仿宋" w:hAnsi="仿宋" w:eastAsia="仿宋" w:cs="仿宋"/>
          <w:kern w:val="2"/>
          <w:sz w:val="28"/>
          <w:szCs w:val="28"/>
          <w:shd w:val="clear" w:color="auto" w:fill="auto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shd w:val="clear" w:color="auto" w:fill="auto"/>
          <w:lang w:val="en-US" w:eastAsia="zh-CN" w:bidi="ar-SA"/>
        </w:rPr>
        <w:t>2023年07月06日—11日（06日报到）      地点：呼和浩特市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560" w:firstLineChars="200"/>
        <w:textAlignment w:val="auto"/>
        <w:rPr>
          <w:rFonts w:hint="eastAsia" w:ascii="仿宋" w:hAnsi="仿宋" w:eastAsia="仿宋" w:cs="仿宋"/>
          <w:kern w:val="2"/>
          <w:sz w:val="28"/>
          <w:szCs w:val="28"/>
          <w:shd w:val="clear" w:color="auto" w:fill="auto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shd w:val="clear" w:color="auto" w:fill="auto"/>
          <w:lang w:val="en-US" w:eastAsia="zh-CN" w:bidi="ar-SA"/>
        </w:rPr>
        <w:t>2023年07月20日—25日（20日报到）      地点：大连市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560" w:firstLineChars="200"/>
        <w:textAlignment w:val="auto"/>
        <w:rPr>
          <w:rFonts w:hint="eastAsia" w:ascii="仿宋" w:hAnsi="仿宋" w:eastAsia="仿宋" w:cs="仿宋"/>
          <w:kern w:val="2"/>
          <w:sz w:val="28"/>
          <w:szCs w:val="28"/>
          <w:shd w:val="clear" w:color="auto" w:fill="auto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shd w:val="clear" w:color="auto" w:fill="auto"/>
          <w:lang w:val="en-US" w:eastAsia="zh-CN" w:bidi="ar-SA"/>
        </w:rPr>
        <w:t>2023年08月10日—15日（10日报到）      地点：西宁市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560" w:firstLineChars="200"/>
        <w:textAlignment w:val="auto"/>
        <w:rPr>
          <w:rFonts w:hint="eastAsia" w:ascii="仿宋" w:hAnsi="仿宋" w:eastAsia="仿宋" w:cs="仿宋"/>
          <w:kern w:val="2"/>
          <w:sz w:val="28"/>
          <w:szCs w:val="28"/>
          <w:shd w:val="clear" w:color="auto" w:fill="auto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shd w:val="clear" w:color="auto" w:fill="auto"/>
          <w:lang w:val="en-US" w:eastAsia="zh-CN" w:bidi="ar-SA"/>
        </w:rPr>
        <w:t>2023年08月24日—29日（24日报到）      地点：成都市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560" w:firstLineChars="200"/>
        <w:textAlignment w:val="auto"/>
        <w:rPr>
          <w:rFonts w:hint="eastAsia" w:ascii="仿宋" w:hAnsi="仿宋" w:eastAsia="仿宋" w:cs="仿宋"/>
          <w:kern w:val="2"/>
          <w:sz w:val="28"/>
          <w:szCs w:val="28"/>
          <w:shd w:val="clear" w:color="auto" w:fill="auto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shd w:val="clear" w:color="auto" w:fill="auto"/>
          <w:lang w:val="en-US" w:eastAsia="zh-CN" w:bidi="ar-SA"/>
        </w:rPr>
        <w:t>2023年09月07日—12日（07日报到）      地点：重庆市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560" w:firstLineChars="200"/>
        <w:textAlignment w:val="auto"/>
        <w:rPr>
          <w:rFonts w:hint="eastAsia" w:ascii="仿宋" w:hAnsi="仿宋" w:eastAsia="仿宋" w:cs="仿宋"/>
          <w:kern w:val="2"/>
          <w:sz w:val="28"/>
          <w:szCs w:val="28"/>
          <w:shd w:val="clear" w:color="auto" w:fill="auto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shd w:val="clear" w:color="auto" w:fill="auto"/>
          <w:lang w:val="en-US" w:eastAsia="zh-CN" w:bidi="ar-SA"/>
        </w:rPr>
        <w:t>2023年09月15日—20日（15日报到）      地点：长沙市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560" w:firstLineChars="200"/>
        <w:textAlignment w:val="auto"/>
        <w:rPr>
          <w:rFonts w:hint="eastAsia" w:ascii="仿宋" w:hAnsi="仿宋" w:eastAsia="仿宋" w:cs="仿宋"/>
          <w:kern w:val="2"/>
          <w:sz w:val="28"/>
          <w:szCs w:val="28"/>
          <w:shd w:val="clear" w:color="auto" w:fill="auto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shd w:val="clear" w:color="auto" w:fill="auto"/>
          <w:lang w:val="en-US" w:eastAsia="zh-CN" w:bidi="ar-SA"/>
        </w:rPr>
        <w:t>2023年09月22日—27日（22日报到）      地点：南京市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cs="仿宋"/>
          <w:b/>
          <w:bCs/>
          <w:sz w:val="28"/>
          <w:szCs w:val="28"/>
          <w:lang w:val="en-US" w:eastAsia="zh-CN"/>
        </w:rPr>
        <w:t>六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、会务费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560" w:firstLineChars="200"/>
        <w:textAlignment w:val="auto"/>
        <w:rPr>
          <w:rFonts w:hint="default" w:ascii="仿宋" w:hAnsi="仿宋" w:eastAsia="仿宋" w:cs="仿宋"/>
          <w:kern w:val="2"/>
          <w:sz w:val="28"/>
          <w:szCs w:val="28"/>
          <w:shd w:val="clear" w:color="auto" w:fill="auto"/>
          <w:lang w:val="en-US" w:eastAsia="zh-CN" w:bidi="ar-SA"/>
        </w:rPr>
      </w:pPr>
      <w:r>
        <w:rPr>
          <w:rFonts w:hint="default" w:ascii="仿宋" w:hAnsi="仿宋" w:eastAsia="仿宋" w:cs="仿宋"/>
          <w:kern w:val="2"/>
          <w:sz w:val="28"/>
          <w:szCs w:val="28"/>
          <w:shd w:val="clear" w:color="auto" w:fill="auto"/>
          <w:lang w:val="en-US" w:eastAsia="zh-CN" w:bidi="ar-SA"/>
        </w:rPr>
        <w:t>A.</w:t>
      </w:r>
      <w:r>
        <w:rPr>
          <w:rFonts w:hint="eastAsia" w:ascii="仿宋" w:hAnsi="仿宋" w:eastAsia="仿宋" w:cs="仿宋"/>
          <w:kern w:val="2"/>
          <w:sz w:val="28"/>
          <w:szCs w:val="28"/>
          <w:shd w:val="clear" w:color="auto" w:fill="auto"/>
          <w:lang w:val="en-US" w:eastAsia="zh-CN" w:bidi="ar-SA"/>
        </w:rPr>
        <w:t>3600</w:t>
      </w:r>
      <w:r>
        <w:rPr>
          <w:rFonts w:hint="default" w:ascii="仿宋" w:hAnsi="仿宋" w:eastAsia="仿宋" w:cs="仿宋"/>
          <w:kern w:val="2"/>
          <w:sz w:val="28"/>
          <w:szCs w:val="28"/>
          <w:shd w:val="clear" w:color="auto" w:fill="auto"/>
          <w:lang w:val="en-US" w:eastAsia="zh-CN" w:bidi="ar-SA"/>
        </w:rPr>
        <w:t>元/人（</w:t>
      </w:r>
      <w:r>
        <w:rPr>
          <w:rFonts w:hint="eastAsia" w:ascii="仿宋" w:hAnsi="仿宋" w:eastAsia="仿宋" w:cs="仿宋"/>
          <w:kern w:val="2"/>
          <w:sz w:val="28"/>
          <w:szCs w:val="28"/>
          <w:shd w:val="clear" w:color="auto" w:fill="auto"/>
          <w:lang w:val="en-US" w:eastAsia="zh-CN" w:bidi="ar-SA"/>
        </w:rPr>
        <w:t>含：教材、茶歇、午餐、网课、结业证书等）</w:t>
      </w:r>
      <w:r>
        <w:rPr>
          <w:rFonts w:hint="default" w:ascii="仿宋" w:hAnsi="仿宋" w:eastAsia="仿宋" w:cs="仿宋"/>
          <w:kern w:val="2"/>
          <w:sz w:val="28"/>
          <w:szCs w:val="28"/>
          <w:shd w:val="clear" w:color="auto" w:fill="auto"/>
          <w:lang w:val="en-US" w:eastAsia="zh-CN" w:bidi="ar-SA"/>
        </w:rPr>
        <w:t>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default"/>
          <w:lang w:val="en-US" w:eastAsia="zh-CN"/>
        </w:rPr>
      </w:pPr>
      <w:r>
        <w:rPr>
          <w:rFonts w:hint="default" w:ascii="仿宋" w:hAnsi="仿宋" w:eastAsia="仿宋" w:cs="仿宋"/>
          <w:kern w:val="2"/>
          <w:sz w:val="28"/>
          <w:szCs w:val="28"/>
          <w:shd w:val="clear" w:color="auto" w:fill="auto"/>
          <w:lang w:val="en-US" w:eastAsia="zh-CN" w:bidi="ar-SA"/>
        </w:rPr>
        <w:t>住宿统一安排，费用自理。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560" w:firstLineChars="200"/>
        <w:textAlignment w:val="auto"/>
        <w:rPr>
          <w:rFonts w:hint="eastAsia" w:ascii="仿宋" w:hAnsi="仿宋" w:eastAsia="仿宋" w:cs="仿宋"/>
          <w:kern w:val="2"/>
          <w:sz w:val="28"/>
          <w:szCs w:val="28"/>
          <w:shd w:val="clear" w:color="auto" w:fill="auto"/>
          <w:lang w:val="en-US" w:eastAsia="zh-CN" w:bidi="ar-SA"/>
        </w:rPr>
      </w:pPr>
      <w:r>
        <w:rPr>
          <w:rFonts w:hint="default" w:ascii="仿宋" w:hAnsi="仿宋" w:eastAsia="仿宋" w:cs="仿宋"/>
          <w:kern w:val="2"/>
          <w:sz w:val="28"/>
          <w:szCs w:val="28"/>
          <w:shd w:val="clear" w:color="auto" w:fill="auto"/>
          <w:lang w:val="en-US" w:eastAsia="zh-CN" w:bidi="ar-SA"/>
        </w:rPr>
        <w:t>B.</w:t>
      </w:r>
      <w:r>
        <w:rPr>
          <w:rFonts w:hint="eastAsia" w:ascii="仿宋" w:hAnsi="仿宋" w:eastAsia="仿宋" w:cs="仿宋"/>
          <w:kern w:val="2"/>
          <w:sz w:val="28"/>
          <w:szCs w:val="28"/>
          <w:shd w:val="clear" w:color="auto" w:fill="auto"/>
          <w:lang w:val="en-US" w:eastAsia="zh-CN" w:bidi="ar-SA"/>
        </w:rPr>
        <w:t>5600元</w:t>
      </w:r>
      <w:r>
        <w:rPr>
          <w:rFonts w:hint="default" w:ascii="仿宋" w:hAnsi="仿宋" w:eastAsia="仿宋" w:cs="仿宋"/>
          <w:kern w:val="2"/>
          <w:sz w:val="28"/>
          <w:szCs w:val="28"/>
          <w:shd w:val="clear" w:color="auto" w:fill="auto"/>
          <w:lang w:val="en-US" w:eastAsia="zh-CN" w:bidi="ar-SA"/>
        </w:rPr>
        <w:t>/人（</w:t>
      </w:r>
      <w:r>
        <w:rPr>
          <w:rFonts w:hint="eastAsia" w:ascii="仿宋" w:hAnsi="仿宋" w:eastAsia="仿宋" w:cs="仿宋"/>
          <w:kern w:val="2"/>
          <w:sz w:val="28"/>
          <w:szCs w:val="28"/>
          <w:shd w:val="clear" w:color="auto" w:fill="auto"/>
          <w:lang w:val="en-US" w:eastAsia="zh-CN" w:bidi="ar-SA"/>
        </w:rPr>
        <w:t>含：A费用标准所含全部项目和证书&lt;2选1&gt;），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仿宋" w:hAnsi="仿宋" w:eastAsia="仿宋" w:cs="仿宋"/>
          <w:kern w:val="2"/>
          <w:sz w:val="28"/>
          <w:szCs w:val="28"/>
          <w:shd w:val="clear" w:color="auto" w:fill="auto"/>
          <w:lang w:val="en-US" w:eastAsia="zh-CN" w:bidi="ar-SA"/>
        </w:rPr>
      </w:pPr>
      <w:r>
        <w:rPr>
          <w:rFonts w:hint="default" w:ascii="仿宋" w:hAnsi="仿宋" w:eastAsia="仿宋" w:cs="仿宋"/>
          <w:kern w:val="2"/>
          <w:sz w:val="28"/>
          <w:szCs w:val="28"/>
          <w:shd w:val="clear" w:color="auto" w:fill="auto"/>
          <w:lang w:val="en-US" w:eastAsia="zh-CN" w:bidi="ar-SA"/>
        </w:rPr>
        <w:t>住宿统一安排，费用自理。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firstLine="840" w:firstLineChars="350"/>
        <w:textAlignment w:val="auto"/>
        <w:rPr>
          <w:rFonts w:hint="eastAsia" w:ascii="仿宋" w:hAnsi="仿宋" w:eastAsia="仿宋" w:cs="仿宋"/>
          <w:kern w:val="2"/>
          <w:sz w:val="24"/>
          <w:szCs w:val="24"/>
          <w:shd w:val="clear" w:color="auto" w:fill="auto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4"/>
          <w:szCs w:val="24"/>
          <w:shd w:val="clear" w:color="auto" w:fill="auto"/>
          <w:lang w:val="en-US" w:eastAsia="zh-CN" w:bidi="ar-SA"/>
        </w:rPr>
        <w:t>证书1：《新型建筑工业化高级职业经理人（中级、高级）》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firstLine="840" w:firstLineChars="350"/>
        <w:textAlignment w:val="auto"/>
        <w:rPr>
          <w:rFonts w:hint="eastAsia" w:ascii="仿宋" w:hAnsi="仿宋" w:eastAsia="仿宋" w:cs="仿宋"/>
          <w:kern w:val="2"/>
          <w:sz w:val="24"/>
          <w:szCs w:val="24"/>
          <w:shd w:val="clear" w:color="auto" w:fill="auto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4"/>
          <w:szCs w:val="24"/>
          <w:shd w:val="clear" w:color="auto" w:fill="auto"/>
          <w:lang w:val="en-US" w:eastAsia="zh-CN" w:bidi="ar-SA"/>
        </w:rPr>
        <w:t>证书2：《新型建筑工业化管理师（中级、高级）》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560" w:firstLineChars="200"/>
        <w:textAlignment w:val="auto"/>
        <w:rPr>
          <w:rFonts w:hint="eastAsia" w:ascii="仿宋" w:hAnsi="仿宋" w:eastAsia="仿宋" w:cs="仿宋"/>
          <w:kern w:val="2"/>
          <w:sz w:val="28"/>
          <w:szCs w:val="28"/>
          <w:shd w:val="clear" w:color="auto" w:fill="auto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shd w:val="clear" w:color="auto" w:fill="auto"/>
          <w:lang w:val="en-US" w:eastAsia="zh-CN" w:bidi="ar-SA"/>
        </w:rPr>
        <w:t>C</w:t>
      </w:r>
      <w:r>
        <w:rPr>
          <w:rFonts w:hint="default" w:ascii="仿宋" w:hAnsi="仿宋" w:eastAsia="仿宋" w:cs="仿宋"/>
          <w:kern w:val="2"/>
          <w:sz w:val="28"/>
          <w:szCs w:val="28"/>
          <w:shd w:val="clear" w:color="auto" w:fill="auto"/>
          <w:lang w:val="en-US" w:eastAsia="zh-CN" w:bidi="ar-SA"/>
        </w:rPr>
        <w:t>.</w:t>
      </w:r>
      <w:r>
        <w:rPr>
          <w:rFonts w:hint="eastAsia" w:ascii="仿宋" w:hAnsi="仿宋" w:eastAsia="仿宋" w:cs="仿宋"/>
          <w:kern w:val="2"/>
          <w:sz w:val="28"/>
          <w:szCs w:val="28"/>
          <w:shd w:val="clear" w:color="auto" w:fill="auto"/>
          <w:lang w:val="en-US" w:eastAsia="zh-CN" w:bidi="ar-SA"/>
        </w:rPr>
        <w:t>5600元/人（含：A费用标准所含全部项目和住宿等）。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仿宋" w:hAnsi="仿宋" w:eastAsia="仿宋" w:cs="仿宋"/>
          <w:b/>
          <w:bCs/>
          <w:kern w:val="2"/>
          <w:sz w:val="28"/>
          <w:szCs w:val="28"/>
          <w:shd w:val="clear" w:color="auto" w:fill="auto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28"/>
          <w:szCs w:val="28"/>
          <w:shd w:val="clear" w:color="auto" w:fill="auto"/>
          <w:lang w:val="en-US" w:eastAsia="zh-CN" w:bidi="ar-SA"/>
        </w:rPr>
        <w:t>七、联系方式</w:t>
      </w:r>
    </w:p>
    <w:p>
      <w:pPr>
        <w:widowControl/>
        <w:spacing w:line="398" w:lineRule="exact"/>
        <w:jc w:val="both"/>
        <w:rPr>
          <w:rFonts w:hint="eastAsia" w:ascii="仿宋" w:hAnsi="仿宋" w:eastAsia="仿宋" w:cs="仿宋"/>
          <w:color w:val="000000" w:themeColor="text1"/>
          <w:kern w:val="2"/>
          <w:sz w:val="28"/>
          <w:szCs w:val="28"/>
          <w:shd w:val="clear" w:color="auto" w:fill="auto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2"/>
          <w:sz w:val="28"/>
          <w:szCs w:val="28"/>
          <w:shd w:val="clear" w:color="auto" w:fill="auto"/>
          <w:lang w:val="en-US" w:eastAsia="zh-CN" w:bidi="ar-SA"/>
          <w14:textFill>
            <w14:solidFill>
              <w14:schemeClr w14:val="tx1"/>
            </w14:solidFill>
          </w14:textFill>
        </w:rPr>
        <w:t xml:space="preserve">报名负责人：聂红军 主任18211071700（微信）   </w:t>
      </w:r>
    </w:p>
    <w:p>
      <w:pPr>
        <w:widowControl/>
        <w:spacing w:line="398" w:lineRule="exact"/>
        <w:jc w:val="both"/>
        <w:rPr>
          <w:rFonts w:hint="eastAsia" w:ascii="仿宋" w:hAnsi="仿宋" w:eastAsia="仿宋" w:cs="仿宋"/>
          <w:color w:val="000000" w:themeColor="text1"/>
          <w:kern w:val="2"/>
          <w:sz w:val="28"/>
          <w:szCs w:val="28"/>
          <w:shd w:val="clear" w:color="auto" w:fill="auto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2"/>
          <w:sz w:val="28"/>
          <w:szCs w:val="28"/>
          <w:shd w:val="clear" w:color="auto" w:fill="auto"/>
          <w:lang w:val="en-US" w:eastAsia="zh-CN" w:bidi="ar-SA"/>
          <w14:textFill>
            <w14:solidFill>
              <w14:schemeClr w14:val="tx1"/>
            </w14:solidFill>
          </w14:textFill>
        </w:rPr>
        <w:t xml:space="preserve">电  话：13141289128        邮    箱：zqgphwz@126.com  </w:t>
      </w:r>
    </w:p>
    <w:p>
      <w:pPr>
        <w:widowControl/>
        <w:spacing w:line="398" w:lineRule="exact"/>
        <w:jc w:val="both"/>
        <w:rPr>
          <w:rFonts w:hint="eastAsia" w:ascii="仿宋" w:hAnsi="仿宋" w:eastAsia="仿宋" w:cs="仿宋"/>
          <w:b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 w:themeColor="text1"/>
          <w:kern w:val="2"/>
          <w:sz w:val="28"/>
          <w:szCs w:val="28"/>
          <w:shd w:val="clear" w:color="auto" w:fill="auto"/>
          <w:lang w:val="en-US" w:eastAsia="zh-CN" w:bidi="ar-SA"/>
          <w14:textFill>
            <w14:solidFill>
              <w14:schemeClr w14:val="tx1"/>
            </w14:solidFill>
          </w14:textFill>
        </w:rPr>
        <w:t>qq咨询：3177524020        网    址：http://www.zqgpchina.cn</w:t>
      </w:r>
    </w:p>
    <w:p>
      <w:pPr>
        <w:widowControl/>
        <w:spacing w:line="398" w:lineRule="exact"/>
        <w:jc w:val="both"/>
        <w:rPr>
          <w:rFonts w:hint="eastAsia" w:ascii="仿宋" w:hAnsi="仿宋" w:eastAsia="仿宋" w:cs="仿宋"/>
          <w:b/>
          <w:color w:val="000000"/>
          <w:kern w:val="0"/>
          <w:sz w:val="30"/>
          <w:szCs w:val="30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widowControl/>
        <w:spacing w:line="398" w:lineRule="exact"/>
        <w:jc w:val="both"/>
        <w:rPr>
          <w:rFonts w:hint="eastAsia" w:ascii="仿宋" w:hAnsi="仿宋" w:eastAsia="仿宋" w:cs="仿宋"/>
          <w:b/>
          <w:bCs/>
          <w:color w:val="000000" w:themeColor="text1"/>
          <w:sz w:val="30"/>
          <w:szCs w:val="30"/>
          <w:lang w:bidi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color w:val="000000"/>
          <w:kern w:val="0"/>
          <w:sz w:val="30"/>
          <w:szCs w:val="30"/>
        </w:rPr>
        <w:t>附</w:t>
      </w:r>
      <w:r>
        <w:rPr>
          <w:rFonts w:hint="eastAsia" w:ascii="仿宋" w:hAnsi="仿宋" w:eastAsia="仿宋" w:cs="仿宋"/>
          <w:b/>
          <w:sz w:val="30"/>
          <w:szCs w:val="30"/>
        </w:rPr>
        <w:t xml:space="preserve">件2:  </w:t>
      </w:r>
    </w:p>
    <w:p>
      <w:pPr>
        <w:adjustRightInd w:val="0"/>
        <w:snapToGrid w:val="0"/>
        <w:spacing w:line="400" w:lineRule="exact"/>
        <w:jc w:val="center"/>
        <w:rPr>
          <w:rStyle w:val="12"/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Style w:val="12"/>
          <w:rFonts w:hint="eastAsia" w:ascii="仿宋" w:hAnsi="仿宋" w:eastAsia="仿宋" w:cs="仿宋"/>
          <w:color w:val="000000"/>
          <w:sz w:val="30"/>
          <w:szCs w:val="30"/>
          <w:lang w:val="zh-CN"/>
        </w:rPr>
        <w:t>“新形势下业主方项目总控管理提升与EPC工程总承包项目管理实践及风险控制专题培训班”报名回执表</w:t>
      </w:r>
    </w:p>
    <w:tbl>
      <w:tblPr>
        <w:tblStyle w:val="10"/>
        <w:tblpPr w:leftFromText="180" w:rightFromText="180" w:vertAnchor="text" w:horzAnchor="margin" w:tblpXSpec="center" w:tblpY="70"/>
        <w:tblW w:w="943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5"/>
        <w:gridCol w:w="552"/>
        <w:gridCol w:w="455"/>
        <w:gridCol w:w="1084"/>
        <w:gridCol w:w="1196"/>
        <w:gridCol w:w="1080"/>
        <w:gridCol w:w="1069"/>
        <w:gridCol w:w="206"/>
        <w:gridCol w:w="464"/>
        <w:gridCol w:w="376"/>
        <w:gridCol w:w="704"/>
        <w:gridCol w:w="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2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单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位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名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称</w:t>
            </w:r>
          </w:p>
        </w:tc>
        <w:tc>
          <w:tcPr>
            <w:tcW w:w="54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邮编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  <w:jc w:val="center"/>
        </w:trPr>
        <w:tc>
          <w:tcPr>
            <w:tcW w:w="2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通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讯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地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址</w:t>
            </w:r>
          </w:p>
        </w:tc>
        <w:tc>
          <w:tcPr>
            <w:tcW w:w="714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zh-CN"/>
              </w:rPr>
              <w:t>审批人</w:t>
            </w:r>
          </w:p>
        </w:tc>
        <w:tc>
          <w:tcPr>
            <w:tcW w:w="1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职 务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电  话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zh-CN"/>
              </w:rPr>
              <w:t>手机</w:t>
            </w:r>
          </w:p>
        </w:tc>
        <w:tc>
          <w:tcPr>
            <w:tcW w:w="1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zh-CN"/>
              </w:rPr>
              <w:t>联系人</w:t>
            </w:r>
          </w:p>
        </w:tc>
        <w:tc>
          <w:tcPr>
            <w:tcW w:w="1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职 务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电  话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zh-CN"/>
              </w:rPr>
              <w:t>手机</w:t>
            </w:r>
          </w:p>
        </w:tc>
        <w:tc>
          <w:tcPr>
            <w:tcW w:w="1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2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zh-CN"/>
              </w:rPr>
              <w:t>参会人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姓名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性 别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部  门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职  务</w:t>
            </w:r>
          </w:p>
        </w:tc>
        <w:tc>
          <w:tcPr>
            <w:tcW w:w="21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手 机</w:t>
            </w:r>
          </w:p>
        </w:tc>
        <w:tc>
          <w:tcPr>
            <w:tcW w:w="1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60" w:lineRule="exact"/>
              <w:ind w:firstLine="140" w:firstLineChars="5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2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1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2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1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2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1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2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1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2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1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2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1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1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住宿安排</w:t>
            </w:r>
          </w:p>
        </w:tc>
        <w:tc>
          <w:tcPr>
            <w:tcW w:w="38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□单住  □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合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住  □自行</w:t>
            </w:r>
          </w:p>
        </w:tc>
        <w:tc>
          <w:tcPr>
            <w:tcW w:w="21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参会地点</w:t>
            </w:r>
          </w:p>
        </w:tc>
        <w:tc>
          <w:tcPr>
            <w:tcW w:w="1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1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发票类型</w:t>
            </w:r>
          </w:p>
        </w:tc>
        <w:tc>
          <w:tcPr>
            <w:tcW w:w="759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增值税专用发票         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增值税普票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1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发票信息</w:t>
            </w:r>
          </w:p>
        </w:tc>
        <w:tc>
          <w:tcPr>
            <w:tcW w:w="759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开票单位：</w:t>
            </w:r>
          </w:p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纳税人识别号：</w:t>
            </w:r>
          </w:p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地址及电话：</w:t>
            </w:r>
          </w:p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开户行及账号：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1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您关注或亟待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解决的问题</w:t>
            </w:r>
          </w:p>
        </w:tc>
        <w:tc>
          <w:tcPr>
            <w:tcW w:w="759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证书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申报</w:t>
            </w:r>
          </w:p>
        </w:tc>
        <w:tc>
          <w:tcPr>
            <w:tcW w:w="759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GB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GB"/>
              </w:rPr>
              <w:t>《新型建筑工业化高级职业经理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人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GB"/>
              </w:rPr>
              <w:t>（中级、高级）》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GB"/>
              </w:rPr>
              <w:t>□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GB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GB"/>
              </w:rPr>
              <w:t>《新型建筑工业化管理师（中级、高级）》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 xml:space="preserve">       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GB"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exact"/>
          <w:jc w:val="center"/>
        </w:trPr>
        <w:tc>
          <w:tcPr>
            <w:tcW w:w="1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付款方式</w:t>
            </w:r>
          </w:p>
        </w:tc>
        <w:tc>
          <w:tcPr>
            <w:tcW w:w="48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GB"/>
              </w:rPr>
              <w:t>□汇款   □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支付宝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GB"/>
              </w:rPr>
              <w:t xml:space="preserve">  □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微信</w:t>
            </w:r>
          </w:p>
        </w:tc>
        <w:tc>
          <w:tcPr>
            <w:tcW w:w="10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en-GB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GB"/>
              </w:rPr>
              <w:t>金额</w:t>
            </w:r>
          </w:p>
        </w:tc>
        <w:tc>
          <w:tcPr>
            <w:tcW w:w="1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1" w:hRule="exact"/>
          <w:jc w:val="center"/>
        </w:trPr>
        <w:tc>
          <w:tcPr>
            <w:tcW w:w="1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收款账户</w:t>
            </w:r>
          </w:p>
        </w:tc>
        <w:tc>
          <w:tcPr>
            <w:tcW w:w="759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户  名：北京中科善若教育咨询有限公司</w:t>
            </w:r>
          </w:p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开户行：中国工商银行股份有限公司北京半壁店支行</w:t>
            </w:r>
          </w:p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账  号：0200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2470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0920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0077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514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1" w:hRule="exact"/>
          <w:jc w:val="center"/>
        </w:trPr>
        <w:tc>
          <w:tcPr>
            <w:tcW w:w="1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备注</w:t>
            </w:r>
          </w:p>
        </w:tc>
        <w:tc>
          <w:tcPr>
            <w:tcW w:w="55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请将《报名回执表》回传至会务组，并在报名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3日内办理培训费用，会务组确认到款后即发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《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报到通知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》，详细说明培训班具体安排事项。</w:t>
            </w:r>
          </w:p>
        </w:tc>
        <w:tc>
          <w:tcPr>
            <w:tcW w:w="20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单位印章</w:t>
            </w:r>
          </w:p>
          <w:p>
            <w:pPr>
              <w:widowControl/>
              <w:spacing w:line="360" w:lineRule="exact"/>
              <w:ind w:firstLine="0" w:firstLineChars="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202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年  月  日</w:t>
            </w:r>
          </w:p>
        </w:tc>
      </w:tr>
    </w:tbl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注：1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.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本次培训内容及建筑口相关管理培训均可赴企业提供内训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;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2" w:firstLineChars="200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欢迎与会代表携带相关资料和案例赴会与专家进行交流。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2" w:firstLineChars="200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3.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报名负责人：聂红军 主任18211071700（微信）   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843" w:firstLineChars="300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电  话：13141289128        邮    箱：zqgphwz@126.com  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843" w:firstLineChars="300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qq咨询：3177524020        网    址：http://www.zqgpchina.cn</w:t>
      </w:r>
    </w:p>
    <w:sectPr>
      <w:footerReference r:id="rId3" w:type="default"/>
      <w:footerReference r:id="rId4" w:type="even"/>
      <w:pgSz w:w="11906" w:h="16838"/>
      <w:pgMar w:top="907" w:right="1463" w:bottom="1020" w:left="1463" w:header="851" w:footer="850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3742055</wp:posOffset>
              </wp:positionH>
              <wp:positionV relativeFrom="paragraph">
                <wp:posOffset>142875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94.65pt;margin-top:11.25pt;height:144pt;width:144pt;mso-position-horizontal-relative:page;mso-wrap-style:none;z-index:251659264;mso-width-relative:page;mso-height-relative:page;" filled="f" stroked="f" coordsize="21600,21600" o:gfxdata="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BLwZ1fXAAAACgEAAA8AAAAAAAAA&#10;AQAgAAAAIgAAAGRycy9kb3ducmV2LnhtbFBLAQIUABQAAAAIAIdO4kBK283/EgIAABMEAAAOAAAA&#10;AAAAAAEAIAAAACY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3"/>
      </w:rPr>
    </w:pPr>
    <w:r>
      <w:fldChar w:fldCharType="begin"/>
    </w:r>
    <w:r>
      <w:rPr>
        <w:rStyle w:val="13"/>
      </w:rPr>
      <w:instrText xml:space="preserve">PAGE  </w:instrText>
    </w:r>
    <w:r>
      <w:fldChar w:fldCharType="end"/>
    </w:r>
  </w:p>
  <w:p>
    <w:pPr>
      <w:pStyle w:val="7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DD2FE11"/>
    <w:multiLevelType w:val="singleLevel"/>
    <w:tmpl w:val="CDD2FE11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1YTllOTdlYzdkY2M0Zjk0NGM4M2ZmMDI0ZDQ0YTYifQ=="/>
    <w:docVar w:name="KSO_WPS_MARK_KEY" w:val="5715d6a7-ec0a-4b26-a384-fcd33c6ccded"/>
  </w:docVars>
  <w:rsids>
    <w:rsidRoot w:val="00561A5D"/>
    <w:rsid w:val="00001F6A"/>
    <w:rsid w:val="0001041B"/>
    <w:rsid w:val="00015A97"/>
    <w:rsid w:val="00054606"/>
    <w:rsid w:val="000552AF"/>
    <w:rsid w:val="00064349"/>
    <w:rsid w:val="000729AF"/>
    <w:rsid w:val="00083A04"/>
    <w:rsid w:val="000B00CA"/>
    <w:rsid w:val="000C698C"/>
    <w:rsid w:val="000E2AE5"/>
    <w:rsid w:val="00110D5F"/>
    <w:rsid w:val="00164852"/>
    <w:rsid w:val="001778CB"/>
    <w:rsid w:val="001A6A10"/>
    <w:rsid w:val="001C28DF"/>
    <w:rsid w:val="001D5E90"/>
    <w:rsid w:val="00264608"/>
    <w:rsid w:val="002A010A"/>
    <w:rsid w:val="002D40D1"/>
    <w:rsid w:val="00377EF8"/>
    <w:rsid w:val="0038443E"/>
    <w:rsid w:val="003F3310"/>
    <w:rsid w:val="00400E24"/>
    <w:rsid w:val="004B4957"/>
    <w:rsid w:val="004E0506"/>
    <w:rsid w:val="00561A5D"/>
    <w:rsid w:val="005A4418"/>
    <w:rsid w:val="005B563D"/>
    <w:rsid w:val="005C6610"/>
    <w:rsid w:val="006A5EDC"/>
    <w:rsid w:val="00705FCE"/>
    <w:rsid w:val="007123DD"/>
    <w:rsid w:val="00715143"/>
    <w:rsid w:val="007213A8"/>
    <w:rsid w:val="007E56C8"/>
    <w:rsid w:val="0080304D"/>
    <w:rsid w:val="00824BF9"/>
    <w:rsid w:val="008676A2"/>
    <w:rsid w:val="0087665B"/>
    <w:rsid w:val="00876B28"/>
    <w:rsid w:val="00886AC6"/>
    <w:rsid w:val="008A0314"/>
    <w:rsid w:val="008C7C69"/>
    <w:rsid w:val="008F35FB"/>
    <w:rsid w:val="0097588A"/>
    <w:rsid w:val="009E7E1D"/>
    <w:rsid w:val="00A958CE"/>
    <w:rsid w:val="00B052E1"/>
    <w:rsid w:val="00B62999"/>
    <w:rsid w:val="00B644B0"/>
    <w:rsid w:val="00B77E93"/>
    <w:rsid w:val="00BA6A03"/>
    <w:rsid w:val="00C65B66"/>
    <w:rsid w:val="00CA31CE"/>
    <w:rsid w:val="00CA4B35"/>
    <w:rsid w:val="00D04E8E"/>
    <w:rsid w:val="00D122C2"/>
    <w:rsid w:val="00D559D3"/>
    <w:rsid w:val="00D91232"/>
    <w:rsid w:val="00E5187D"/>
    <w:rsid w:val="00E60B81"/>
    <w:rsid w:val="00E63DD9"/>
    <w:rsid w:val="00F23E84"/>
    <w:rsid w:val="00F263AA"/>
    <w:rsid w:val="00F26C90"/>
    <w:rsid w:val="00FC1092"/>
    <w:rsid w:val="01AA75B9"/>
    <w:rsid w:val="01C43799"/>
    <w:rsid w:val="01F00AD3"/>
    <w:rsid w:val="029F35E1"/>
    <w:rsid w:val="032827D5"/>
    <w:rsid w:val="0349622F"/>
    <w:rsid w:val="03661A34"/>
    <w:rsid w:val="03930F87"/>
    <w:rsid w:val="03D14453"/>
    <w:rsid w:val="043D6E93"/>
    <w:rsid w:val="044F2054"/>
    <w:rsid w:val="046D1BAD"/>
    <w:rsid w:val="04727DF3"/>
    <w:rsid w:val="047D6ADD"/>
    <w:rsid w:val="04EF2250"/>
    <w:rsid w:val="05466142"/>
    <w:rsid w:val="05A709C2"/>
    <w:rsid w:val="05BA6AD7"/>
    <w:rsid w:val="05DF688A"/>
    <w:rsid w:val="05F7291D"/>
    <w:rsid w:val="06074814"/>
    <w:rsid w:val="063B1EC7"/>
    <w:rsid w:val="06521ACA"/>
    <w:rsid w:val="06B04322"/>
    <w:rsid w:val="071B4C12"/>
    <w:rsid w:val="073A63BF"/>
    <w:rsid w:val="077E2B49"/>
    <w:rsid w:val="0858644A"/>
    <w:rsid w:val="08B228B3"/>
    <w:rsid w:val="08D47910"/>
    <w:rsid w:val="090C3CEE"/>
    <w:rsid w:val="094E3A7D"/>
    <w:rsid w:val="09A22609"/>
    <w:rsid w:val="0A474359"/>
    <w:rsid w:val="0AC7202C"/>
    <w:rsid w:val="0B4A102C"/>
    <w:rsid w:val="0B5806CB"/>
    <w:rsid w:val="0B6F6233"/>
    <w:rsid w:val="0BCA381A"/>
    <w:rsid w:val="0C1B2BF2"/>
    <w:rsid w:val="0C5870BA"/>
    <w:rsid w:val="0CD970A9"/>
    <w:rsid w:val="0CE35749"/>
    <w:rsid w:val="0CFA5A02"/>
    <w:rsid w:val="0DAB10A3"/>
    <w:rsid w:val="0E4A586F"/>
    <w:rsid w:val="102767A1"/>
    <w:rsid w:val="10494F42"/>
    <w:rsid w:val="115A49B1"/>
    <w:rsid w:val="115D312E"/>
    <w:rsid w:val="11CE0840"/>
    <w:rsid w:val="121623CD"/>
    <w:rsid w:val="12322E4A"/>
    <w:rsid w:val="128647C6"/>
    <w:rsid w:val="134F3BF3"/>
    <w:rsid w:val="139545FB"/>
    <w:rsid w:val="13A2523A"/>
    <w:rsid w:val="13D81034"/>
    <w:rsid w:val="146506FE"/>
    <w:rsid w:val="14A46A3D"/>
    <w:rsid w:val="14FB3A3B"/>
    <w:rsid w:val="150837ED"/>
    <w:rsid w:val="156664CF"/>
    <w:rsid w:val="159B61D8"/>
    <w:rsid w:val="15B23194"/>
    <w:rsid w:val="15C66620"/>
    <w:rsid w:val="16714A4C"/>
    <w:rsid w:val="16DB01F4"/>
    <w:rsid w:val="16DF1A6A"/>
    <w:rsid w:val="16E053BF"/>
    <w:rsid w:val="171D1C21"/>
    <w:rsid w:val="175971D6"/>
    <w:rsid w:val="183B7A43"/>
    <w:rsid w:val="18CB656F"/>
    <w:rsid w:val="1A4D6496"/>
    <w:rsid w:val="1A8565F6"/>
    <w:rsid w:val="1A8B4739"/>
    <w:rsid w:val="1A8D109D"/>
    <w:rsid w:val="1A9E5FD2"/>
    <w:rsid w:val="1B5C3986"/>
    <w:rsid w:val="1C7A582F"/>
    <w:rsid w:val="1CC55FD4"/>
    <w:rsid w:val="1D0065B7"/>
    <w:rsid w:val="1D68375E"/>
    <w:rsid w:val="1DA3222F"/>
    <w:rsid w:val="1DA52FC1"/>
    <w:rsid w:val="1E7D03A4"/>
    <w:rsid w:val="1EC83C0C"/>
    <w:rsid w:val="1F68595A"/>
    <w:rsid w:val="1FD0648E"/>
    <w:rsid w:val="1FDC0533"/>
    <w:rsid w:val="1FFE0CE2"/>
    <w:rsid w:val="201573DC"/>
    <w:rsid w:val="202066E5"/>
    <w:rsid w:val="206C3D1F"/>
    <w:rsid w:val="20DD561A"/>
    <w:rsid w:val="2132575F"/>
    <w:rsid w:val="21792DE3"/>
    <w:rsid w:val="21B666CE"/>
    <w:rsid w:val="22B54114"/>
    <w:rsid w:val="237006B3"/>
    <w:rsid w:val="240E7B2A"/>
    <w:rsid w:val="24BB6EFA"/>
    <w:rsid w:val="24F4060D"/>
    <w:rsid w:val="2517088E"/>
    <w:rsid w:val="255D6232"/>
    <w:rsid w:val="256C4D8A"/>
    <w:rsid w:val="260D4C55"/>
    <w:rsid w:val="261C4560"/>
    <w:rsid w:val="26296BB1"/>
    <w:rsid w:val="265C31CA"/>
    <w:rsid w:val="26EE7763"/>
    <w:rsid w:val="27260E0D"/>
    <w:rsid w:val="27397C6F"/>
    <w:rsid w:val="27546E95"/>
    <w:rsid w:val="276B2619"/>
    <w:rsid w:val="279F712B"/>
    <w:rsid w:val="288A6DB6"/>
    <w:rsid w:val="28926E6E"/>
    <w:rsid w:val="28F3436E"/>
    <w:rsid w:val="28F47D1A"/>
    <w:rsid w:val="2A3454D1"/>
    <w:rsid w:val="2A4306E5"/>
    <w:rsid w:val="2A63343B"/>
    <w:rsid w:val="2A9E45E1"/>
    <w:rsid w:val="2AFA7A67"/>
    <w:rsid w:val="2B6B0AB5"/>
    <w:rsid w:val="2C0E52E3"/>
    <w:rsid w:val="2C4C77F3"/>
    <w:rsid w:val="2D4B39F6"/>
    <w:rsid w:val="2D6C7762"/>
    <w:rsid w:val="2DA44690"/>
    <w:rsid w:val="2DB04FFA"/>
    <w:rsid w:val="2E65251B"/>
    <w:rsid w:val="2ED50115"/>
    <w:rsid w:val="2F0C1322"/>
    <w:rsid w:val="2F6649D2"/>
    <w:rsid w:val="2FC97CA3"/>
    <w:rsid w:val="2FCF71DA"/>
    <w:rsid w:val="2FEF7F60"/>
    <w:rsid w:val="30750C14"/>
    <w:rsid w:val="315F4E7E"/>
    <w:rsid w:val="31D90154"/>
    <w:rsid w:val="326B6801"/>
    <w:rsid w:val="32800034"/>
    <w:rsid w:val="3294317E"/>
    <w:rsid w:val="33912FAC"/>
    <w:rsid w:val="3423303B"/>
    <w:rsid w:val="349031D9"/>
    <w:rsid w:val="353614AE"/>
    <w:rsid w:val="353E3A38"/>
    <w:rsid w:val="359F3257"/>
    <w:rsid w:val="35A345F6"/>
    <w:rsid w:val="35EC0AFB"/>
    <w:rsid w:val="36113918"/>
    <w:rsid w:val="36184CE9"/>
    <w:rsid w:val="369D4DD8"/>
    <w:rsid w:val="36A10F0A"/>
    <w:rsid w:val="36EF2CCC"/>
    <w:rsid w:val="37316EC3"/>
    <w:rsid w:val="37355F43"/>
    <w:rsid w:val="37675DC5"/>
    <w:rsid w:val="37831DAB"/>
    <w:rsid w:val="37D701C5"/>
    <w:rsid w:val="381722E3"/>
    <w:rsid w:val="38FC7A5B"/>
    <w:rsid w:val="39837C09"/>
    <w:rsid w:val="39A32C9E"/>
    <w:rsid w:val="39C971FF"/>
    <w:rsid w:val="39EA72C5"/>
    <w:rsid w:val="3A426FF8"/>
    <w:rsid w:val="3A862919"/>
    <w:rsid w:val="3A9521A2"/>
    <w:rsid w:val="3AA70B9C"/>
    <w:rsid w:val="3AD366D9"/>
    <w:rsid w:val="3AEF323B"/>
    <w:rsid w:val="3BD0005E"/>
    <w:rsid w:val="3C21082F"/>
    <w:rsid w:val="3C7C3A87"/>
    <w:rsid w:val="3D3F33F8"/>
    <w:rsid w:val="3D4D54D1"/>
    <w:rsid w:val="3DCD34C6"/>
    <w:rsid w:val="3DE73182"/>
    <w:rsid w:val="3E740034"/>
    <w:rsid w:val="3ECB6107"/>
    <w:rsid w:val="3EE700E0"/>
    <w:rsid w:val="3EF13AB3"/>
    <w:rsid w:val="3EFE449C"/>
    <w:rsid w:val="3F927F8D"/>
    <w:rsid w:val="3F930273"/>
    <w:rsid w:val="3FA61B7B"/>
    <w:rsid w:val="402672ED"/>
    <w:rsid w:val="40397E39"/>
    <w:rsid w:val="40CE3BE3"/>
    <w:rsid w:val="410D5886"/>
    <w:rsid w:val="410E5D69"/>
    <w:rsid w:val="414D6DBF"/>
    <w:rsid w:val="421B5F47"/>
    <w:rsid w:val="425602D0"/>
    <w:rsid w:val="42F97BDF"/>
    <w:rsid w:val="43152607"/>
    <w:rsid w:val="43E91E8F"/>
    <w:rsid w:val="444D69CD"/>
    <w:rsid w:val="450544E6"/>
    <w:rsid w:val="45683321"/>
    <w:rsid w:val="459D67BA"/>
    <w:rsid w:val="45D029AF"/>
    <w:rsid w:val="461152C6"/>
    <w:rsid w:val="46950422"/>
    <w:rsid w:val="46E013EE"/>
    <w:rsid w:val="46E01C27"/>
    <w:rsid w:val="47772310"/>
    <w:rsid w:val="47825902"/>
    <w:rsid w:val="47D46E80"/>
    <w:rsid w:val="48254D33"/>
    <w:rsid w:val="48B16564"/>
    <w:rsid w:val="48BB35CC"/>
    <w:rsid w:val="49455E4D"/>
    <w:rsid w:val="49600379"/>
    <w:rsid w:val="498D71B4"/>
    <w:rsid w:val="49F1105C"/>
    <w:rsid w:val="49FC2BDF"/>
    <w:rsid w:val="4A301467"/>
    <w:rsid w:val="4A486B9C"/>
    <w:rsid w:val="4AD7471E"/>
    <w:rsid w:val="4AF95488"/>
    <w:rsid w:val="4BB276C4"/>
    <w:rsid w:val="4C1F53C3"/>
    <w:rsid w:val="4CFB055D"/>
    <w:rsid w:val="4D2F0E24"/>
    <w:rsid w:val="4DA81DEE"/>
    <w:rsid w:val="4ED722BE"/>
    <w:rsid w:val="4EF15E6C"/>
    <w:rsid w:val="4F6D0506"/>
    <w:rsid w:val="4FA725CF"/>
    <w:rsid w:val="4FBD4804"/>
    <w:rsid w:val="4FD1706E"/>
    <w:rsid w:val="4FE70C9E"/>
    <w:rsid w:val="501E7EEA"/>
    <w:rsid w:val="50294C9A"/>
    <w:rsid w:val="504C59FF"/>
    <w:rsid w:val="50961125"/>
    <w:rsid w:val="51002139"/>
    <w:rsid w:val="51B77EDD"/>
    <w:rsid w:val="5240014C"/>
    <w:rsid w:val="52426781"/>
    <w:rsid w:val="527574C8"/>
    <w:rsid w:val="52AD5BDD"/>
    <w:rsid w:val="52C60855"/>
    <w:rsid w:val="52E272C3"/>
    <w:rsid w:val="53434E3B"/>
    <w:rsid w:val="53463D95"/>
    <w:rsid w:val="53840D32"/>
    <w:rsid w:val="53EB5FD4"/>
    <w:rsid w:val="53F10E8F"/>
    <w:rsid w:val="540577DE"/>
    <w:rsid w:val="54396974"/>
    <w:rsid w:val="545B29C9"/>
    <w:rsid w:val="5488294C"/>
    <w:rsid w:val="54FD3EE7"/>
    <w:rsid w:val="556B5471"/>
    <w:rsid w:val="55E072CA"/>
    <w:rsid w:val="567A6C4D"/>
    <w:rsid w:val="56EA5E46"/>
    <w:rsid w:val="58006282"/>
    <w:rsid w:val="58175A42"/>
    <w:rsid w:val="59B56DBD"/>
    <w:rsid w:val="59DD65B5"/>
    <w:rsid w:val="5ACD3D1A"/>
    <w:rsid w:val="5AF30447"/>
    <w:rsid w:val="5B190063"/>
    <w:rsid w:val="5BBE3AFC"/>
    <w:rsid w:val="5C264444"/>
    <w:rsid w:val="5D1D4153"/>
    <w:rsid w:val="5E7B0798"/>
    <w:rsid w:val="5E836A0F"/>
    <w:rsid w:val="5E9759BE"/>
    <w:rsid w:val="5EF848AF"/>
    <w:rsid w:val="5F710912"/>
    <w:rsid w:val="5FE8474F"/>
    <w:rsid w:val="5FEC779D"/>
    <w:rsid w:val="60764C5F"/>
    <w:rsid w:val="60A46D6E"/>
    <w:rsid w:val="610B0EAC"/>
    <w:rsid w:val="61CD4305"/>
    <w:rsid w:val="62370CDE"/>
    <w:rsid w:val="628F5A13"/>
    <w:rsid w:val="6307434D"/>
    <w:rsid w:val="640423AC"/>
    <w:rsid w:val="658B4DD0"/>
    <w:rsid w:val="65DF36F2"/>
    <w:rsid w:val="65FF27CF"/>
    <w:rsid w:val="66075225"/>
    <w:rsid w:val="661E622C"/>
    <w:rsid w:val="667B08B2"/>
    <w:rsid w:val="66936FDF"/>
    <w:rsid w:val="66F946B6"/>
    <w:rsid w:val="671B16EB"/>
    <w:rsid w:val="671D31E0"/>
    <w:rsid w:val="6729047C"/>
    <w:rsid w:val="678413A9"/>
    <w:rsid w:val="68585B41"/>
    <w:rsid w:val="68F30FB4"/>
    <w:rsid w:val="698F2E7A"/>
    <w:rsid w:val="69A0522C"/>
    <w:rsid w:val="6A710901"/>
    <w:rsid w:val="6AC81C04"/>
    <w:rsid w:val="6B3339D4"/>
    <w:rsid w:val="6B3431E0"/>
    <w:rsid w:val="6B8F46B3"/>
    <w:rsid w:val="6BAE3C32"/>
    <w:rsid w:val="6BB738E9"/>
    <w:rsid w:val="6C2A4DC8"/>
    <w:rsid w:val="6C83422A"/>
    <w:rsid w:val="6C842198"/>
    <w:rsid w:val="6C8A5FD8"/>
    <w:rsid w:val="6CE721CA"/>
    <w:rsid w:val="6D220C7D"/>
    <w:rsid w:val="6D481EF9"/>
    <w:rsid w:val="6E0677B4"/>
    <w:rsid w:val="6E7A07A4"/>
    <w:rsid w:val="6EE80276"/>
    <w:rsid w:val="6EFC4724"/>
    <w:rsid w:val="6F49360F"/>
    <w:rsid w:val="6F921F7B"/>
    <w:rsid w:val="70B631F9"/>
    <w:rsid w:val="710C3184"/>
    <w:rsid w:val="71477B3B"/>
    <w:rsid w:val="72007643"/>
    <w:rsid w:val="722328DD"/>
    <w:rsid w:val="723523FD"/>
    <w:rsid w:val="72CF05D8"/>
    <w:rsid w:val="72D01C9E"/>
    <w:rsid w:val="72F94E08"/>
    <w:rsid w:val="732A1CF1"/>
    <w:rsid w:val="73350A0B"/>
    <w:rsid w:val="7386199C"/>
    <w:rsid w:val="73A46B66"/>
    <w:rsid w:val="73EC7C26"/>
    <w:rsid w:val="73FA777F"/>
    <w:rsid w:val="74147B5B"/>
    <w:rsid w:val="74F804AB"/>
    <w:rsid w:val="75A91FBF"/>
    <w:rsid w:val="75E96273"/>
    <w:rsid w:val="75F54224"/>
    <w:rsid w:val="766F7FB5"/>
    <w:rsid w:val="76B914B7"/>
    <w:rsid w:val="76E66A66"/>
    <w:rsid w:val="76F81405"/>
    <w:rsid w:val="76FF45BD"/>
    <w:rsid w:val="773F1D39"/>
    <w:rsid w:val="77456938"/>
    <w:rsid w:val="77C30D24"/>
    <w:rsid w:val="78046BDE"/>
    <w:rsid w:val="78046E85"/>
    <w:rsid w:val="785A14DD"/>
    <w:rsid w:val="78846E9F"/>
    <w:rsid w:val="7887389E"/>
    <w:rsid w:val="78914A91"/>
    <w:rsid w:val="78A76CDD"/>
    <w:rsid w:val="78C533E3"/>
    <w:rsid w:val="792B1A28"/>
    <w:rsid w:val="79727DAC"/>
    <w:rsid w:val="79E35F6B"/>
    <w:rsid w:val="79EA286C"/>
    <w:rsid w:val="79FF00E6"/>
    <w:rsid w:val="7A007B2F"/>
    <w:rsid w:val="7A0D08EC"/>
    <w:rsid w:val="7A3D6593"/>
    <w:rsid w:val="7A6E724C"/>
    <w:rsid w:val="7AA4145F"/>
    <w:rsid w:val="7AA54102"/>
    <w:rsid w:val="7ABE4FD2"/>
    <w:rsid w:val="7B271311"/>
    <w:rsid w:val="7B9C7145"/>
    <w:rsid w:val="7BB165E1"/>
    <w:rsid w:val="7BC42E2C"/>
    <w:rsid w:val="7BD220D4"/>
    <w:rsid w:val="7C3D07FA"/>
    <w:rsid w:val="7C63743B"/>
    <w:rsid w:val="7C8D1726"/>
    <w:rsid w:val="7D58316D"/>
    <w:rsid w:val="7D6A2896"/>
    <w:rsid w:val="7D7D3522"/>
    <w:rsid w:val="7D980A50"/>
    <w:rsid w:val="7E332C76"/>
    <w:rsid w:val="7F4837F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tabs>
        <w:tab w:val="left" w:pos="-1440"/>
      </w:tabs>
      <w:spacing w:after="0" w:line="360" w:lineRule="auto"/>
      <w:ind w:left="176" w:leftChars="0" w:firstLine="420" w:firstLineChars="200"/>
    </w:pPr>
    <w:rPr>
      <w:rFonts w:ascii="仿宋" w:eastAsia="仿宋"/>
      <w:sz w:val="24"/>
      <w:szCs w:val="24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5">
    <w:name w:val="Body Text"/>
    <w:basedOn w:val="1"/>
    <w:qFormat/>
    <w:uiPriority w:val="1"/>
    <w:pPr>
      <w:ind w:left="1068"/>
    </w:pPr>
    <w:rPr>
      <w:sz w:val="32"/>
      <w:szCs w:val="32"/>
    </w:rPr>
  </w:style>
  <w:style w:type="paragraph" w:styleId="6">
    <w:name w:val="Balloon Text"/>
    <w:basedOn w:val="1"/>
    <w:link w:val="18"/>
    <w:qFormat/>
    <w:uiPriority w:val="0"/>
    <w:rPr>
      <w:sz w:val="18"/>
      <w:szCs w:val="18"/>
    </w:rPr>
  </w:style>
  <w:style w:type="paragraph" w:styleId="7">
    <w:name w:val="footer"/>
    <w:basedOn w:val="1"/>
    <w:semiHidden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styleId="12">
    <w:name w:val="Strong"/>
    <w:qFormat/>
    <w:uiPriority w:val="0"/>
    <w:rPr>
      <w:b/>
      <w:bCs/>
    </w:rPr>
  </w:style>
  <w:style w:type="character" w:styleId="13">
    <w:name w:val="page number"/>
    <w:basedOn w:val="11"/>
    <w:qFormat/>
    <w:uiPriority w:val="0"/>
  </w:style>
  <w:style w:type="character" w:styleId="14">
    <w:name w:val="Hyperlink"/>
    <w:basedOn w:val="11"/>
    <w:qFormat/>
    <w:uiPriority w:val="0"/>
    <w:rPr>
      <w:color w:val="0000FF"/>
      <w:u w:val="single"/>
    </w:rPr>
  </w:style>
  <w:style w:type="paragraph" w:customStyle="1" w:styleId="15">
    <w:name w:val="Char Char Char Char Char Char Char"/>
    <w:basedOn w:val="1"/>
    <w:qFormat/>
    <w:uiPriority w:val="0"/>
    <w:pPr>
      <w:widowControl/>
      <w:spacing w:line="240" w:lineRule="exact"/>
      <w:jc w:val="left"/>
    </w:pPr>
  </w:style>
  <w:style w:type="paragraph" w:customStyle="1" w:styleId="16">
    <w:name w:val="列出段落1"/>
    <w:basedOn w:val="1"/>
    <w:qFormat/>
    <w:uiPriority w:val="34"/>
    <w:pPr>
      <w:spacing w:line="360" w:lineRule="auto"/>
      <w:ind w:firstLine="420" w:firstLineChars="200"/>
    </w:pPr>
  </w:style>
  <w:style w:type="character" w:customStyle="1" w:styleId="17">
    <w:name w:val="页眉 Char"/>
    <w:basedOn w:val="11"/>
    <w:link w:val="8"/>
    <w:qFormat/>
    <w:uiPriority w:val="0"/>
    <w:rPr>
      <w:kern w:val="2"/>
      <w:sz w:val="18"/>
      <w:szCs w:val="18"/>
    </w:rPr>
  </w:style>
  <w:style w:type="character" w:customStyle="1" w:styleId="18">
    <w:name w:val="批注框文本 Char"/>
    <w:basedOn w:val="11"/>
    <w:link w:val="6"/>
    <w:qFormat/>
    <w:uiPriority w:val="0"/>
    <w:rPr>
      <w:kern w:val="2"/>
      <w:sz w:val="18"/>
      <w:szCs w:val="18"/>
    </w:rPr>
  </w:style>
  <w:style w:type="paragraph" w:styleId="19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4203</Words>
  <Characters>4721</Characters>
  <Lines>28</Lines>
  <Paragraphs>8</Paragraphs>
  <TotalTime>3</TotalTime>
  <ScaleCrop>false</ScaleCrop>
  <LinksUpToDate>false</LinksUpToDate>
  <CharactersWithSpaces>4914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2022-12-14T09:46:00Z</dcterms:created>
  <dc:creator>59901</dc:creator>
  <cp:lastModifiedBy>Administrator</cp:lastModifiedBy>
  <cp:lastPrinted>2021-01-29T04:53:00Z</cp:lastPrinted>
  <dcterms:modified xsi:type="dcterms:W3CDTF">2023-05-31T07:45:30Z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5C07C9E504A3494BBE0B3E5DB138CB5D_13</vt:lpwstr>
  </property>
</Properties>
</file>