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FF0000"/>
          <w:sz w:val="72"/>
          <w:szCs w:val="72"/>
          <w:lang w:val="en-US" w:eastAsia="zh-CN"/>
        </w:rPr>
      </w:pPr>
      <w:r>
        <w:rPr>
          <w:rFonts w:hint="default" w:asciiTheme="minorAscii" w:hAnsiTheme="minorAscii" w:eastAsiaTheme="minorEastAsia"/>
          <w:b/>
          <w:bCs/>
          <w:color w:val="FF0000"/>
          <w:sz w:val="84"/>
          <w:szCs w:val="72"/>
          <w:lang w:val="en-US" w:eastAsia="zh-CN"/>
        </w:rPr>
        <w:t>中国国际工程咨询协会</w:t>
      </w:r>
    </w:p>
    <w:p>
      <w:pPr>
        <w:jc w:val="center"/>
        <w:rPr>
          <w:rFonts w:ascii="仿宋" w:hAnsi="仿宋" w:eastAsia="仿宋" w:cs="仿宋"/>
          <w:b/>
          <w:bCs/>
          <w:sz w:val="28"/>
        </w:rPr>
      </w:pPr>
      <w:r>
        <w:rPr>
          <w:rFonts w:hint="default" w:ascii="仿宋" w:hAnsi="仿宋" w:eastAsia="仿宋" w:cs="仿宋"/>
          <w:b/>
          <w:bCs/>
          <w:sz w:val="28"/>
          <w:lang w:val="en-US"/>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363220</wp:posOffset>
                </wp:positionV>
                <wp:extent cx="6918325" cy="0"/>
                <wp:effectExtent l="0" t="9525" r="15875" b="9525"/>
                <wp:wrapNone/>
                <wp:docPr id="1" name="直接连接符 1"/>
                <wp:cNvGraphicFramePr/>
                <a:graphic xmlns:a="http://schemas.openxmlformats.org/drawingml/2006/main">
                  <a:graphicData uri="http://schemas.microsoft.com/office/word/2010/wordprocessingShape">
                    <wps:wsp>
                      <wps:cNvCnPr/>
                      <wps:spPr>
                        <a:xfrm>
                          <a:off x="0" y="0"/>
                          <a:ext cx="691832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8.45pt;margin-top:28.6pt;height:0pt;width:544.75pt;z-index:251659264;mso-width-relative:page;mso-height-relative:page;" filled="f" stroked="t" coordsize="21600,21600" o:gfxdata="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XO&#10;897VAAAACgEAAA8AAAAAAAAAAQAgAAAAIgAAAGRycy9kb3ducmV2LnhtbFBLAQIUABQAAAAIAIdO&#10;4kBeQEvG7QEAAMADAAAOAAAAAAAAAAEAIAAAACQBAABkcnMvZTJvRG9jLnhtbFBLBQYAAAAABgAG&#10;AFkBAACDBQAAAAA=&#10;">
                <v:fill on="f" focussize="0,0"/>
                <v:stroke weight="1.5pt" color="#FF0000" miterlimit="8" joinstyle="miter"/>
                <v:imagedata o:title=""/>
                <o:lock v:ext="edit" aspectratio="f"/>
              </v:line>
            </w:pict>
          </mc:Fallback>
        </mc:AlternateContent>
      </w:r>
      <w:r>
        <w:rPr>
          <w:rFonts w:hint="eastAsia" w:ascii="仿宋" w:hAnsi="仿宋" w:eastAsia="仿宋" w:cs="仿宋"/>
          <w:b/>
          <w:bCs/>
          <w:sz w:val="28"/>
          <w:lang w:val="en-US" w:eastAsia="zh-CN"/>
        </w:rPr>
        <w:t>国咨协</w:t>
      </w:r>
      <w:r>
        <w:rPr>
          <w:rFonts w:hint="eastAsia" w:ascii="仿宋" w:hAnsi="仿宋" w:eastAsia="仿宋" w:cs="仿宋"/>
          <w:b/>
          <w:bCs/>
          <w:sz w:val="28"/>
        </w:rPr>
        <w:t>2023[</w:t>
      </w:r>
      <w:r>
        <w:rPr>
          <w:rFonts w:hint="eastAsia" w:ascii="仿宋" w:hAnsi="仿宋" w:eastAsia="仿宋" w:cs="仿宋"/>
          <w:b/>
          <w:bCs/>
          <w:sz w:val="28"/>
          <w:lang w:val="en-US" w:eastAsia="zh-CN"/>
        </w:rPr>
        <w:t>74</w:t>
      </w:r>
      <w:r>
        <w:rPr>
          <w:rFonts w:hint="eastAsia" w:ascii="仿宋" w:hAnsi="仿宋" w:eastAsia="仿宋" w:cs="仿宋"/>
          <w:b/>
          <w:bCs/>
          <w:sz w:val="28"/>
        </w:rPr>
        <w:t>]号</w:t>
      </w:r>
    </w:p>
    <w:p>
      <w:pPr>
        <w:jc w:val="center"/>
        <w:rPr>
          <w:rFonts w:ascii="仿宋" w:hAnsi="仿宋" w:eastAsia="仿宋" w:cs="仿宋"/>
          <w:b/>
          <w:bCs/>
          <w:sz w:val="28"/>
        </w:rPr>
      </w:pPr>
      <w:r>
        <w:rPr>
          <w:rFonts w:hint="eastAsia" w:ascii="仿宋" w:hAnsi="仿宋" w:eastAsia="仿宋" w:cs="仿宋"/>
          <w:b/>
          <w:bCs/>
          <w:sz w:val="28"/>
        </w:rPr>
        <w:t>关于举办“国际工程EPC总承包招投标实战技巧、项目组织与管理案例解析暨国际工程合同风险管理及案例解析”培训班的通知</w:t>
      </w:r>
    </w:p>
    <w:p>
      <w:pPr>
        <w:ind w:firstLine="514" w:firstLineChars="200"/>
        <w:rPr>
          <w:rFonts w:ascii="Times New Roman" w:hAnsi="Times New Roman" w:eastAsia="仿宋" w:cs="Times New Roman"/>
          <w:b/>
          <w:bCs/>
          <w:spacing w:val="8"/>
          <w:kern w:val="0"/>
          <w:sz w:val="24"/>
          <w:shd w:val="clear" w:color="auto" w:fill="FFFFFF"/>
        </w:rPr>
      </w:pPr>
    </w:p>
    <w:p>
      <w:pPr>
        <w:spacing w:afterLines="5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各相关单位：</w:t>
      </w:r>
    </w:p>
    <w:p>
      <w:pPr>
        <w:ind w:firstLine="512" w:firstLineChars="200"/>
        <w:rPr>
          <w:rFonts w:ascii="仿宋" w:hAnsi="仿宋" w:eastAsia="仿宋" w:cs="Times New Roman"/>
          <w:color w:val="auto"/>
          <w:spacing w:val="8"/>
          <w:kern w:val="0"/>
          <w:sz w:val="24"/>
          <w:shd w:val="clear" w:color="auto" w:fill="FFFFFF"/>
        </w:rPr>
      </w:pPr>
      <w:r>
        <w:rPr>
          <w:rFonts w:hint="eastAsia" w:ascii="仿宋" w:hAnsi="仿宋" w:eastAsia="仿宋" w:cs="Times New Roman"/>
          <w:color w:val="auto"/>
          <w:spacing w:val="8"/>
          <w:kern w:val="0"/>
          <w:sz w:val="24"/>
          <w:shd w:val="clear" w:color="auto" w:fill="FFFFFF"/>
        </w:rPr>
        <w:t>国际承包工程市场拓展战略面临着考验,如何在竞争激烈的国际工程市场提升业绩,解决目前所遇到的困难和瓶颈</w:t>
      </w:r>
      <w:r>
        <w:rPr>
          <w:rFonts w:hint="eastAsia" w:ascii="仿宋" w:hAnsi="仿宋" w:eastAsia="仿宋" w:cs="Times New Roman"/>
          <w:color w:val="auto"/>
          <w:spacing w:val="8"/>
          <w:kern w:val="0"/>
          <w:sz w:val="24"/>
          <w:shd w:val="clear" w:color="auto" w:fill="FFFFFF"/>
          <w:lang w:eastAsia="zh-CN"/>
        </w:rPr>
        <w:t>，</w:t>
      </w:r>
      <w:r>
        <w:rPr>
          <w:rFonts w:hint="eastAsia" w:ascii="仿宋" w:hAnsi="仿宋" w:eastAsia="仿宋" w:cs="Times New Roman"/>
          <w:color w:val="auto"/>
          <w:spacing w:val="8"/>
          <w:kern w:val="0"/>
          <w:sz w:val="24"/>
          <w:shd w:val="clear" w:color="auto" w:fill="FFFFFF"/>
          <w:lang w:val="en-US" w:eastAsia="zh-CN"/>
        </w:rPr>
        <w:t>关于</w:t>
      </w:r>
      <w:r>
        <w:rPr>
          <w:rFonts w:hint="eastAsia" w:ascii="仿宋" w:hAnsi="仿宋" w:eastAsia="仿宋" w:cs="Times New Roman"/>
          <w:color w:val="auto"/>
          <w:spacing w:val="8"/>
          <w:kern w:val="0"/>
          <w:sz w:val="24"/>
          <w:shd w:val="clear" w:color="auto" w:fill="FFFFFF"/>
        </w:rPr>
        <w:t>前期市场调研和投标策略</w:t>
      </w:r>
      <w:r>
        <w:rPr>
          <w:rFonts w:hint="eastAsia" w:ascii="仿宋" w:hAnsi="仿宋" w:eastAsia="仿宋" w:cs="Times New Roman"/>
          <w:color w:val="auto"/>
          <w:spacing w:val="8"/>
          <w:kern w:val="0"/>
          <w:sz w:val="24"/>
          <w:shd w:val="clear" w:color="auto" w:fill="FFFFFF"/>
          <w:lang w:val="en-US" w:eastAsia="zh-CN"/>
        </w:rPr>
        <w:t>方面。</w:t>
      </w:r>
      <w:r>
        <w:rPr>
          <w:rFonts w:hint="eastAsia" w:ascii="仿宋" w:hAnsi="仿宋" w:eastAsia="仿宋" w:cs="Times New Roman"/>
          <w:color w:val="auto"/>
          <w:spacing w:val="8"/>
          <w:kern w:val="0"/>
          <w:sz w:val="24"/>
          <w:shd w:val="clear" w:color="auto" w:fill="FFFFFF"/>
        </w:rPr>
        <w:t>EPC工程总承包将设计、采购、施工等各阶段工作深度融合，是一个复杂的系统作业过程，对建筑业管理、建设市场参与主体的技术、管理能力，尤其是资源整合能力提出了更高要求。企业在寻求向EPC模式转型升级与业务创新的同时，投标报价策划与实施能力、项目的组织与管理能力以及合同与风险管理能力对能否成功开发市场并通过项目盈利深耕市场至关重要。</w:t>
      </w:r>
    </w:p>
    <w:p>
      <w:pPr>
        <w:ind w:firstLine="512" w:firstLineChars="200"/>
        <w:rPr>
          <w:rFonts w:ascii="仿宋" w:hAnsi="仿宋" w:eastAsia="仿宋" w:cs="Times New Roman"/>
          <w:color w:val="auto"/>
          <w:spacing w:val="8"/>
          <w:kern w:val="0"/>
          <w:sz w:val="24"/>
          <w:shd w:val="clear" w:color="auto" w:fill="FFFFFF"/>
        </w:rPr>
      </w:pPr>
      <w:r>
        <w:rPr>
          <w:rFonts w:hint="eastAsia" w:ascii="仿宋" w:hAnsi="仿宋" w:eastAsia="仿宋" w:cs="Times New Roman"/>
          <w:color w:val="auto"/>
          <w:spacing w:val="8"/>
          <w:kern w:val="0"/>
          <w:sz w:val="24"/>
          <w:shd w:val="clear" w:color="auto" w:fill="FFFFFF"/>
        </w:rPr>
        <w:t>为了进一步提升我国工程承包企业的国际市场开发、商务合同及项目组织实施人才建设水平,培养懂国际工程市场惯例、知国际工程商务谈判与善合同管理的经营决策与管理人才,提高企业国际工程业务开展的水平和经营效益,举办</w:t>
      </w:r>
      <w:r>
        <w:rPr>
          <w:rFonts w:hint="eastAsia" w:ascii="仿宋" w:hAnsi="仿宋" w:eastAsia="仿宋" w:cs="Times New Roman"/>
          <w:b/>
          <w:bCs/>
          <w:color w:val="auto"/>
          <w:spacing w:val="8"/>
          <w:kern w:val="0"/>
          <w:sz w:val="24"/>
          <w:shd w:val="clear" w:color="auto" w:fill="FFFFFF"/>
        </w:rPr>
        <w:t>为期三天“国际工程EPC总承包招投标实战技巧、项目组织与管理案例解析暨国际工程合同风险管理及案例解析”培训班，</w:t>
      </w:r>
      <w:r>
        <w:rPr>
          <w:rFonts w:hint="eastAsia" w:ascii="仿宋" w:hAnsi="仿宋" w:eastAsia="仿宋" w:cs="Times New Roman"/>
          <w:color w:val="auto"/>
          <w:spacing w:val="8"/>
          <w:kern w:val="0"/>
          <w:sz w:val="24"/>
          <w:shd w:val="clear" w:color="auto" w:fill="FFFFFF"/>
        </w:rPr>
        <w:t>本次培训旨在帮助和指导企业加强国际市场开发投(议)标管理和项目组织实施以及合同风险管理,科学防范经营风险，保持国际市场竞争力,提高新形势下</w:t>
      </w:r>
      <w:r>
        <w:rPr>
          <w:rFonts w:hint="eastAsia" w:ascii="仿宋" w:hAnsi="仿宋" w:eastAsia="仿宋" w:cs="Times New Roman"/>
          <w:color w:val="auto"/>
          <w:spacing w:val="8"/>
          <w:kern w:val="0"/>
          <w:sz w:val="24"/>
          <w:shd w:val="clear" w:color="auto" w:fill="FFFFFF"/>
          <w:lang w:val="en-US" w:eastAsia="zh-CN"/>
        </w:rPr>
        <w:t>海外</w:t>
      </w:r>
      <w:r>
        <w:rPr>
          <w:rFonts w:hint="eastAsia" w:ascii="仿宋" w:hAnsi="仿宋" w:eastAsia="仿宋" w:cs="Times New Roman"/>
          <w:color w:val="auto"/>
          <w:spacing w:val="8"/>
          <w:kern w:val="0"/>
          <w:sz w:val="24"/>
          <w:shd w:val="clear" w:color="auto" w:fill="FFFFFF"/>
        </w:rPr>
        <w:t>企业的市场开发能力、项目组织能力以及风险管控能力和商务能力，协助企业更好地开展国际业务,加快企业转型升级的步伐。</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欢迎国际工程市场开发、项目管理以及商务与合同管理的相关人员踊跃报名参加。</w:t>
      </w:r>
    </w:p>
    <w:p>
      <w:pPr>
        <w:rPr>
          <w:rFonts w:ascii="仿宋" w:hAnsi="仿宋" w:eastAsia="仿宋" w:cs="Times New Roman"/>
          <w:spacing w:val="8"/>
          <w:kern w:val="0"/>
          <w:sz w:val="24"/>
          <w:shd w:val="clear" w:color="auto" w:fill="FFFFFF"/>
        </w:rPr>
      </w:pPr>
    </w:p>
    <w:p>
      <w:pPr>
        <w:rPr>
          <w:rFonts w:ascii="仿宋" w:hAnsi="仿宋" w:eastAsia="仿宋" w:cs="黑体"/>
          <w:b/>
          <w:bCs/>
          <w:spacing w:val="8"/>
          <w:kern w:val="0"/>
          <w:sz w:val="24"/>
          <w:shd w:val="clear" w:color="auto" w:fill="FFFFFF"/>
        </w:rPr>
      </w:pPr>
      <w:r>
        <w:rPr>
          <w:rFonts w:hint="eastAsia" w:ascii="仿宋" w:hAnsi="仿宋" w:eastAsia="仿宋" w:cs="黑体"/>
          <w:b/>
          <w:bCs/>
          <w:spacing w:val="8"/>
          <w:kern w:val="0"/>
          <w:sz w:val="24"/>
          <w:shd w:val="clear" w:color="auto" w:fill="FFFFFF"/>
        </w:rPr>
        <w:t>一、主要内容</w:t>
      </w:r>
    </w:p>
    <w:p>
      <w:pPr>
        <w:rPr>
          <w:rFonts w:ascii="仿宋" w:hAnsi="仿宋" w:eastAsia="仿宋" w:cs="Times New Roman"/>
          <w:b/>
          <w:bCs/>
          <w:spacing w:val="8"/>
          <w:kern w:val="0"/>
          <w:sz w:val="24"/>
          <w:shd w:val="clear" w:color="auto" w:fill="FFFFFF"/>
        </w:rPr>
      </w:pPr>
      <w:r>
        <w:rPr>
          <w:rFonts w:hint="eastAsia" w:ascii="仿宋" w:hAnsi="仿宋" w:eastAsia="仿宋" w:cs="Times New Roman"/>
          <w:b/>
          <w:bCs/>
          <w:spacing w:val="8"/>
          <w:kern w:val="0"/>
          <w:sz w:val="24"/>
          <w:shd w:val="clear" w:color="auto" w:fill="FFFFFF"/>
        </w:rPr>
        <w:t xml:space="preserve">第一部分 </w:t>
      </w:r>
      <w:r>
        <w:rPr>
          <w:rFonts w:ascii="仿宋" w:hAnsi="仿宋" w:eastAsia="仿宋" w:cs="Times New Roman"/>
          <w:b/>
          <w:bCs/>
          <w:spacing w:val="8"/>
          <w:kern w:val="0"/>
          <w:sz w:val="24"/>
          <w:shd w:val="clear" w:color="auto" w:fill="FFFFFF"/>
        </w:rPr>
        <w:t>国际工程EPC项目组织与管理及案例解析</w:t>
      </w:r>
    </w:p>
    <w:p>
      <w:pPr>
        <w:ind w:firstLine="514" w:firstLineChars="200"/>
        <w:rPr>
          <w:rFonts w:ascii="仿宋" w:hAnsi="仿宋" w:eastAsia="仿宋" w:cs="Times New Roman"/>
          <w:spacing w:val="8"/>
          <w:kern w:val="0"/>
          <w:sz w:val="24"/>
          <w:shd w:val="clear" w:color="auto" w:fill="FFFFFF"/>
        </w:rPr>
      </w:pPr>
      <w:r>
        <w:rPr>
          <w:rFonts w:ascii="仿宋" w:hAnsi="仿宋" w:eastAsia="仿宋" w:cs="Times New Roman"/>
          <w:b/>
          <w:bCs/>
          <w:spacing w:val="8"/>
          <w:kern w:val="0"/>
          <w:sz w:val="24"/>
          <w:shd w:val="clear" w:color="auto" w:fill="FFFFFF"/>
        </w:rPr>
        <w:t>一、工程EPC项目精益管理内涵与体系</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大型资本项目建造面临的七大隐患</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项目链上各阶段的最佳做法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精益建造的内涵</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价值管理与价值工程</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5 精益建造的路径与方法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6 聚焦解决问题</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 价值创造的项目管理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8 精益建造七大体系</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9 精益建造核心内容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10 精益建造实施条件及注意事项</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二、EPC项目的前期策划</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EPC工程总承包要求新思维</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EPC工程总承包要求的核心能力</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EPC项目管理的痛点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项目实施条件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4.1 项目需求</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4.2 工作界面</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4.3 建设标准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4.4 管控机制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4.5 风险归属</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三、EPC项目的增值设计管理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设计管理的核心</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1.1设计与投资融合</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1.2 设计与功能融合</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1.3 设计与采购融合</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1.4 设计与施工融合</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1.5 设计与商务融合</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1.6 设计与运营融合</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设计管理的范围、路径及措施</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设计管理的“九项管理”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3.1 流程管理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3.2 进度管理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3.3 标准维护管理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3.4 提资与接口管理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3.5 设计评审管理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3.6 技术文件管理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3.7 界面管理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3.8 材料设备报审管理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3.9 策划管理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4协同设计</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5限额与优化设计</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四、案例分析</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项目背景</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项目执行过程与结果</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案例解读与研讨</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3.1 合同的选用与管理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3.2 进度与工期管理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3.3 成本管理与控制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3.4 风险管理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3.5 变更管理</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五、EPC项目二次经营管理要点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EPC成本管理要点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“五步法”二次经营的成本控制方法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2.1 定性法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2.2 定量法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2.3 定价法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2.4 比较法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2.5 促成法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通过二次经营增加合同价外收入</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3.1 合理化建议创收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3.2 调整工程价款(示例)创收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3.3 运用工程索赔实现创收</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六、研讨：基于价值的EPC项目管理创新</w:t>
      </w:r>
    </w:p>
    <w:p>
      <w:pPr>
        <w:rPr>
          <w:rFonts w:ascii="仿宋" w:hAnsi="仿宋" w:eastAsia="仿宋" w:cs="Times New Roman"/>
          <w:b/>
          <w:bCs/>
          <w:spacing w:val="8"/>
          <w:kern w:val="0"/>
          <w:sz w:val="24"/>
          <w:shd w:val="clear" w:color="auto" w:fill="FFFFFF"/>
        </w:rPr>
      </w:pPr>
      <w:r>
        <w:rPr>
          <w:rFonts w:hint="eastAsia" w:ascii="仿宋" w:hAnsi="仿宋" w:eastAsia="仿宋" w:cs="Times New Roman"/>
          <w:b/>
          <w:bCs/>
          <w:spacing w:val="8"/>
          <w:kern w:val="0"/>
          <w:sz w:val="24"/>
          <w:shd w:val="clear" w:color="auto" w:fill="FFFFFF"/>
        </w:rPr>
        <w:t>第二部分 国际工程项目投标的实战技巧</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一、投标策略与机会资格预审</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选择目标市场</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建立投标策略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2.1 客户策略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2.2 解决方案策略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2.3 开发投标策略的框架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制定投标策略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3.1 解决方案</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3.2 设计投标策略结构</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3.3 整合投标策略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3.4 竞争性策略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3.5 价格策略</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投标定价策略</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4.1 投标价格目标</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4.2 投标定价策略框架</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4.3 取胜的价格</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4.4 成本加费用的方法</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4.5 标准价格方法</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4.6 讨价还价方法</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4.7 盈亏平衡的定价方法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5 研讨：非洲地区项目的投标策略</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6 筛选参与资格预审的目标项目</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 投标机会资格预审</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7.1 资格预审的详细工作流程</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7.2 财务状况表</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7.3 人力资源表</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7.4 业绩表</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7.5 装备与质量安全</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7.6 资格预审文件的编制</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二、决策投标</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筛选投标目标项目的决策</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决策投标分析因素</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详细分析内容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风险分析</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三、招标文件研读</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研读要点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分析要点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交付要点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评标方法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5 招标人关注的问题</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四、标书编制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建立标书结构</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创新标书结构</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投标函</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标书摘要</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5 响应矩阵</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6 标书编制进度</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7 生成标书文本</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8 标书编写技术导则</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8.1 篇章</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8.2 段落</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8.3 句子</w:t>
      </w:r>
    </w:p>
    <w:p>
      <w:pPr>
        <w:ind w:firstLine="768" w:firstLineChars="3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8.4 字词的选择和使用</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9 编辑标书</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10 技术标编制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11 投标项目管理</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 xml:space="preserve">12 自审标书 </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13 与客户的沟通、联合投标</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五、商务报价</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商务报价主要内容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商务价格估算方法</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市场信息研究</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商务价格确定</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六、投标评估与决策</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投标评估</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投标决策策略</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报价评估与决策</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案例研讨—投标评估与决策</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七、跟踪与澄清</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跟踪与澄清的内容</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投标后跟踪矩阵</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投标后经验教训总结</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投标总结及运用</w:t>
      </w:r>
    </w:p>
    <w:p>
      <w:pPr>
        <w:ind w:firstLine="514" w:firstLineChars="200"/>
        <w:rPr>
          <w:rFonts w:ascii="仿宋" w:hAnsi="仿宋" w:eastAsia="仿宋" w:cs="Times New Roman"/>
          <w:b/>
          <w:bCs/>
          <w:spacing w:val="8"/>
          <w:kern w:val="0"/>
          <w:sz w:val="24"/>
          <w:shd w:val="clear" w:color="auto" w:fill="FFFFFF"/>
        </w:rPr>
      </w:pPr>
      <w:r>
        <w:rPr>
          <w:rFonts w:ascii="仿宋" w:hAnsi="仿宋" w:eastAsia="仿宋" w:cs="Times New Roman"/>
          <w:b/>
          <w:bCs/>
          <w:spacing w:val="8"/>
          <w:kern w:val="0"/>
          <w:sz w:val="24"/>
          <w:shd w:val="clear" w:color="auto" w:fill="FFFFFF"/>
        </w:rPr>
        <w:t>八、某投标项目案例分析</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1 项目基本情况</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2 业主决策层对接情况</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3 投标团队组建</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4 项目综合风险</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5 开标结果</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6 分析改进的途径与措施</w:t>
      </w:r>
    </w:p>
    <w:p>
      <w:pPr>
        <w:rPr>
          <w:rFonts w:ascii="仿宋" w:hAnsi="仿宋" w:eastAsia="仿宋" w:cs="Times New Roman"/>
          <w:b/>
          <w:bCs/>
          <w:spacing w:val="8"/>
          <w:kern w:val="0"/>
          <w:sz w:val="24"/>
          <w:shd w:val="clear" w:color="auto" w:fill="FFFFFF"/>
        </w:rPr>
      </w:pPr>
      <w:r>
        <w:rPr>
          <w:rFonts w:hint="eastAsia" w:ascii="仿宋" w:hAnsi="仿宋" w:eastAsia="仿宋" w:cs="Times New Roman"/>
          <w:b/>
          <w:bCs/>
          <w:spacing w:val="8"/>
          <w:kern w:val="0"/>
          <w:sz w:val="24"/>
          <w:shd w:val="clear" w:color="auto" w:fill="FFFFFF"/>
        </w:rPr>
        <w:t>第三部分  国际工程合同风险管理</w:t>
      </w:r>
    </w:p>
    <w:p>
      <w:pPr>
        <w:ind w:firstLine="514" w:firstLineChars="200"/>
        <w:rPr>
          <w:rFonts w:ascii="仿宋" w:hAnsi="仿宋" w:eastAsia="仿宋" w:cs="Times New Roman"/>
          <w:b/>
          <w:bCs/>
          <w:spacing w:val="8"/>
          <w:kern w:val="0"/>
          <w:sz w:val="24"/>
          <w:shd w:val="clear" w:color="auto" w:fill="FFFFFF"/>
        </w:rPr>
      </w:pPr>
      <w:r>
        <w:rPr>
          <w:rFonts w:hint="eastAsia" w:ascii="仿宋" w:hAnsi="仿宋" w:eastAsia="仿宋" w:cs="Times New Roman"/>
          <w:b/>
          <w:bCs/>
          <w:spacing w:val="8"/>
          <w:kern w:val="0"/>
          <w:sz w:val="24"/>
          <w:shd w:val="clear" w:color="auto" w:fill="FFFFFF"/>
        </w:rPr>
        <w:t>一、国际工程合同风险管理</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1 工程企业国际经营的风险</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2 国际工程项目全链条合同风险管理机制</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3 投标签约阶段合同风险管理</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 履约阶段合同风险管理</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4.1国际工程项目诚信履约风险</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4.2国际工程项目文件管理风险</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4.3不可预见物质条件风险</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4.4工期与工程质量条款风险</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4.5国际工程项目价款与支付风险</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4.6国际工程项目竣工结算风险</w:t>
      </w:r>
    </w:p>
    <w:p>
      <w:pPr>
        <w:ind w:firstLine="768" w:firstLineChars="3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4.7国际工程纠纷解决风险等</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5 竣工结算阶段合同风险管理</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6 国际工程项目质量缺陷与保修风险</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rPr>
        <w:t>7 国际工程合同纠纷风险管理</w:t>
      </w:r>
    </w:p>
    <w:p>
      <w:pPr>
        <w:rPr>
          <w:rFonts w:ascii="仿宋" w:hAnsi="仿宋" w:eastAsia="仿宋" w:cs="Times New Roman"/>
          <w:spacing w:val="8"/>
          <w:kern w:val="0"/>
          <w:sz w:val="24"/>
          <w:shd w:val="clear" w:color="auto" w:fill="FFFFFF"/>
        </w:rPr>
      </w:pPr>
      <w:r>
        <w:rPr>
          <w:rFonts w:hint="eastAsia" w:ascii="仿宋" w:hAnsi="仿宋" w:eastAsia="仿宋" w:cs="Times New Roman"/>
          <w:b/>
          <w:bCs/>
          <w:spacing w:val="8"/>
          <w:kern w:val="0"/>
          <w:sz w:val="24"/>
          <w:shd w:val="clear" w:color="auto" w:fill="FFFFFF"/>
        </w:rPr>
        <w:t>二</w:t>
      </w:r>
      <w:r>
        <w:rPr>
          <w:rFonts w:ascii="仿宋" w:hAnsi="仿宋" w:eastAsia="仿宋" w:cs="Times New Roman"/>
          <w:b/>
          <w:bCs/>
          <w:spacing w:val="8"/>
          <w:kern w:val="0"/>
          <w:sz w:val="24"/>
          <w:shd w:val="clear" w:color="auto" w:fill="FFFFFF"/>
        </w:rPr>
        <w:t>、培训对象</w:t>
      </w:r>
    </w:p>
    <w:p>
      <w:pPr>
        <w:ind w:firstLine="512" w:firstLineChars="200"/>
        <w:rPr>
          <w:rFonts w:ascii="仿宋" w:hAnsi="仿宋" w:eastAsia="仿宋" w:cs="Times New Roman"/>
          <w:spacing w:val="8"/>
          <w:kern w:val="0"/>
          <w:sz w:val="24"/>
          <w:shd w:val="clear" w:color="auto" w:fill="FFFFFF"/>
        </w:rPr>
      </w:pPr>
      <w:r>
        <w:rPr>
          <w:rFonts w:ascii="仿宋" w:hAnsi="仿宋" w:eastAsia="仿宋" w:cs="Times New Roman"/>
          <w:spacing w:val="8"/>
          <w:kern w:val="0"/>
          <w:sz w:val="24"/>
          <w:shd w:val="clear" w:color="auto" w:fill="FFFFFF"/>
        </w:rPr>
        <w:t>各级政府商务主管部门相关负责人，</w:t>
      </w:r>
      <w:r>
        <w:rPr>
          <w:rFonts w:hint="eastAsia" w:ascii="仿宋" w:hAnsi="仿宋" w:eastAsia="仿宋" w:cs="Times New Roman"/>
          <w:spacing w:val="8"/>
          <w:kern w:val="0"/>
          <w:sz w:val="24"/>
          <w:shd w:val="clear" w:color="auto" w:fill="FFFFFF"/>
        </w:rPr>
        <w:t>工程企业</w:t>
      </w:r>
      <w:r>
        <w:rPr>
          <w:rFonts w:ascii="仿宋" w:hAnsi="仿宋" w:eastAsia="仿宋" w:cs="Times New Roman"/>
          <w:spacing w:val="8"/>
          <w:kern w:val="0"/>
          <w:sz w:val="24"/>
          <w:shd w:val="clear" w:color="auto" w:fill="FFFFFF"/>
        </w:rPr>
        <w:t>集团、</w:t>
      </w:r>
      <w:r>
        <w:rPr>
          <w:rFonts w:hint="eastAsia" w:ascii="仿宋" w:hAnsi="仿宋" w:eastAsia="仿宋" w:cs="Times New Roman"/>
          <w:spacing w:val="8"/>
          <w:kern w:val="0"/>
          <w:sz w:val="24"/>
          <w:shd w:val="clear" w:color="auto" w:fill="FFFFFF"/>
        </w:rPr>
        <w:t>工程公司、建筑施工企业</w:t>
      </w:r>
      <w:r>
        <w:rPr>
          <w:rFonts w:ascii="仿宋" w:hAnsi="仿宋" w:eastAsia="仿宋" w:cs="Times New Roman"/>
          <w:spacing w:val="8"/>
          <w:kern w:val="0"/>
          <w:sz w:val="24"/>
          <w:shd w:val="clear" w:color="auto" w:fill="FFFFFF"/>
        </w:rPr>
        <w:t>、设计院、咨询公司、</w:t>
      </w:r>
      <w:r>
        <w:rPr>
          <w:rFonts w:hint="eastAsia" w:ascii="仿宋" w:hAnsi="仿宋" w:eastAsia="仿宋" w:cs="Times New Roman"/>
          <w:spacing w:val="8"/>
          <w:kern w:val="0"/>
          <w:sz w:val="24"/>
          <w:shd w:val="clear" w:color="auto" w:fill="FFFFFF"/>
        </w:rPr>
        <w:t>专业承包商和供应商、</w:t>
      </w:r>
      <w:r>
        <w:rPr>
          <w:rFonts w:ascii="仿宋" w:hAnsi="仿宋" w:eastAsia="仿宋" w:cs="Times New Roman"/>
          <w:spacing w:val="8"/>
          <w:kern w:val="0"/>
          <w:sz w:val="24"/>
          <w:shd w:val="clear" w:color="auto" w:fill="FFFFFF"/>
        </w:rPr>
        <w:t>成套设备公司等分管国际市场</w:t>
      </w:r>
      <w:r>
        <w:rPr>
          <w:rFonts w:hint="eastAsia" w:ascii="仿宋" w:hAnsi="仿宋" w:eastAsia="仿宋" w:cs="Times New Roman"/>
          <w:spacing w:val="8"/>
          <w:kern w:val="0"/>
          <w:sz w:val="24"/>
          <w:shd w:val="clear" w:color="auto" w:fill="FFFFFF"/>
        </w:rPr>
        <w:t>开发与项目实施</w:t>
      </w:r>
      <w:r>
        <w:rPr>
          <w:rFonts w:ascii="仿宋" w:hAnsi="仿宋" w:eastAsia="仿宋" w:cs="Times New Roman"/>
          <w:spacing w:val="8"/>
          <w:kern w:val="0"/>
          <w:sz w:val="24"/>
          <w:shd w:val="clear" w:color="auto" w:fill="FFFFFF"/>
        </w:rPr>
        <w:t>中高层管理人员，战略部、市场部、经营部、法律部等部门负责人及相关人员，海外事业部或国际工程公司负责人及商务、市场、经营、法务、项目管理等相关人员，海外项目经理部负责人及相关人员以及其他为国际工程企业提供合同法律等服务机构人员等。</w:t>
      </w:r>
    </w:p>
    <w:p>
      <w:pPr>
        <w:rPr>
          <w:rFonts w:ascii="仿宋" w:hAnsi="仿宋" w:eastAsia="仿宋" w:cs="Times New Roman"/>
          <w:spacing w:val="8"/>
          <w:kern w:val="0"/>
          <w:sz w:val="24"/>
          <w:shd w:val="clear" w:color="auto" w:fill="FFFFFF"/>
        </w:rPr>
      </w:pPr>
      <w:r>
        <w:rPr>
          <w:rFonts w:hint="eastAsia" w:ascii="仿宋" w:hAnsi="仿宋" w:eastAsia="仿宋" w:cs="Times New Roman"/>
          <w:b/>
          <w:bCs/>
          <w:spacing w:val="8"/>
          <w:kern w:val="0"/>
          <w:sz w:val="24"/>
          <w:shd w:val="clear" w:color="auto" w:fill="FFFFFF"/>
        </w:rPr>
        <w:t>三、</w:t>
      </w:r>
      <w:r>
        <w:rPr>
          <w:rFonts w:ascii="仿宋" w:hAnsi="仿宋" w:eastAsia="仿宋" w:cs="Times New Roman"/>
          <w:b/>
          <w:bCs/>
          <w:spacing w:val="8"/>
          <w:kern w:val="0"/>
          <w:sz w:val="24"/>
          <w:shd w:val="clear" w:color="auto" w:fill="FFFFFF"/>
        </w:rPr>
        <w:t>时间、地点</w:t>
      </w:r>
    </w:p>
    <w:p>
      <w:pPr>
        <w:rPr>
          <w:rFonts w:ascii="仿宋" w:hAnsi="仿宋" w:eastAsia="仿宋" w:cs="Times New Roman"/>
          <w:sz w:val="24"/>
        </w:rPr>
      </w:pPr>
      <w:r>
        <w:rPr>
          <w:rFonts w:ascii="仿宋" w:hAnsi="仿宋" w:eastAsia="仿宋" w:cs="Times New Roman"/>
          <w:b/>
          <w:bCs/>
          <w:sz w:val="24"/>
        </w:rPr>
        <w:t xml:space="preserve">   </w:t>
      </w:r>
      <w:r>
        <w:rPr>
          <w:rFonts w:ascii="仿宋" w:hAnsi="仿宋" w:eastAsia="仿宋" w:cs="Times New Roman"/>
          <w:sz w:val="24"/>
        </w:rPr>
        <w:t xml:space="preserve"> 2023年</w:t>
      </w:r>
      <w:r>
        <w:rPr>
          <w:rFonts w:hint="eastAsia" w:ascii="仿宋" w:hAnsi="仿宋" w:eastAsia="仿宋" w:cs="Times New Roman"/>
          <w:sz w:val="24"/>
        </w:rPr>
        <w:t>8月24日-27日  （24日全天报到，25日-27日培训时间）  济南市</w:t>
      </w:r>
    </w:p>
    <w:p>
      <w:pPr>
        <w:rPr>
          <w:rFonts w:ascii="仿宋" w:hAnsi="仿宋" w:eastAsia="仿宋" w:cs="Times New Roman"/>
          <w:b/>
          <w:bCs/>
          <w:spacing w:val="8"/>
          <w:kern w:val="0"/>
          <w:sz w:val="24"/>
          <w:shd w:val="clear" w:color="auto" w:fill="FFFFFF"/>
        </w:rPr>
      </w:pPr>
      <w:r>
        <w:rPr>
          <w:rFonts w:hint="eastAsia" w:ascii="仿宋" w:hAnsi="仿宋" w:eastAsia="仿宋" w:cs="Times New Roman"/>
          <w:b/>
          <w:bCs/>
          <w:spacing w:val="8"/>
          <w:kern w:val="0"/>
          <w:sz w:val="24"/>
          <w:shd w:val="clear" w:color="auto" w:fill="FFFFFF"/>
        </w:rPr>
        <w:t>四、</w:t>
      </w:r>
      <w:r>
        <w:rPr>
          <w:rFonts w:ascii="仿宋" w:hAnsi="仿宋" w:eastAsia="仿宋" w:cs="Times New Roman"/>
          <w:b/>
          <w:bCs/>
          <w:spacing w:val="8"/>
          <w:kern w:val="0"/>
          <w:sz w:val="24"/>
          <w:shd w:val="clear" w:color="auto" w:fill="FFFFFF"/>
        </w:rPr>
        <w:t>相关费用</w:t>
      </w:r>
    </w:p>
    <w:p>
      <w:pPr>
        <w:ind w:firstLine="512" w:firstLineChars="200"/>
        <w:rPr>
          <w:rFonts w:ascii="仿宋" w:hAnsi="仿宋" w:eastAsia="仿宋" w:cs="Times New Roman"/>
          <w:spacing w:val="8"/>
          <w:kern w:val="0"/>
          <w:sz w:val="24"/>
          <w:shd w:val="clear" w:color="auto" w:fill="FFFFFF"/>
        </w:rPr>
      </w:pPr>
      <w:r>
        <w:rPr>
          <w:rFonts w:hint="eastAsia" w:ascii="仿宋" w:hAnsi="仿宋" w:eastAsia="仿宋" w:cs="Times New Roman"/>
          <w:spacing w:val="8"/>
          <w:kern w:val="0"/>
          <w:sz w:val="24"/>
          <w:shd w:val="clear" w:color="auto" w:fill="FFFFFF"/>
          <w:lang w:val="en-US" w:eastAsia="zh-CN"/>
        </w:rPr>
        <w:t>4280</w:t>
      </w:r>
      <w:r>
        <w:rPr>
          <w:rFonts w:ascii="仿宋" w:hAnsi="仿宋" w:eastAsia="仿宋" w:cs="Times New Roman"/>
          <w:spacing w:val="8"/>
          <w:kern w:val="0"/>
          <w:sz w:val="24"/>
          <w:shd w:val="clear" w:color="auto" w:fill="FFFFFF"/>
        </w:rPr>
        <w:t>元/人（含培训费、资料费、电子课件、场地、会议期间午餐），住宿统一安排，费用自理。</w:t>
      </w:r>
    </w:p>
    <w:p>
      <w:pPr>
        <w:rPr>
          <w:rFonts w:ascii="仿宋" w:hAnsi="仿宋" w:eastAsia="仿宋" w:cs="Times New Roman"/>
          <w:b/>
          <w:bCs/>
          <w:spacing w:val="8"/>
          <w:kern w:val="0"/>
          <w:sz w:val="24"/>
          <w:shd w:val="clear" w:color="auto" w:fill="FFFFFF"/>
        </w:rPr>
      </w:pPr>
      <w:r>
        <w:rPr>
          <w:rFonts w:hint="eastAsia" w:ascii="仿宋" w:hAnsi="仿宋" w:eastAsia="仿宋" w:cs="Times New Roman"/>
          <w:b/>
          <w:bCs/>
          <w:spacing w:val="8"/>
          <w:kern w:val="0"/>
          <w:sz w:val="24"/>
          <w:shd w:val="clear" w:color="auto" w:fill="FFFFFF"/>
        </w:rPr>
        <w:t>五、</w:t>
      </w:r>
      <w:r>
        <w:rPr>
          <w:rFonts w:ascii="仿宋" w:hAnsi="仿宋" w:eastAsia="仿宋" w:cs="Times New Roman"/>
          <w:b/>
          <w:bCs/>
          <w:spacing w:val="8"/>
          <w:kern w:val="0"/>
          <w:sz w:val="24"/>
          <w:shd w:val="clear" w:color="auto" w:fill="FFFFFF"/>
        </w:rPr>
        <w:t>联系方式</w:t>
      </w:r>
    </w:p>
    <w:p>
      <w:pPr>
        <w:ind w:firstLine="562"/>
        <w:rPr>
          <w:rFonts w:hint="eastAsia" w:ascii="仿宋" w:hAnsi="仿宋" w:eastAsia="仿宋" w:cs="Times New Roman"/>
          <w:sz w:val="24"/>
        </w:rPr>
      </w:pPr>
      <w:r>
        <w:rPr>
          <w:rFonts w:hint="eastAsia" w:ascii="仿宋" w:hAnsi="仿宋" w:eastAsia="仿宋" w:cs="Times New Roman"/>
          <w:sz w:val="24"/>
        </w:rPr>
        <w:t xml:space="preserve">报名负责人：聂红军 主任18211071700（微信）   </w:t>
      </w:r>
    </w:p>
    <w:p>
      <w:pPr>
        <w:ind w:firstLine="562"/>
        <w:rPr>
          <w:rFonts w:hint="eastAsia" w:ascii="仿宋" w:hAnsi="仿宋" w:eastAsia="仿宋" w:cs="Times New Roman"/>
          <w:sz w:val="24"/>
        </w:rPr>
      </w:pPr>
      <w:r>
        <w:rPr>
          <w:rFonts w:hint="eastAsia" w:ascii="仿宋" w:hAnsi="仿宋" w:eastAsia="仿宋" w:cs="仿宋_GB2312"/>
          <w:color w:val="2C2C2C"/>
          <w:sz w:val="28"/>
          <w:szCs w:val="28"/>
        </w:rPr>
        <w:drawing>
          <wp:anchor distT="0" distB="0" distL="114300" distR="114300" simplePos="0" relativeHeight="251660288" behindDoc="1" locked="0" layoutInCell="1" allowOverlap="1">
            <wp:simplePos x="0" y="0"/>
            <wp:positionH relativeFrom="column">
              <wp:posOffset>4932680</wp:posOffset>
            </wp:positionH>
            <wp:positionV relativeFrom="paragraph">
              <wp:posOffset>96520</wp:posOffset>
            </wp:positionV>
            <wp:extent cx="1451610" cy="1443355"/>
            <wp:effectExtent l="0" t="0" r="15240" b="4445"/>
            <wp:wrapNone/>
            <wp:docPr id="2"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Times New Roman"/>
          <w:sz w:val="24"/>
        </w:rPr>
        <w:t xml:space="preserve">电  话：13141289128        邮    箱：zqgphwz@126.com  </w:t>
      </w:r>
    </w:p>
    <w:p>
      <w:pPr>
        <w:ind w:firstLine="562"/>
        <w:rPr>
          <w:rFonts w:hint="eastAsia" w:ascii="仿宋" w:hAnsi="仿宋" w:eastAsia="仿宋" w:cs="Times New Roman"/>
          <w:sz w:val="24"/>
        </w:rPr>
      </w:pPr>
      <w:r>
        <w:rPr>
          <w:rFonts w:hint="eastAsia" w:ascii="仿宋" w:hAnsi="仿宋" w:eastAsia="仿宋" w:cs="Times New Roman"/>
          <w:sz w:val="24"/>
        </w:rPr>
        <w:t>qq咨询：3177524020        网    址：</w:t>
      </w:r>
      <w:r>
        <w:rPr>
          <w:rFonts w:hint="eastAsia" w:ascii="仿宋" w:hAnsi="仿宋" w:eastAsia="仿宋" w:cs="Times New Roman"/>
          <w:color w:val="auto"/>
          <w:sz w:val="24"/>
        </w:rPr>
        <w:fldChar w:fldCharType="begin"/>
      </w:r>
      <w:r>
        <w:rPr>
          <w:rFonts w:hint="eastAsia" w:ascii="仿宋" w:hAnsi="仿宋" w:eastAsia="仿宋" w:cs="Times New Roman"/>
          <w:color w:val="auto"/>
          <w:sz w:val="24"/>
        </w:rPr>
        <w:instrText xml:space="preserve"> HYPERLINK "http://www.zqgpchina.cn" </w:instrText>
      </w:r>
      <w:r>
        <w:rPr>
          <w:rFonts w:hint="eastAsia" w:ascii="仿宋" w:hAnsi="仿宋" w:eastAsia="仿宋" w:cs="Times New Roman"/>
          <w:color w:val="auto"/>
          <w:sz w:val="24"/>
        </w:rPr>
        <w:fldChar w:fldCharType="separate"/>
      </w:r>
      <w:r>
        <w:rPr>
          <w:rStyle w:val="11"/>
          <w:rFonts w:hint="eastAsia" w:ascii="仿宋" w:hAnsi="仿宋" w:eastAsia="仿宋" w:cs="Times New Roman"/>
          <w:color w:val="auto"/>
          <w:sz w:val="24"/>
        </w:rPr>
        <w:t>http://www.zqgpchina.cn</w:t>
      </w:r>
      <w:r>
        <w:rPr>
          <w:rFonts w:hint="eastAsia" w:ascii="仿宋" w:hAnsi="仿宋" w:eastAsia="仿宋" w:cs="Times New Roman"/>
          <w:color w:val="auto"/>
          <w:sz w:val="24"/>
        </w:rPr>
        <w:fldChar w:fldCharType="end"/>
      </w:r>
    </w:p>
    <w:p>
      <w:pPr>
        <w:ind w:firstLine="562"/>
        <w:rPr>
          <w:rFonts w:ascii="仿宋" w:hAnsi="仿宋" w:eastAsia="仿宋" w:cs="Times New Roman"/>
          <w:sz w:val="24"/>
        </w:rPr>
      </w:pPr>
    </w:p>
    <w:p>
      <w:pPr>
        <w:ind w:firstLine="562"/>
        <w:rPr>
          <w:rFonts w:ascii="仿宋" w:hAnsi="仿宋" w:eastAsia="仿宋" w:cs="Times New Roman"/>
          <w:b/>
          <w:bCs/>
          <w:sz w:val="24"/>
        </w:rPr>
      </w:pPr>
    </w:p>
    <w:p>
      <w:pPr>
        <w:ind w:firstLine="4668" w:firstLineChars="1945"/>
        <w:jc w:val="right"/>
        <w:rPr>
          <w:rFonts w:hint="default" w:ascii="Times New Roman" w:hAnsi="Times New Roman" w:eastAsia="仿宋" w:cs="Times New Roman"/>
          <w:b/>
          <w:bCs/>
          <w:sz w:val="24"/>
          <w:lang w:val="en-US" w:eastAsia="zh-CN"/>
        </w:rPr>
      </w:pPr>
      <w:r>
        <w:rPr>
          <w:rFonts w:ascii="Times New Roman" w:hAnsi="Times New Roman" w:eastAsia="仿宋" w:cs="Times New Roman"/>
          <w:sz w:val="24"/>
        </w:rPr>
        <w:t xml:space="preserve"> </w:t>
      </w:r>
      <w:r>
        <w:rPr>
          <w:rFonts w:hint="eastAsia" w:ascii="Times New Roman" w:hAnsi="Times New Roman" w:eastAsia="仿宋" w:cs="Times New Roman"/>
          <w:sz w:val="24"/>
          <w:lang w:val="en-US" w:eastAsia="zh-CN"/>
        </w:rPr>
        <w:t>中国国际工程咨询协会</w:t>
      </w:r>
    </w:p>
    <w:p>
      <w:pPr>
        <w:ind w:right="560" w:firstLine="5280" w:firstLineChars="2200"/>
        <w:jc w:val="right"/>
        <w:rPr>
          <w:rFonts w:ascii="Times New Roman" w:hAnsi="Times New Roman" w:eastAsia="仿宋" w:cs="Times New Roman"/>
          <w:sz w:val="24"/>
        </w:rPr>
      </w:pPr>
      <w:r>
        <w:rPr>
          <w:rFonts w:hint="eastAsia" w:ascii="Times New Roman" w:hAnsi="Times New Roman" w:eastAsia="仿宋" w:cs="Times New Roman"/>
          <w:sz w:val="24"/>
          <w:lang w:val="en-US" w:eastAsia="zh-CN"/>
        </w:rPr>
        <w:t xml:space="preserve">    </w:t>
      </w:r>
      <w:r>
        <w:rPr>
          <w:rFonts w:ascii="Times New Roman" w:hAnsi="Times New Roman" w:eastAsia="仿宋" w:cs="Times New Roman"/>
          <w:sz w:val="24"/>
        </w:rPr>
        <w:t>2023年</w:t>
      </w:r>
      <w:r>
        <w:rPr>
          <w:rFonts w:hint="eastAsia" w:ascii="Times New Roman" w:hAnsi="Times New Roman" w:eastAsia="仿宋" w:cs="Times New Roman"/>
          <w:sz w:val="24"/>
        </w:rPr>
        <w:t>7</w:t>
      </w:r>
      <w:r>
        <w:rPr>
          <w:rFonts w:ascii="Times New Roman" w:hAnsi="Times New Roman" w:eastAsia="仿宋" w:cs="Times New Roman"/>
          <w:sz w:val="24"/>
        </w:rPr>
        <w:t>月</w:t>
      </w:r>
      <w:r>
        <w:rPr>
          <w:rFonts w:hint="eastAsia" w:ascii="Times New Roman" w:hAnsi="Times New Roman" w:eastAsia="仿宋" w:cs="Times New Roman"/>
          <w:sz w:val="24"/>
          <w:lang w:val="en-US" w:eastAsia="zh-CN"/>
        </w:rPr>
        <w:t>14</w:t>
      </w:r>
      <w:r>
        <w:rPr>
          <w:rFonts w:hint="eastAsia" w:ascii="Times New Roman" w:hAnsi="Times New Roman" w:eastAsia="仿宋" w:cs="Times New Roman"/>
          <w:sz w:val="24"/>
        </w:rPr>
        <w:t>日</w:t>
      </w:r>
    </w:p>
    <w:p>
      <w:pPr>
        <w:ind w:right="560" w:firstLine="6160" w:firstLineChars="2200"/>
        <w:rPr>
          <w:rFonts w:ascii="仿宋" w:hAnsi="仿宋" w:eastAsia="仿宋" w:cs="仿宋"/>
          <w:sz w:val="28"/>
        </w:rPr>
      </w:pPr>
    </w:p>
    <w:p>
      <w:pPr>
        <w:ind w:right="560" w:firstLine="6160" w:firstLineChars="2200"/>
        <w:rPr>
          <w:rFonts w:ascii="仿宋" w:hAnsi="仿宋" w:eastAsia="仿宋" w:cs="仿宋"/>
          <w:sz w:val="28"/>
        </w:rPr>
      </w:pPr>
    </w:p>
    <w:p>
      <w:pPr>
        <w:ind w:right="560" w:firstLine="6160" w:firstLineChars="2200"/>
        <w:rPr>
          <w:rFonts w:ascii="仿宋" w:hAnsi="仿宋" w:eastAsia="仿宋" w:cs="仿宋"/>
          <w:sz w:val="28"/>
        </w:rPr>
      </w:pPr>
    </w:p>
    <w:p>
      <w:pPr>
        <w:ind w:right="560" w:firstLine="6160" w:firstLineChars="2200"/>
        <w:rPr>
          <w:rFonts w:ascii="仿宋" w:hAnsi="仿宋" w:eastAsia="仿宋" w:cs="仿宋"/>
          <w:sz w:val="28"/>
        </w:rPr>
      </w:pPr>
    </w:p>
    <w:p>
      <w:pPr>
        <w:ind w:right="560" w:firstLine="6160" w:firstLineChars="2200"/>
        <w:rPr>
          <w:rFonts w:ascii="仿宋" w:hAnsi="仿宋" w:eastAsia="仿宋" w:cs="仿宋"/>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p>
    <w:p>
      <w:pPr>
        <w:rPr>
          <w:rFonts w:ascii="仿宋" w:hAnsi="仿宋" w:eastAsia="仿宋" w:cs="仿宋"/>
          <w:b/>
          <w:bCs/>
          <w:sz w:val="28"/>
        </w:rPr>
      </w:pPr>
      <w:r>
        <w:rPr>
          <w:rFonts w:hint="eastAsia" w:ascii="仿宋" w:hAnsi="仿宋" w:eastAsia="仿宋" w:cs="仿宋"/>
          <w:b/>
          <w:bCs/>
          <w:sz w:val="28"/>
        </w:rPr>
        <w:t>附件</w:t>
      </w:r>
      <w:r>
        <w:rPr>
          <w:rFonts w:hint="eastAsia" w:ascii="仿宋" w:hAnsi="仿宋" w:eastAsia="仿宋" w:cs="仿宋"/>
          <w:b/>
          <w:bCs/>
          <w:sz w:val="28"/>
          <w:lang w:val="en-US" w:eastAsia="zh-CN"/>
        </w:rPr>
        <w:t>1</w:t>
      </w:r>
      <w:r>
        <w:rPr>
          <w:rFonts w:hint="eastAsia" w:ascii="仿宋" w:hAnsi="仿宋" w:eastAsia="仿宋" w:cs="仿宋"/>
          <w:b/>
          <w:bCs/>
          <w:sz w:val="28"/>
        </w:rPr>
        <w:t>：</w:t>
      </w:r>
    </w:p>
    <w:p>
      <w:pPr>
        <w:jc w:val="center"/>
        <w:rPr>
          <w:rFonts w:ascii="仿宋" w:hAnsi="仿宋" w:eastAsia="仿宋" w:cs="仿宋"/>
          <w:b/>
          <w:bCs/>
          <w:sz w:val="28"/>
        </w:rPr>
      </w:pPr>
      <w:r>
        <w:rPr>
          <w:rFonts w:hint="eastAsia" w:ascii="仿宋" w:hAnsi="仿宋" w:eastAsia="仿宋" w:cs="仿宋"/>
          <w:b/>
          <w:bCs/>
          <w:sz w:val="28"/>
        </w:rPr>
        <w:t>报名回执表</w:t>
      </w:r>
    </w:p>
    <w:tbl>
      <w:tblPr>
        <w:tblStyle w:val="8"/>
        <w:tblpPr w:leftFromText="180" w:rightFromText="180" w:vertAnchor="text" w:horzAnchor="page" w:tblpXSpec="center" w:tblpY="187"/>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04"/>
        <w:gridCol w:w="1241"/>
        <w:gridCol w:w="1418"/>
        <w:gridCol w:w="802"/>
        <w:gridCol w:w="6"/>
        <w:gridCol w:w="1176"/>
        <w:gridCol w:w="49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371" w:type="dxa"/>
            <w:gridSpan w:val="5"/>
            <w:noWrap/>
            <w:vAlign w:val="center"/>
          </w:tcPr>
          <w:p>
            <w:pPr>
              <w:spacing w:line="360" w:lineRule="exact"/>
              <w:ind w:right="80" w:rightChars="38"/>
              <w:rPr>
                <w:rFonts w:ascii="仿宋" w:hAnsi="仿宋" w:eastAsia="仿宋" w:cs="仿宋"/>
                <w:bCs/>
                <w:sz w:val="24"/>
              </w:rPr>
            </w:pPr>
          </w:p>
        </w:tc>
        <w:tc>
          <w:tcPr>
            <w:tcW w:w="1176"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47" w:type="dxa"/>
            <w:gridSpan w:val="2"/>
            <w:noWrap/>
            <w:vAlign w:val="center"/>
          </w:tcPr>
          <w:p>
            <w:pPr>
              <w:spacing w:line="360" w:lineRule="exact"/>
              <w:ind w:left="149" w:right="80" w:rightChars="38" w:hanging="148" w:hangingChars="62"/>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8"/>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04"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41"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8"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4" w:type="dxa"/>
            <w:gridSpan w:val="3"/>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47"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8"/>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 xml:space="preserve">间    □否    </w:t>
            </w:r>
            <w:r>
              <w:rPr>
                <w:rFonts w:hint="eastAsia" w:ascii="仿宋" w:hAnsi="仿宋" w:eastAsia="仿宋" w:cs="仿宋"/>
                <w:bCs/>
                <w:sz w:val="24"/>
              </w:rPr>
              <w:sym w:font="Wingdings 2" w:char="00A3"/>
            </w:r>
            <w:r>
              <w:rPr>
                <w:rFonts w:hint="eastAsia" w:ascii="仿宋" w:hAnsi="仿宋" w:eastAsia="仿宋" w:cs="仿宋"/>
                <w:bCs/>
                <w:sz w:val="24"/>
              </w:rPr>
              <w:t>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365" w:type="dxa"/>
            <w:gridSpan w:val="4"/>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□济南</w:t>
            </w:r>
          </w:p>
        </w:tc>
        <w:tc>
          <w:tcPr>
            <w:tcW w:w="1680" w:type="dxa"/>
            <w:gridSpan w:val="3"/>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9" w:type="dxa"/>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8"/>
            <w:noWrap/>
            <w:vAlign w:val="center"/>
          </w:tcPr>
          <w:p>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32" w:type="dxa"/>
            <w:noWrap/>
            <w:vAlign w:val="center"/>
          </w:tcPr>
          <w:p>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8"/>
            <w:noWrap/>
          </w:tcPr>
          <w:p>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ind w:right="80" w:rightChars="38"/>
              <w:rPr>
                <w:rFonts w:ascii="仿宋" w:hAnsi="仿宋" w:eastAsia="仿宋" w:cs="仿宋"/>
                <w:b/>
                <w:bCs/>
                <w:sz w:val="24"/>
              </w:rPr>
            </w:pPr>
            <w:r>
              <w:rPr>
                <w:rFonts w:hint="eastAsia" w:ascii="仿宋" w:hAnsi="仿宋" w:eastAsia="仿宋" w:cs="仿宋"/>
                <w:b/>
                <w:bCs/>
                <w:sz w:val="24"/>
              </w:rPr>
              <w:t>单 位 名 称：</w:t>
            </w:r>
          </w:p>
          <w:p>
            <w:pPr>
              <w:ind w:right="80" w:rightChars="38"/>
              <w:rPr>
                <w:rFonts w:ascii="仿宋" w:hAnsi="仿宋" w:eastAsia="仿宋" w:cs="仿宋"/>
                <w:b/>
                <w:bCs/>
                <w:sz w:val="24"/>
              </w:rPr>
            </w:pPr>
            <w:r>
              <w:rPr>
                <w:rFonts w:hint="eastAsia" w:ascii="仿宋" w:hAnsi="仿宋" w:eastAsia="仿宋" w:cs="仿宋"/>
                <w:b/>
                <w:bCs/>
                <w:sz w:val="24"/>
              </w:rPr>
              <w:t>税       号：</w:t>
            </w:r>
          </w:p>
          <w:p>
            <w:pPr>
              <w:ind w:right="80" w:rightChars="38"/>
              <w:rPr>
                <w:rFonts w:ascii="仿宋" w:hAnsi="仿宋" w:eastAsia="仿宋" w:cs="仿宋"/>
                <w:b/>
                <w:bCs/>
                <w:sz w:val="24"/>
              </w:rPr>
            </w:pPr>
            <w:r>
              <w:rPr>
                <w:rFonts w:hint="eastAsia" w:ascii="仿宋" w:hAnsi="仿宋" w:eastAsia="仿宋" w:cs="仿宋"/>
                <w:b/>
                <w:bCs/>
                <w:sz w:val="24"/>
              </w:rPr>
              <w:t>地址、 电话：</w:t>
            </w:r>
          </w:p>
          <w:p>
            <w:pPr>
              <w:ind w:right="80" w:rightChars="38"/>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32" w:type="dxa"/>
            <w:noWrap/>
            <w:vAlign w:val="center"/>
          </w:tcPr>
          <w:p>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8"/>
            <w:noWrap/>
            <w:vAlign w:val="center"/>
          </w:tcPr>
          <w:p>
            <w:pPr>
              <w:spacing w:line="360" w:lineRule="exact"/>
              <w:ind w:right="80" w:rightChars="38"/>
              <w:rPr>
                <w:rFonts w:ascii="仿宋" w:hAnsi="仿宋" w:eastAsia="仿宋" w:cs="仿宋"/>
                <w:sz w:val="28"/>
                <w:szCs w:val="28"/>
                <w:lang w:val="ru-RU"/>
              </w:rPr>
            </w:pPr>
            <w:r>
              <w:rPr>
                <w:rFonts w:hint="eastAsia" w:ascii="仿宋" w:hAnsi="仿宋" w:eastAsia="仿宋" w:cs="仿宋"/>
                <w:sz w:val="28"/>
                <w:szCs w:val="28"/>
              </w:rPr>
              <w:t>户  名：</w:t>
            </w:r>
            <w:r>
              <w:rPr>
                <w:rFonts w:hint="eastAsia" w:ascii="仿宋" w:hAnsi="仿宋" w:eastAsia="仿宋" w:cs="仿宋"/>
                <w:sz w:val="28"/>
                <w:szCs w:val="28"/>
                <w:lang w:val="ru-RU"/>
              </w:rPr>
              <w:t>北京隆基盛世国际教育咨询中心</w:t>
            </w:r>
          </w:p>
          <w:p>
            <w:pPr>
              <w:spacing w:line="360" w:lineRule="exact"/>
              <w:ind w:right="80" w:rightChars="38"/>
              <w:rPr>
                <w:rFonts w:ascii="仿宋" w:hAnsi="仿宋" w:eastAsia="仿宋" w:cs="仿宋"/>
                <w:sz w:val="28"/>
                <w:szCs w:val="28"/>
                <w:lang w:val="ru-RU"/>
              </w:rPr>
            </w:pPr>
            <w:r>
              <w:rPr>
                <w:rFonts w:hint="eastAsia" w:ascii="仿宋" w:hAnsi="仿宋" w:eastAsia="仿宋" w:cs="仿宋"/>
                <w:sz w:val="28"/>
                <w:szCs w:val="28"/>
                <w:lang w:val="ru-RU"/>
              </w:rPr>
              <w:t>开户行：中国建设银行北京西三旗支行</w:t>
            </w:r>
          </w:p>
          <w:p>
            <w:pPr>
              <w:spacing w:line="360" w:lineRule="exact"/>
              <w:ind w:right="80" w:rightChars="38"/>
              <w:rPr>
                <w:rFonts w:ascii="仿宋" w:hAnsi="仿宋" w:eastAsia="仿宋" w:cs="仿宋"/>
                <w:sz w:val="28"/>
                <w:szCs w:val="28"/>
              </w:rPr>
            </w:pPr>
            <w:r>
              <w:rPr>
                <w:rFonts w:hint="eastAsia" w:ascii="仿宋" w:hAnsi="仿宋" w:eastAsia="仿宋" w:cs="仿宋"/>
                <w:sz w:val="28"/>
                <w:szCs w:val="28"/>
                <w:lang w:val="ru-RU"/>
              </w:rPr>
              <w:t xml:space="preserve">账 </w:t>
            </w:r>
            <w:r>
              <w:rPr>
                <w:rFonts w:hint="eastAsia" w:ascii="仿宋" w:hAnsi="仿宋" w:eastAsia="仿宋" w:cs="仿宋"/>
                <w:sz w:val="28"/>
                <w:szCs w:val="28"/>
              </w:rPr>
              <w:t xml:space="preserve"> </w:t>
            </w:r>
            <w:r>
              <w:rPr>
                <w:rFonts w:hint="eastAsia" w:ascii="仿宋" w:hAnsi="仿宋" w:eastAsia="仿宋" w:cs="仿宋"/>
                <w:sz w:val="28"/>
                <w:szCs w:val="28"/>
                <w:lang w:val="ru-RU"/>
              </w:rPr>
              <w:t>号：1100 1018 4000 5926 1084</w:t>
            </w:r>
          </w:p>
          <w:p>
            <w:pPr>
              <w:spacing w:line="360" w:lineRule="exact"/>
              <w:ind w:right="80" w:rightChars="38"/>
              <w:rPr>
                <w:rFonts w:ascii="仿宋" w:hAnsi="仿宋" w:eastAsia="仿宋" w:cs="仿宋"/>
                <w:bCs/>
                <w:sz w:val="24"/>
                <w:lang w:bidi="zh-CN"/>
              </w:rPr>
            </w:pPr>
            <w:r>
              <w:rPr>
                <w:rFonts w:hint="eastAsia" w:ascii="仿宋" w:hAnsi="仿宋" w:eastAsia="仿宋" w:cs="仿宋"/>
                <w:sz w:val="28"/>
                <w:szCs w:val="28"/>
              </w:rPr>
              <w:t>汇款后，请将银行电汇凭证传真至：010-87205552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8"/>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pStyle w:val="2"/>
        <w:ind w:left="0" w:leftChars="0" w:firstLine="0" w:firstLineChars="0"/>
        <w:rPr>
          <w:rFonts w:ascii="仿宋" w:hAnsi="仿宋" w:eastAsia="仿宋" w:cs="仿宋"/>
          <w:b/>
          <w:bCs/>
          <w:sz w:val="28"/>
        </w:rPr>
      </w:pPr>
    </w:p>
    <w:p>
      <w:pPr>
        <w:spacing w:line="480" w:lineRule="exact"/>
        <w:ind w:right="80" w:rightChars="38" w:firstLine="723" w:firstLineChars="300"/>
        <w:rPr>
          <w:rFonts w:ascii="仿宋" w:hAnsi="仿宋" w:eastAsia="仿宋" w:cs="仿宋"/>
          <w:bCs/>
          <w:sz w:val="24"/>
        </w:rPr>
      </w:pPr>
      <w:r>
        <w:rPr>
          <w:rFonts w:hint="eastAsia" w:ascii="仿宋" w:hAnsi="仿宋" w:eastAsia="仿宋" w:cs="仿宋"/>
          <w:b/>
          <w:bCs/>
          <w:sz w:val="24"/>
        </w:rPr>
        <w:t>注：</w:t>
      </w:r>
      <w:r>
        <w:rPr>
          <w:rFonts w:hint="eastAsia" w:ascii="仿宋" w:hAnsi="仿宋" w:eastAsia="仿宋" w:cs="仿宋"/>
          <w:bCs/>
          <w:sz w:val="24"/>
        </w:rPr>
        <w:t>为保证培训质量，培训班名额有限，额满为止，请确定人员后及早报名。</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 w:hAnsi="仿宋" w:eastAsia="仿宋" w:cs="仿宋"/>
          <w:bCs/>
        </w:rPr>
      </w:pPr>
      <w:r>
        <w:rPr>
          <w:rFonts w:hint="eastAsia" w:ascii="仿宋" w:hAnsi="仿宋" w:eastAsia="仿宋" w:cs="仿宋"/>
          <w:bCs/>
        </w:rPr>
        <w:t xml:space="preserve">      报名负责人：聂红军 主任18211071700（微信）   </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720" w:firstLineChars="300"/>
        <w:textAlignment w:val="auto"/>
        <w:rPr>
          <w:rFonts w:hint="eastAsia" w:ascii="仿宋" w:hAnsi="仿宋" w:eastAsia="仿宋" w:cs="仿宋"/>
          <w:bCs/>
        </w:rPr>
      </w:pPr>
      <w:r>
        <w:rPr>
          <w:rFonts w:hint="eastAsia" w:ascii="仿宋" w:hAnsi="仿宋" w:eastAsia="仿宋" w:cs="仿宋"/>
          <w:bCs/>
        </w:rPr>
        <w:t xml:space="preserve">电  话：13141289128        邮    箱：zqgphwz@126.com  </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720" w:firstLineChars="300"/>
        <w:textAlignment w:val="auto"/>
        <w:rPr>
          <w:rFonts w:hint="eastAsia" w:ascii="仿宋" w:hAnsi="仿宋" w:eastAsia="仿宋" w:cs="仿宋"/>
          <w:bCs/>
        </w:rPr>
      </w:pPr>
      <w:r>
        <w:rPr>
          <w:rFonts w:hint="eastAsia" w:ascii="仿宋" w:hAnsi="仿宋" w:eastAsia="仿宋" w:cs="仿宋"/>
          <w:bCs/>
        </w:rPr>
        <w:t>qq咨询：3177524020        网    址：http://www.zqgpchina.cn</w:t>
      </w:r>
    </w:p>
    <w:p>
      <w:pPr>
        <w:rPr>
          <w:rFonts w:hint="eastAsia"/>
          <w:b/>
          <w:bCs/>
          <w:lang w:val="en-US" w:eastAsia="zh-CN"/>
        </w:rPr>
      </w:pPr>
      <w:r>
        <w:rPr>
          <w:rFonts w:hint="eastAsia"/>
          <w:b/>
          <w:bCs/>
          <w:lang w:val="en-US" w:eastAsia="zh-CN"/>
        </w:rPr>
        <w:t>附件2：</w:t>
      </w:r>
    </w:p>
    <w:p>
      <w:pPr>
        <w:rPr>
          <w:rFonts w:hint="eastAsia"/>
          <w:lang w:val="en-US" w:eastAsia="zh-CN"/>
        </w:rPr>
      </w:pPr>
    </w:p>
    <w:p>
      <w:pPr>
        <w:pStyle w:val="2"/>
        <w:ind w:left="0" w:leftChars="0" w:firstLine="0" w:firstLineChars="0"/>
        <w:jc w:val="center"/>
        <w:rPr>
          <w:rFonts w:hint="eastAsia" w:ascii="仿宋" w:hAnsi="仿宋" w:cs="仿宋"/>
          <w:b/>
          <w:bCs/>
          <w:color w:val="000000"/>
          <w:spacing w:val="1"/>
          <w:sz w:val="28"/>
          <w:szCs w:val="22"/>
          <w:lang w:val="en-US" w:eastAsia="zh-CN"/>
        </w:rPr>
      </w:pPr>
      <w:r>
        <w:rPr>
          <w:rFonts w:hint="eastAsia" w:ascii="仿宋" w:hAnsi="仿宋" w:cs="仿宋"/>
          <w:b/>
          <w:bCs/>
          <w:color w:val="000000"/>
          <w:spacing w:val="1"/>
          <w:sz w:val="28"/>
          <w:szCs w:val="22"/>
          <w:lang w:val="en-US" w:eastAsia="zh-CN"/>
        </w:rPr>
        <w:t>欢迎大家报考</w:t>
      </w:r>
    </w:p>
    <w:p>
      <w:pPr>
        <w:spacing w:before="333" w:line="291" w:lineRule="exact"/>
        <w:jc w:val="center"/>
        <w:rPr>
          <w:rFonts w:hint="eastAsia" w:ascii="仿宋" w:hAnsi="仿宋" w:cs="仿宋"/>
          <w:b/>
          <w:bCs/>
          <w:color w:val="000000"/>
          <w:spacing w:val="1"/>
          <w:sz w:val="28"/>
          <w:szCs w:val="22"/>
          <w:lang w:val="en-US" w:eastAsia="zh-CN"/>
        </w:rPr>
      </w:pPr>
      <w:r>
        <w:rPr>
          <w:rFonts w:ascii="仿宋" w:hAnsi="仿宋" w:eastAsia="Times New Roman" w:cs="仿宋"/>
          <w:b/>
          <w:bCs/>
          <w:color w:val="000000"/>
          <w:spacing w:val="1"/>
          <w:sz w:val="28"/>
          <w:szCs w:val="22"/>
          <w:lang w:eastAsia="en-US"/>
        </w:rPr>
        <w:t>全过程工程咨询师（中级、高级）证书</w:t>
      </w:r>
    </w:p>
    <w:p>
      <w:pPr>
        <w:pStyle w:val="2"/>
        <w:ind w:left="0" w:leftChars="0" w:firstLine="0" w:firstLineChars="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培训内容：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模块一：全过程工程咨询重要政策解析</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模块二：全过程工程咨询整体服务方案及基本要点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模块三：全过程工程咨询——全过程项目管理咨询方案与技术要点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模块四：全过程工程咨询——全过程造价咨询方案与技术要点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模块五：全过程工程咨询——投资决策综合性咨询方案与技术要点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模块六：全过程工程咨询——勘察设计管理咨询方案与技术要点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模块七：全过程工程咨询——招标采购咨询方案与技术要点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模块八：全过程工程咨询——工程监理咨询方案与技术要点</w:t>
      </w:r>
    </w:p>
    <w:p>
      <w:pPr>
        <w:spacing w:before="333" w:line="291" w:lineRule="exact"/>
        <w:ind w:firstLine="480" w:firstLineChars="200"/>
        <w:rPr>
          <w:rFonts w:hint="eastAsia" w:ascii="仿宋" w:hAnsi="仿宋" w:eastAsia="仿宋" w:cs="仿宋"/>
          <w:kern w:val="0"/>
          <w:sz w:val="24"/>
          <w:szCs w:val="24"/>
          <w:lang w:val="en-US" w:eastAsia="en-US" w:bidi="ar"/>
        </w:rPr>
      </w:pPr>
      <w:r>
        <w:rPr>
          <w:rFonts w:hint="eastAsia" w:ascii="仿宋" w:hAnsi="仿宋" w:eastAsia="仿宋" w:cs="仿宋"/>
          <w:kern w:val="0"/>
          <w:sz w:val="24"/>
          <w:szCs w:val="24"/>
          <w:lang w:val="en-US" w:eastAsia="en-US" w:bidi="ar"/>
        </w:rPr>
        <w:t>模块九：全过程工程咨询——运营维护咨询方案与技术要点</w:t>
      </w:r>
    </w:p>
    <w:p>
      <w:pPr>
        <w:pStyle w:val="2"/>
        <w:rPr>
          <w:rFonts w:hint="default"/>
          <w:lang w:val="en-US" w:eastAsia="zh-CN"/>
        </w:rPr>
      </w:pPr>
    </w:p>
    <w:p>
      <w:pPr>
        <w:rPr>
          <w:rFonts w:hint="eastAsia" w:ascii="仿宋" w:hAnsi="仿宋" w:eastAsia="仿宋" w:cs="仿宋"/>
          <w:kern w:val="0"/>
          <w:sz w:val="24"/>
          <w:lang w:bidi="ar"/>
        </w:rPr>
      </w:pPr>
      <w:r>
        <w:rPr>
          <w:rFonts w:hint="eastAsia"/>
          <w:b/>
          <w:bCs/>
          <w:lang w:val="en-US" w:eastAsia="zh-CN"/>
        </w:rPr>
        <w:t>收费标准：</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val="en-US" w:eastAsia="zh-CN" w:bidi="ar"/>
        </w:rPr>
        <w:t>A</w:t>
      </w: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2400</w:t>
      </w:r>
      <w:r>
        <w:rPr>
          <w:rFonts w:hint="eastAsia" w:ascii="仿宋" w:hAnsi="仿宋" w:eastAsia="仿宋" w:cs="仿宋"/>
          <w:kern w:val="0"/>
          <w:sz w:val="24"/>
          <w:lang w:bidi="ar"/>
        </w:rPr>
        <w:t>元/人</w:t>
      </w:r>
      <w:r>
        <w:rPr>
          <w:rFonts w:hint="eastAsia" w:ascii="仿宋" w:hAnsi="仿宋" w:eastAsia="仿宋" w:cs="仿宋"/>
          <w:color w:val="auto"/>
          <w:kern w:val="0"/>
          <w:sz w:val="24"/>
          <w:lang w:bidi="ar"/>
        </w:rPr>
        <w:t>（</w:t>
      </w:r>
      <w:r>
        <w:rPr>
          <w:rFonts w:hint="eastAsia" w:ascii="仿宋" w:hAnsi="仿宋" w:eastAsia="仿宋" w:cs="仿宋"/>
          <w:color w:val="FF0000"/>
          <w:kern w:val="0"/>
          <w:sz w:val="24"/>
          <w:lang w:val="en-US" w:eastAsia="zh-CN" w:bidi="ar"/>
        </w:rPr>
        <w:t>报名本次国际工程的课程学习人员，证书费用五折</w:t>
      </w:r>
      <w:r>
        <w:rPr>
          <w:rFonts w:hint="eastAsia" w:ascii="仿宋" w:hAnsi="仿宋" w:eastAsia="仿宋" w:cs="仿宋"/>
          <w:kern w:val="0"/>
          <w:sz w:val="24"/>
          <w:lang w:val="en-US" w:eastAsia="zh-CN" w:bidi="ar"/>
        </w:rPr>
        <w:t>，</w:t>
      </w:r>
      <w:r>
        <w:rPr>
          <w:rFonts w:hint="eastAsia" w:ascii="仿宋" w:hAnsi="仿宋" w:eastAsia="仿宋" w:cs="仿宋"/>
          <w:kern w:val="0"/>
          <w:sz w:val="24"/>
          <w:lang w:bidi="ar"/>
        </w:rPr>
        <w:t>含全过程工程咨询师(高级、中级)证书及网上学习3天专业课程）。</w:t>
      </w:r>
    </w:p>
    <w:p>
      <w:pPr>
        <w:pStyle w:val="2"/>
        <w:ind w:left="0" w:leftChars="0" w:firstLine="480" w:firstLineChars="200"/>
        <w:rPr>
          <w:rFonts w:hint="eastAsia"/>
        </w:rPr>
      </w:pPr>
      <w:r>
        <w:rPr>
          <w:rFonts w:hint="eastAsia" w:ascii="仿宋" w:hAnsi="仿宋" w:eastAsia="仿宋" w:cs="仿宋"/>
          <w:kern w:val="0"/>
          <w:sz w:val="24"/>
          <w:lang w:val="en-US" w:eastAsia="zh-CN" w:bidi="ar"/>
        </w:rPr>
        <w:t>B</w:t>
      </w:r>
      <w:r>
        <w:rPr>
          <w:rFonts w:hint="eastAsia" w:ascii="仿宋" w:hAnsi="仿宋" w:eastAsia="仿宋" w:cs="仿宋"/>
          <w:kern w:val="0"/>
          <w:sz w:val="24"/>
          <w:lang w:bidi="ar"/>
        </w:rPr>
        <w:t>.4800元/人（含全过程工程咨询师(高级、中级)证书及网上学习3天课程）。</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备注：申报证书需提供报名表一份、2寸照电子照片（蓝底免冠彩照）、身份证复印件一份、学历证书复印件一份，在职单位证明（原件）一份，审核通过后出准考证，每个月最后一个周末为网上考试时间。</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颁证机构：</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pPr>
        <w:pStyle w:val="2"/>
        <w:ind w:left="0" w:leftChars="0" w:firstLine="0" w:firstLineChars="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联系方式：</w:t>
      </w:r>
    </w:p>
    <w:p>
      <w:pPr>
        <w:pStyle w:val="2"/>
        <w:spacing w:line="400" w:lineRule="exact"/>
        <w:ind w:left="0" w:leftChars="0" w:firstLine="480" w:firstLineChars="2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报名负责人：聂红军 主任18211071700（微信）   </w:t>
      </w:r>
    </w:p>
    <w:p>
      <w:pPr>
        <w:pStyle w:val="2"/>
        <w:spacing w:line="400" w:lineRule="exact"/>
        <w:ind w:left="0" w:leftChars="0" w:firstLine="480" w:firstLineChars="2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电  话：13141289128        邮    箱：zqgphwz@126.com  </w:t>
      </w:r>
    </w:p>
    <w:p>
      <w:pPr>
        <w:pStyle w:val="2"/>
        <w:spacing w:line="400" w:lineRule="exact"/>
        <w:ind w:left="0" w:leftChars="0" w:firstLine="480" w:firstLineChars="200"/>
        <w:rPr>
          <w:rFonts w:hint="eastAsia" w:ascii="仿宋" w:hAnsi="仿宋" w:eastAsia="仿宋" w:cs="仿宋"/>
          <w:bCs/>
        </w:rPr>
      </w:pPr>
      <w:bookmarkStart w:id="0" w:name="_GoBack"/>
      <w:bookmarkEnd w:id="0"/>
      <w:r>
        <w:rPr>
          <w:rFonts w:hint="eastAsia" w:ascii="仿宋" w:hAnsi="仿宋" w:eastAsia="仿宋" w:cs="仿宋"/>
          <w:kern w:val="0"/>
          <w:sz w:val="24"/>
          <w:szCs w:val="24"/>
          <w:lang w:val="en-US" w:eastAsia="zh-CN" w:bidi="ar"/>
        </w:rPr>
        <w:t>qq咨询：3177524020        网    址：http://www.zqgpchina.cn</w:t>
      </w:r>
    </w:p>
    <w:sectPr>
      <w:pgSz w:w="11906" w:h="16838"/>
      <w:pgMar w:top="822" w:right="850" w:bottom="822"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1E6D534B"/>
    <w:rsid w:val="001114D4"/>
    <w:rsid w:val="00162A54"/>
    <w:rsid w:val="001B64AD"/>
    <w:rsid w:val="003F6191"/>
    <w:rsid w:val="00482E8A"/>
    <w:rsid w:val="004A74F7"/>
    <w:rsid w:val="0051473B"/>
    <w:rsid w:val="005735AA"/>
    <w:rsid w:val="006E36A9"/>
    <w:rsid w:val="007071C4"/>
    <w:rsid w:val="00717CB8"/>
    <w:rsid w:val="00754BC4"/>
    <w:rsid w:val="008F3D61"/>
    <w:rsid w:val="00A706E4"/>
    <w:rsid w:val="00B0702E"/>
    <w:rsid w:val="00B560EA"/>
    <w:rsid w:val="00BD19A6"/>
    <w:rsid w:val="00C11DB7"/>
    <w:rsid w:val="00C60674"/>
    <w:rsid w:val="00E22CEF"/>
    <w:rsid w:val="00EC5618"/>
    <w:rsid w:val="00EF3F05"/>
    <w:rsid w:val="00F9510F"/>
    <w:rsid w:val="05A76A4C"/>
    <w:rsid w:val="06B37D78"/>
    <w:rsid w:val="081128A2"/>
    <w:rsid w:val="081B0A93"/>
    <w:rsid w:val="09895B47"/>
    <w:rsid w:val="0AA74DF8"/>
    <w:rsid w:val="117A1220"/>
    <w:rsid w:val="117F6ACF"/>
    <w:rsid w:val="12F5767A"/>
    <w:rsid w:val="1433594E"/>
    <w:rsid w:val="1650250F"/>
    <w:rsid w:val="19FB4F5E"/>
    <w:rsid w:val="1B776FDB"/>
    <w:rsid w:val="1E6D534B"/>
    <w:rsid w:val="23264FFC"/>
    <w:rsid w:val="24BD4B94"/>
    <w:rsid w:val="263317DE"/>
    <w:rsid w:val="263537A8"/>
    <w:rsid w:val="26A13E2B"/>
    <w:rsid w:val="2BA10E59"/>
    <w:rsid w:val="2BD66E93"/>
    <w:rsid w:val="2EFE513E"/>
    <w:rsid w:val="31A91164"/>
    <w:rsid w:val="36E90DD8"/>
    <w:rsid w:val="39034AE6"/>
    <w:rsid w:val="3F192D70"/>
    <w:rsid w:val="3FEB6F5A"/>
    <w:rsid w:val="4333747B"/>
    <w:rsid w:val="446C41D2"/>
    <w:rsid w:val="49806E61"/>
    <w:rsid w:val="4E6D3230"/>
    <w:rsid w:val="50E654E1"/>
    <w:rsid w:val="519B00B4"/>
    <w:rsid w:val="522307D5"/>
    <w:rsid w:val="53595929"/>
    <w:rsid w:val="543C2414"/>
    <w:rsid w:val="55425416"/>
    <w:rsid w:val="56E85B49"/>
    <w:rsid w:val="5AA0079B"/>
    <w:rsid w:val="5DEA03F9"/>
    <w:rsid w:val="62DF4C78"/>
    <w:rsid w:val="66630629"/>
    <w:rsid w:val="6C0831B9"/>
    <w:rsid w:val="6D83568D"/>
    <w:rsid w:val="6EED5020"/>
    <w:rsid w:val="6FFF2126"/>
    <w:rsid w:val="70621665"/>
    <w:rsid w:val="70A74F5A"/>
    <w:rsid w:val="718D4CDA"/>
    <w:rsid w:val="72DE76B9"/>
    <w:rsid w:val="771115B1"/>
    <w:rsid w:val="7BCB3F0D"/>
    <w:rsid w:val="7C52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4"/>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Date"/>
    <w:basedOn w:val="1"/>
    <w:next w:val="1"/>
    <w:link w:val="14"/>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qFormat/>
    <w:uiPriority w:val="0"/>
    <w:rPr>
      <w:rFonts w:cs="Times New Roman"/>
      <w:b/>
    </w:rPr>
  </w:style>
  <w:style w:type="character" w:styleId="11">
    <w:name w:val="Hyperlink"/>
    <w:basedOn w:val="9"/>
    <w:qFormat/>
    <w:uiPriority w:val="0"/>
    <w:rPr>
      <w:color w:val="0000FF"/>
    </w:rPr>
  </w:style>
  <w:style w:type="paragraph" w:styleId="12">
    <w:name w:val="List Paragraph"/>
    <w:basedOn w:val="1"/>
    <w:unhideWhenUsed/>
    <w:qFormat/>
    <w:uiPriority w:val="99"/>
    <w:pPr>
      <w:ind w:firstLine="420" w:firstLineChars="200"/>
    </w:pPr>
  </w:style>
  <w:style w:type="character" w:customStyle="1" w:styleId="13">
    <w:name w:val="页脚 Char"/>
    <w:basedOn w:val="9"/>
    <w:link w:val="5"/>
    <w:qFormat/>
    <w:uiPriority w:val="0"/>
    <w:rPr>
      <w:kern w:val="2"/>
      <w:sz w:val="18"/>
      <w:szCs w:val="18"/>
    </w:rPr>
  </w:style>
  <w:style w:type="character" w:customStyle="1" w:styleId="14">
    <w:name w:val="日期 Char"/>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588</Words>
  <Characters>3352</Characters>
  <Lines>27</Lines>
  <Paragraphs>7</Paragraphs>
  <TotalTime>5</TotalTime>
  <ScaleCrop>false</ScaleCrop>
  <LinksUpToDate>false</LinksUpToDate>
  <CharactersWithSpaces>3933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2023-07-11T09:04:00Z</dcterms:created>
  <dc:creator>姣 儿</dc:creator>
  <cp:lastModifiedBy>聂红军</cp:lastModifiedBy>
  <dcterms:modified xsi:type="dcterms:W3CDTF">2023-07-24T00:41:56Z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703AD7911450492889DCAAF9C4F934CA_13</vt:lpwstr>
  </property>
</Properties>
</file>