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color w:val="FF0000"/>
          <w:w w:val="58"/>
          <w:sz w:val="44"/>
          <w:szCs w:val="44"/>
        </w:rPr>
      </w:pPr>
    </w:p>
    <w:p>
      <w:pPr>
        <w:widowControl/>
        <w:spacing w:line="60" w:lineRule="auto"/>
        <w:jc w:val="distribute"/>
        <w:rPr>
          <w:rFonts w:ascii="宋体" w:hAnsi="宋体" w:eastAsia="宋体" w:cs="宋体"/>
          <w:color w:val="FF0000"/>
          <w:sz w:val="70"/>
          <w:szCs w:val="70"/>
        </w:rPr>
      </w:pPr>
      <w:r>
        <w:rPr>
          <w:rFonts w:hint="eastAsia" w:ascii="宋体" w:hAnsi="宋体" w:eastAsia="宋体" w:cs="宋体"/>
          <w:color w:val="FF0000"/>
          <w:sz w:val="70"/>
          <w:szCs w:val="70"/>
        </w:rPr>
        <w:t>中 国 投 资 协 会</w:t>
      </w:r>
    </w:p>
    <w:p>
      <w:pPr>
        <w:widowControl/>
        <w:spacing w:line="60" w:lineRule="auto"/>
        <w:jc w:val="distribute"/>
        <w:rPr>
          <w:rFonts w:ascii="楷体" w:hAnsi="楷体" w:eastAsia="楷体"/>
          <w:color w:val="FF0000"/>
          <w:sz w:val="70"/>
          <w:szCs w:val="70"/>
        </w:rPr>
      </w:pPr>
      <w:r>
        <w:rPr>
          <w:rFonts w:hint="eastAsia" w:ascii="宋体" w:hAnsi="宋体" w:eastAsia="宋体" w:cs="宋体"/>
          <w:color w:val="FF0000"/>
          <w:sz w:val="70"/>
          <w:szCs w:val="70"/>
        </w:rPr>
        <w:t>项目投融资专业委员会文件</w:t>
      </w:r>
    </w:p>
    <w:p>
      <w:pPr>
        <w:widowControl/>
        <w:spacing w:line="380" w:lineRule="exact"/>
        <w:ind w:firstLine="3360" w:firstLineChars="1200"/>
        <w:jc w:val="left"/>
        <w:rPr>
          <w:rFonts w:ascii="仿宋" w:hAnsi="仿宋" w:cs="宋体"/>
          <w:color w:val="000000"/>
          <w:sz w:val="28"/>
          <w:szCs w:val="28"/>
        </w:rPr>
      </w:pPr>
      <w:r>
        <w:rPr>
          <w:rFonts w:ascii="仿宋" w:hAnsi="仿宋" w:cs="宋体"/>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-278765</wp:posOffset>
                </wp:positionH>
                <wp:positionV relativeFrom="paragraph">
                  <wp:posOffset>226695</wp:posOffset>
                </wp:positionV>
                <wp:extent cx="6882130" cy="11430"/>
                <wp:effectExtent l="19050" t="19050" r="13970" b="7620"/>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21.95pt;margin-top:17.85pt;height:0.9pt;width:541.9pt;mso-position-horizontal-relative:margin;z-index:251659264;mso-width-relative:page;mso-height-relative:page;" filled="f" stroked="t" coordsize="21600,21600" o:gfxdata="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z1N2NsAAAAKAQAADwAAAAAAAAABACAAAAAiAAAAZHJzL2Rv&#10;d25yZXYueG1sUEsBAhQAFAAAAAgAh07iQLabiiL+AQAA9QMAAA4AAAAAAAAAAQAgAAAAKgEAAGRy&#10;cy9lMm9Eb2MueG1sUEsFBgAAAAAGAAYAWQEAAJoFAAAAAA==&#10;">
                <v:fill on="f" focussize="0,0"/>
                <v:stroke weight="2.25pt" color="#FF0000" joinstyle="round"/>
                <v:imagedata o:title=""/>
                <o:lock v:ext="edit" aspectratio="f"/>
              </v:line>
            </w:pict>
          </mc:Fallback>
        </mc:AlternateContent>
      </w:r>
      <w:r>
        <w:rPr>
          <w:rFonts w:cs="宋体"/>
          <w:sz w:val="30"/>
          <w:szCs w:val="30"/>
        </w:rPr>
        <w:t>投融培字〔2023〕</w:t>
      </w:r>
      <w:r>
        <w:rPr>
          <w:rFonts w:hint="eastAsia" w:cs="宋体"/>
          <w:sz w:val="30"/>
          <w:szCs w:val="30"/>
        </w:rPr>
        <w:t>0</w:t>
      </w:r>
      <w:r>
        <w:rPr>
          <w:rFonts w:cs="宋体"/>
          <w:sz w:val="30"/>
          <w:szCs w:val="30"/>
        </w:rPr>
        <w:t>06</w:t>
      </w:r>
      <w:r>
        <w:rPr>
          <w:rFonts w:hint="eastAsia" w:cs="宋体"/>
          <w:sz w:val="30"/>
          <w:szCs w:val="30"/>
        </w:rPr>
        <w:t>号</w:t>
      </w:r>
    </w:p>
    <w:p>
      <w:pPr>
        <w:spacing w:line="440" w:lineRule="exact"/>
        <w:jc w:val="center"/>
        <w:rPr>
          <w:rFonts w:ascii="宋体" w:hAnsi="宋体" w:eastAsia="宋体" w:cs="宋体"/>
          <w:b/>
          <w:bCs/>
          <w:sz w:val="30"/>
          <w:szCs w:val="30"/>
        </w:rPr>
      </w:pPr>
      <w:r>
        <w:rPr>
          <w:rFonts w:hint="eastAsia" w:ascii="宋体" w:hAnsi="宋体" w:eastAsia="宋体" w:cs="宋体"/>
          <w:b/>
          <w:bCs/>
          <w:sz w:val="30"/>
          <w:szCs w:val="30"/>
        </w:rPr>
        <w:t>关于举办</w:t>
      </w:r>
      <w:r>
        <w:rPr>
          <w:rFonts w:hint="eastAsia" w:ascii="宋体" w:hAnsi="宋体" w:eastAsia="宋体" w:cs="宋体"/>
          <w:b/>
          <w:bCs/>
          <w:color w:val="FF0000"/>
          <w:sz w:val="30"/>
          <w:szCs w:val="30"/>
        </w:rPr>
        <w:t xml:space="preserve"> </w:t>
      </w:r>
      <w:r>
        <w:rPr>
          <w:rFonts w:hint="eastAsia" w:ascii="宋体" w:hAnsi="宋体" w:eastAsia="宋体" w:cs="宋体"/>
          <w:b/>
          <w:bCs/>
          <w:sz w:val="30"/>
          <w:szCs w:val="30"/>
        </w:rPr>
        <w:t>“《新清标(征)》与</w:t>
      </w:r>
      <w:r>
        <w:rPr>
          <w:rFonts w:ascii="宋体" w:hAnsi="宋体" w:eastAsia="宋体" w:cs="宋体"/>
          <w:b/>
          <w:bCs/>
          <w:sz w:val="30"/>
          <w:szCs w:val="30"/>
        </w:rPr>
        <w:t>《</w:t>
      </w:r>
      <w:r>
        <w:rPr>
          <w:rFonts w:hint="eastAsia" w:ascii="宋体" w:hAnsi="宋体" w:eastAsia="宋体" w:cs="宋体"/>
          <w:b/>
          <w:bCs/>
          <w:sz w:val="30"/>
          <w:szCs w:val="30"/>
        </w:rPr>
        <w:t>总计规</w:t>
      </w:r>
      <w:r>
        <w:rPr>
          <w:rFonts w:ascii="宋体" w:hAnsi="宋体" w:eastAsia="宋体" w:cs="宋体"/>
          <w:b/>
          <w:bCs/>
          <w:sz w:val="30"/>
          <w:szCs w:val="30"/>
        </w:rPr>
        <w:t>》</w:t>
      </w:r>
      <w:r>
        <w:rPr>
          <w:rFonts w:hint="eastAsia" w:ascii="宋体" w:hAnsi="宋体" w:eastAsia="宋体" w:cs="宋体"/>
          <w:b/>
          <w:bCs/>
          <w:sz w:val="30"/>
          <w:szCs w:val="30"/>
        </w:rPr>
        <w:t>关键条文解读、施工承包与工程总承包(</w:t>
      </w:r>
      <w:r>
        <w:rPr>
          <w:rFonts w:hint="eastAsia" w:ascii="宋体" w:hAnsi="宋体" w:eastAsia="宋体" w:cs="仿宋"/>
          <w:b/>
          <w:bCs/>
          <w:color w:val="000000" w:themeColor="text1"/>
          <w:w w:val="95"/>
          <w:kern w:val="0"/>
          <w:sz w:val="30"/>
          <w:szCs w:val="30"/>
          <w:shd w:val="clear" w:color="000000" w:fill="auto"/>
          <w14:textFill>
            <w14:solidFill>
              <w14:schemeClr w14:val="tx1"/>
            </w14:solidFill>
          </w14:textFill>
        </w:rPr>
        <w:t>EPC</w:t>
      </w:r>
      <w:r>
        <w:rPr>
          <w:rFonts w:ascii="宋体" w:hAnsi="宋体" w:eastAsia="宋体" w:cs="仿宋"/>
          <w:b/>
          <w:bCs/>
          <w:color w:val="000000" w:themeColor="text1"/>
          <w:w w:val="95"/>
          <w:kern w:val="0"/>
          <w:sz w:val="30"/>
          <w:szCs w:val="30"/>
          <w:shd w:val="clear" w:color="000000" w:fill="auto"/>
          <w14:textFill>
            <w14:solidFill>
              <w14:schemeClr w14:val="tx1"/>
            </w14:solidFill>
          </w14:textFill>
        </w:rPr>
        <w:t>)</w:t>
      </w:r>
      <w:r>
        <w:rPr>
          <w:rFonts w:hint="eastAsia" w:ascii="宋体" w:hAnsi="宋体" w:eastAsia="宋体" w:cs="仿宋"/>
          <w:b/>
          <w:bCs/>
          <w:color w:val="000000" w:themeColor="text1"/>
          <w:w w:val="95"/>
          <w:kern w:val="0"/>
          <w:sz w:val="30"/>
          <w:szCs w:val="30"/>
          <w:shd w:val="clear" w:color="000000" w:fill="auto"/>
          <w14:textFill>
            <w14:solidFill>
              <w14:schemeClr w14:val="tx1"/>
            </w14:solidFill>
          </w14:textFill>
        </w:rPr>
        <w:t>项目计价结算、索赔管理及造价审计</w:t>
      </w:r>
      <w:r>
        <w:rPr>
          <w:rFonts w:hint="eastAsia" w:ascii="宋体" w:hAnsi="宋体" w:eastAsia="宋体" w:cs="华文中宋"/>
          <w:b/>
          <w:bCs/>
          <w:sz w:val="30"/>
          <w:szCs w:val="30"/>
        </w:rPr>
        <w:t>暨招标采购管理实务与案例高级培训班</w:t>
      </w:r>
      <w:r>
        <w:rPr>
          <w:rFonts w:hint="eastAsia" w:ascii="宋体" w:hAnsi="宋体" w:eastAsia="宋体" w:cs="宋体"/>
          <w:b/>
          <w:sz w:val="30"/>
          <w:szCs w:val="30"/>
        </w:rPr>
        <w:t>”</w:t>
      </w:r>
      <w:r>
        <w:rPr>
          <w:rFonts w:hint="eastAsia" w:ascii="宋体" w:hAnsi="宋体" w:eastAsia="宋体" w:cs="宋体"/>
          <w:b/>
          <w:bCs/>
          <w:sz w:val="30"/>
          <w:szCs w:val="30"/>
        </w:rPr>
        <w:t>的通知</w:t>
      </w:r>
    </w:p>
    <w:p>
      <w:pPr>
        <w:ind w:firstLine="480" w:firstLineChars="200"/>
        <w:rPr>
          <w:sz w:val="24"/>
        </w:rPr>
      </w:pPr>
    </w:p>
    <w:p>
      <w:pPr>
        <w:spacing w:line="360" w:lineRule="exact"/>
        <w:rPr>
          <w:bCs/>
          <w:color w:val="000000"/>
          <w:sz w:val="28"/>
          <w:szCs w:val="28"/>
        </w:rPr>
      </w:pPr>
      <w:r>
        <w:rPr>
          <w:rFonts w:hint="eastAsia"/>
          <w:bCs/>
          <w:color w:val="000000"/>
          <w:sz w:val="28"/>
          <w:szCs w:val="28"/>
        </w:rPr>
        <w:t xml:space="preserve">各有关单位：  </w:t>
      </w:r>
    </w:p>
    <w:p>
      <w:pPr>
        <w:spacing w:line="360" w:lineRule="exact"/>
        <w:ind w:firstLine="560" w:firstLineChars="200"/>
        <w:rPr>
          <w:rFonts w:ascii="华文仿宋" w:hAnsi="华文仿宋" w:eastAsia="华文仿宋"/>
          <w:bCs/>
          <w:sz w:val="28"/>
          <w:szCs w:val="28"/>
        </w:rPr>
      </w:pPr>
      <w:r>
        <w:rPr>
          <w:rFonts w:hint="eastAsia" w:ascii="华文仿宋" w:hAnsi="华文仿宋" w:eastAsia="华文仿宋"/>
          <w:bCs/>
          <w:sz w:val="28"/>
          <w:szCs w:val="28"/>
        </w:rPr>
        <w:t>目前我国EPC投资控制和计价管理呈现 “粗放”态势，很多项目 “据实结算”，突破</w:t>
      </w:r>
      <w:r>
        <w:rPr>
          <w:rFonts w:ascii="华文仿宋" w:hAnsi="华文仿宋" w:eastAsia="华文仿宋"/>
          <w:bCs/>
          <w:sz w:val="28"/>
          <w:szCs w:val="28"/>
        </w:rPr>
        <w:t>了</w:t>
      </w:r>
      <w:r>
        <w:rPr>
          <w:rFonts w:hint="eastAsia" w:ascii="华文仿宋" w:hAnsi="华文仿宋" w:eastAsia="华文仿宋"/>
          <w:bCs/>
          <w:sz w:val="28"/>
          <w:szCs w:val="28"/>
        </w:rPr>
        <w:t>“</w:t>
      </w:r>
      <w:r>
        <w:rPr>
          <w:rFonts w:ascii="华文仿宋" w:hAnsi="华文仿宋" w:eastAsia="华文仿宋"/>
          <w:bCs/>
          <w:sz w:val="28"/>
          <w:szCs w:val="28"/>
        </w:rPr>
        <w:t>限额</w:t>
      </w:r>
      <w:r>
        <w:rPr>
          <w:rFonts w:hint="eastAsia" w:ascii="华文仿宋" w:hAnsi="华文仿宋" w:eastAsia="华文仿宋"/>
          <w:bCs/>
          <w:sz w:val="28"/>
          <w:szCs w:val="28"/>
        </w:rPr>
        <w:t>”，造成投资控制的</w:t>
      </w:r>
      <w:r>
        <w:rPr>
          <w:rFonts w:ascii="华文仿宋" w:hAnsi="华文仿宋" w:eastAsia="华文仿宋"/>
          <w:bCs/>
          <w:sz w:val="28"/>
          <w:szCs w:val="28"/>
        </w:rPr>
        <w:t>被动</w:t>
      </w:r>
      <w:r>
        <w:rPr>
          <w:rFonts w:hint="eastAsia" w:ascii="华文仿宋" w:hAnsi="华文仿宋" w:eastAsia="华文仿宋"/>
          <w:bCs/>
          <w:sz w:val="28"/>
          <w:szCs w:val="28"/>
        </w:rPr>
        <w:t>。《建设工程总承包计价规范》（中价协〔2022〕</w:t>
      </w:r>
      <w:r>
        <w:rPr>
          <w:rFonts w:ascii="华文仿宋" w:hAnsi="华文仿宋" w:eastAsia="华文仿宋"/>
          <w:bCs/>
          <w:sz w:val="28"/>
          <w:szCs w:val="28"/>
        </w:rPr>
        <w:t>53</w:t>
      </w:r>
      <w:r>
        <w:rPr>
          <w:rFonts w:hint="eastAsia" w:ascii="华文仿宋" w:hAnsi="华文仿宋" w:eastAsia="华文仿宋"/>
          <w:bCs/>
          <w:sz w:val="28"/>
          <w:szCs w:val="28"/>
        </w:rPr>
        <w:t>号）的出台施行，填补</w:t>
      </w:r>
      <w:r>
        <w:rPr>
          <w:rFonts w:ascii="华文仿宋" w:hAnsi="华文仿宋" w:eastAsia="华文仿宋"/>
          <w:bCs/>
          <w:sz w:val="28"/>
          <w:szCs w:val="28"/>
        </w:rPr>
        <w:t>了行业标准</w:t>
      </w:r>
      <w:r>
        <w:rPr>
          <w:rFonts w:hint="eastAsia" w:ascii="华文仿宋" w:hAnsi="华文仿宋" w:eastAsia="华文仿宋"/>
          <w:bCs/>
          <w:sz w:val="28"/>
          <w:szCs w:val="28"/>
        </w:rPr>
        <w:t>的空白</w:t>
      </w:r>
      <w:r>
        <w:rPr>
          <w:rFonts w:ascii="华文仿宋" w:hAnsi="华文仿宋" w:eastAsia="华文仿宋"/>
          <w:bCs/>
          <w:sz w:val="28"/>
          <w:szCs w:val="28"/>
        </w:rPr>
        <w:t>。《</w:t>
      </w:r>
      <w:r>
        <w:rPr>
          <w:rFonts w:hint="eastAsia" w:ascii="华文仿宋" w:hAnsi="华文仿宋" w:eastAsia="华文仿宋"/>
          <w:bCs/>
          <w:sz w:val="28"/>
          <w:szCs w:val="28"/>
        </w:rPr>
        <w:t>总</w:t>
      </w:r>
      <w:r>
        <w:rPr>
          <w:rFonts w:ascii="华文仿宋" w:hAnsi="华文仿宋" w:eastAsia="华文仿宋"/>
          <w:bCs/>
          <w:sz w:val="28"/>
          <w:szCs w:val="28"/>
        </w:rPr>
        <w:t>计规》</w:t>
      </w:r>
      <w:r>
        <w:rPr>
          <w:rFonts w:hint="eastAsia" w:ascii="华文仿宋" w:hAnsi="华文仿宋" w:eastAsia="华文仿宋"/>
          <w:bCs/>
          <w:sz w:val="28"/>
          <w:szCs w:val="28"/>
        </w:rPr>
        <w:t>在</w:t>
      </w:r>
      <w:r>
        <w:rPr>
          <w:rFonts w:ascii="华文仿宋" w:hAnsi="华文仿宋" w:eastAsia="华文仿宋"/>
          <w:bCs/>
          <w:sz w:val="28"/>
          <w:szCs w:val="28"/>
        </w:rPr>
        <w:t>总承包模式条件、总承包计价方式、总承包计价风险</w:t>
      </w:r>
      <w:r>
        <w:rPr>
          <w:rFonts w:hint="eastAsia" w:ascii="华文仿宋" w:hAnsi="华文仿宋" w:eastAsia="华文仿宋"/>
          <w:bCs/>
          <w:sz w:val="28"/>
          <w:szCs w:val="28"/>
        </w:rPr>
        <w:t>、</w:t>
      </w:r>
      <w:r>
        <w:rPr>
          <w:rFonts w:ascii="华文仿宋" w:hAnsi="华文仿宋" w:eastAsia="华文仿宋"/>
          <w:bCs/>
          <w:sz w:val="28"/>
          <w:szCs w:val="28"/>
        </w:rPr>
        <w:t>总承包变更与签证以及总承包</w:t>
      </w:r>
      <w:r>
        <w:rPr>
          <w:rFonts w:hint="eastAsia" w:ascii="华文仿宋" w:hAnsi="华文仿宋" w:eastAsia="华文仿宋"/>
          <w:bCs/>
          <w:sz w:val="28"/>
          <w:szCs w:val="28"/>
        </w:rPr>
        <w:t>结算</w:t>
      </w:r>
      <w:r>
        <w:rPr>
          <w:rFonts w:ascii="华文仿宋" w:hAnsi="华文仿宋" w:eastAsia="华文仿宋"/>
          <w:bCs/>
          <w:sz w:val="28"/>
          <w:szCs w:val="28"/>
        </w:rPr>
        <w:t>支付</w:t>
      </w:r>
      <w:r>
        <w:rPr>
          <w:rFonts w:hint="eastAsia" w:ascii="华文仿宋" w:hAnsi="华文仿宋" w:eastAsia="华文仿宋"/>
          <w:bCs/>
          <w:sz w:val="28"/>
          <w:szCs w:val="28"/>
        </w:rPr>
        <w:t>等</w:t>
      </w:r>
      <w:r>
        <w:rPr>
          <w:rFonts w:ascii="华文仿宋" w:hAnsi="华文仿宋" w:eastAsia="华文仿宋"/>
          <w:bCs/>
          <w:sz w:val="28"/>
          <w:szCs w:val="28"/>
        </w:rPr>
        <w:t>方面</w:t>
      </w:r>
      <w:r>
        <w:rPr>
          <w:rFonts w:hint="eastAsia" w:ascii="华文仿宋" w:hAnsi="华文仿宋" w:eastAsia="华文仿宋"/>
          <w:bCs/>
          <w:sz w:val="28"/>
          <w:szCs w:val="28"/>
        </w:rPr>
        <w:t>作出</w:t>
      </w:r>
      <w:r>
        <w:rPr>
          <w:rFonts w:ascii="华文仿宋" w:hAnsi="华文仿宋" w:eastAsia="华文仿宋"/>
          <w:bCs/>
          <w:sz w:val="28"/>
          <w:szCs w:val="28"/>
        </w:rPr>
        <w:t>了</w:t>
      </w:r>
      <w:r>
        <w:rPr>
          <w:rFonts w:hint="eastAsia" w:ascii="华文仿宋" w:hAnsi="华文仿宋" w:eastAsia="华文仿宋"/>
          <w:bCs/>
          <w:sz w:val="28"/>
          <w:szCs w:val="28"/>
        </w:rPr>
        <w:t>针对性</w:t>
      </w:r>
      <w:r>
        <w:rPr>
          <w:rFonts w:ascii="华文仿宋" w:hAnsi="华文仿宋" w:eastAsia="华文仿宋"/>
          <w:bCs/>
          <w:sz w:val="28"/>
          <w:szCs w:val="28"/>
        </w:rPr>
        <w:t>的规定</w:t>
      </w:r>
      <w:r>
        <w:rPr>
          <w:rFonts w:hint="eastAsia" w:ascii="华文仿宋" w:hAnsi="华文仿宋" w:eastAsia="华文仿宋"/>
          <w:bCs/>
          <w:sz w:val="28"/>
          <w:szCs w:val="28"/>
        </w:rPr>
        <w:t>，</w:t>
      </w:r>
      <w:r>
        <w:rPr>
          <w:rFonts w:ascii="华文仿宋" w:hAnsi="华文仿宋" w:eastAsia="华文仿宋"/>
          <w:bCs/>
          <w:sz w:val="28"/>
          <w:szCs w:val="28"/>
        </w:rPr>
        <w:t>为</w:t>
      </w:r>
      <w:r>
        <w:rPr>
          <w:rFonts w:hint="eastAsia" w:ascii="华文仿宋" w:hAnsi="华文仿宋" w:eastAsia="华文仿宋"/>
          <w:bCs/>
          <w:sz w:val="28"/>
          <w:szCs w:val="28"/>
        </w:rPr>
        <w:t>EPC造价管理提供了有效</w:t>
      </w:r>
      <w:r>
        <w:rPr>
          <w:rFonts w:ascii="华文仿宋" w:hAnsi="华文仿宋" w:eastAsia="华文仿宋"/>
          <w:bCs/>
          <w:sz w:val="28"/>
          <w:szCs w:val="28"/>
        </w:rPr>
        <w:t>的</w:t>
      </w:r>
      <w:r>
        <w:rPr>
          <w:rFonts w:hint="eastAsia" w:ascii="华文仿宋" w:hAnsi="华文仿宋" w:eastAsia="华文仿宋"/>
          <w:bCs/>
          <w:sz w:val="28"/>
          <w:szCs w:val="28"/>
        </w:rPr>
        <w:t>依据。但</w:t>
      </w:r>
      <w:r>
        <w:rPr>
          <w:rFonts w:ascii="华文仿宋" w:hAnsi="华文仿宋" w:eastAsia="华文仿宋"/>
          <w:bCs/>
          <w:sz w:val="28"/>
          <w:szCs w:val="28"/>
        </w:rPr>
        <w:t>在合同形式选择</w:t>
      </w:r>
      <w:r>
        <w:rPr>
          <w:rFonts w:hint="eastAsia" w:ascii="华文仿宋" w:hAnsi="华文仿宋" w:eastAsia="华文仿宋"/>
          <w:bCs/>
          <w:sz w:val="28"/>
          <w:szCs w:val="28"/>
        </w:rPr>
        <w:t>(统一</w:t>
      </w:r>
      <w:r>
        <w:rPr>
          <w:rFonts w:ascii="华文仿宋" w:hAnsi="华文仿宋" w:eastAsia="华文仿宋"/>
          <w:bCs/>
          <w:sz w:val="28"/>
          <w:szCs w:val="28"/>
        </w:rPr>
        <w:t>固定总价</w:t>
      </w:r>
      <w:r>
        <w:rPr>
          <w:rFonts w:hint="eastAsia" w:ascii="华文仿宋" w:hAnsi="华文仿宋" w:eastAsia="华文仿宋"/>
          <w:bCs/>
          <w:sz w:val="28"/>
          <w:szCs w:val="28"/>
        </w:rPr>
        <w:t>)</w:t>
      </w:r>
      <w:r>
        <w:rPr>
          <w:rFonts w:ascii="华文仿宋" w:hAnsi="华文仿宋" w:eastAsia="华文仿宋"/>
          <w:bCs/>
          <w:sz w:val="28"/>
          <w:szCs w:val="28"/>
        </w:rPr>
        <w:t>、评标定标机制</w:t>
      </w:r>
      <w:r>
        <w:rPr>
          <w:rFonts w:hint="eastAsia" w:ascii="华文仿宋" w:hAnsi="华文仿宋" w:eastAsia="华文仿宋"/>
          <w:bCs/>
          <w:sz w:val="28"/>
          <w:szCs w:val="28"/>
        </w:rPr>
        <w:t>（标底</w:t>
      </w:r>
      <w:r>
        <w:rPr>
          <w:rFonts w:ascii="华文仿宋" w:hAnsi="华文仿宋" w:eastAsia="华文仿宋"/>
          <w:bCs/>
          <w:sz w:val="28"/>
          <w:szCs w:val="28"/>
        </w:rPr>
        <w:t>使用</w:t>
      </w:r>
      <w:r>
        <w:rPr>
          <w:rFonts w:hint="eastAsia" w:ascii="华文仿宋" w:hAnsi="华文仿宋" w:eastAsia="华文仿宋"/>
          <w:bCs/>
          <w:sz w:val="28"/>
          <w:szCs w:val="28"/>
        </w:rPr>
        <w:t>）、指数法</w:t>
      </w:r>
      <w:r>
        <w:rPr>
          <w:rFonts w:ascii="华文仿宋" w:hAnsi="华文仿宋" w:eastAsia="华文仿宋"/>
          <w:bCs/>
          <w:sz w:val="28"/>
          <w:szCs w:val="28"/>
        </w:rPr>
        <w:t>调</w:t>
      </w:r>
      <w:r>
        <w:rPr>
          <w:rFonts w:hint="eastAsia" w:ascii="华文仿宋" w:hAnsi="华文仿宋" w:eastAsia="华文仿宋"/>
          <w:bCs/>
          <w:sz w:val="28"/>
          <w:szCs w:val="28"/>
        </w:rPr>
        <w:t>价</w:t>
      </w:r>
      <w:r>
        <w:rPr>
          <w:rFonts w:ascii="华文仿宋" w:hAnsi="华文仿宋" w:eastAsia="华文仿宋"/>
          <w:bCs/>
          <w:sz w:val="28"/>
          <w:szCs w:val="28"/>
        </w:rPr>
        <w:t>差</w:t>
      </w:r>
      <w:r>
        <w:rPr>
          <w:rFonts w:hint="eastAsia" w:ascii="华文仿宋" w:hAnsi="华文仿宋" w:eastAsia="华文仿宋"/>
          <w:bCs/>
          <w:sz w:val="28"/>
          <w:szCs w:val="28"/>
        </w:rPr>
        <w:t>、</w:t>
      </w:r>
      <w:r>
        <w:rPr>
          <w:rFonts w:ascii="华文仿宋" w:hAnsi="华文仿宋" w:eastAsia="华文仿宋"/>
          <w:bCs/>
          <w:sz w:val="28"/>
          <w:szCs w:val="28"/>
        </w:rPr>
        <w:t>包干价格的</w:t>
      </w:r>
      <w:r>
        <w:rPr>
          <w:rFonts w:hint="eastAsia" w:ascii="华文仿宋" w:hAnsi="华文仿宋" w:eastAsia="华文仿宋"/>
          <w:bCs/>
          <w:sz w:val="28"/>
          <w:szCs w:val="28"/>
        </w:rPr>
        <w:t>审计</w:t>
      </w:r>
      <w:r>
        <w:rPr>
          <w:rFonts w:ascii="华文仿宋" w:hAnsi="华文仿宋" w:eastAsia="华文仿宋"/>
          <w:bCs/>
          <w:sz w:val="28"/>
          <w:szCs w:val="28"/>
        </w:rPr>
        <w:t>风险</w:t>
      </w:r>
      <w:r>
        <w:rPr>
          <w:rFonts w:hint="eastAsia" w:ascii="华文仿宋" w:hAnsi="华文仿宋" w:eastAsia="华文仿宋"/>
          <w:bCs/>
          <w:sz w:val="28"/>
          <w:szCs w:val="28"/>
        </w:rPr>
        <w:t>等</w:t>
      </w:r>
      <w:r>
        <w:rPr>
          <w:rFonts w:ascii="华文仿宋" w:hAnsi="华文仿宋" w:eastAsia="华文仿宋"/>
          <w:bCs/>
          <w:sz w:val="28"/>
          <w:szCs w:val="28"/>
        </w:rPr>
        <w:t>方面</w:t>
      </w:r>
      <w:r>
        <w:rPr>
          <w:rFonts w:hint="eastAsia" w:ascii="华文仿宋" w:hAnsi="华文仿宋" w:eastAsia="华文仿宋"/>
          <w:bCs/>
          <w:sz w:val="28"/>
          <w:szCs w:val="28"/>
        </w:rPr>
        <w:t>，</w:t>
      </w:r>
      <w:r>
        <w:rPr>
          <w:rFonts w:ascii="华文仿宋" w:hAnsi="华文仿宋" w:eastAsia="华文仿宋"/>
          <w:bCs/>
          <w:sz w:val="28"/>
          <w:szCs w:val="28"/>
        </w:rPr>
        <w:t>《</w:t>
      </w:r>
      <w:r>
        <w:rPr>
          <w:rFonts w:hint="eastAsia" w:ascii="华文仿宋" w:hAnsi="华文仿宋" w:eastAsia="华文仿宋"/>
          <w:bCs/>
          <w:sz w:val="28"/>
          <w:szCs w:val="28"/>
        </w:rPr>
        <w:t>总</w:t>
      </w:r>
      <w:r>
        <w:rPr>
          <w:rFonts w:ascii="华文仿宋" w:hAnsi="华文仿宋" w:eastAsia="华文仿宋"/>
          <w:bCs/>
          <w:sz w:val="28"/>
          <w:szCs w:val="28"/>
        </w:rPr>
        <w:t>计</w:t>
      </w:r>
      <w:r>
        <w:rPr>
          <w:rFonts w:hint="eastAsia" w:ascii="华文仿宋" w:hAnsi="华文仿宋" w:eastAsia="华文仿宋"/>
          <w:bCs/>
          <w:sz w:val="28"/>
          <w:szCs w:val="28"/>
        </w:rPr>
        <w:t>规</w:t>
      </w:r>
      <w:r>
        <w:rPr>
          <w:rFonts w:ascii="华文仿宋" w:hAnsi="华文仿宋" w:eastAsia="华文仿宋"/>
          <w:bCs/>
          <w:sz w:val="28"/>
          <w:szCs w:val="28"/>
        </w:rPr>
        <w:t>》</w:t>
      </w:r>
      <w:r>
        <w:rPr>
          <w:rFonts w:hint="eastAsia" w:ascii="华文仿宋" w:hAnsi="华文仿宋" w:eastAsia="华文仿宋"/>
          <w:bCs/>
          <w:sz w:val="28"/>
          <w:szCs w:val="28"/>
        </w:rPr>
        <w:t>的</w:t>
      </w:r>
      <w:r>
        <w:rPr>
          <w:rFonts w:ascii="华文仿宋" w:hAnsi="华文仿宋" w:eastAsia="华文仿宋"/>
          <w:bCs/>
          <w:sz w:val="28"/>
          <w:szCs w:val="28"/>
        </w:rPr>
        <w:t>规定与</w:t>
      </w:r>
      <w:r>
        <w:rPr>
          <w:rFonts w:hint="eastAsia" w:ascii="华文仿宋" w:hAnsi="华文仿宋" w:eastAsia="华文仿宋"/>
          <w:bCs/>
          <w:sz w:val="28"/>
          <w:szCs w:val="28"/>
        </w:rPr>
        <w:t>总承包计价实践存在</w:t>
      </w:r>
      <w:r>
        <w:rPr>
          <w:rFonts w:ascii="华文仿宋" w:hAnsi="华文仿宋" w:eastAsia="华文仿宋"/>
          <w:bCs/>
          <w:sz w:val="28"/>
          <w:szCs w:val="28"/>
        </w:rPr>
        <w:t>脱节</w:t>
      </w:r>
      <w:r>
        <w:rPr>
          <w:rFonts w:hint="eastAsia" w:ascii="华文仿宋" w:hAnsi="华文仿宋" w:eastAsia="华文仿宋"/>
          <w:bCs/>
          <w:sz w:val="28"/>
          <w:szCs w:val="28"/>
        </w:rPr>
        <w:t>现象</w:t>
      </w:r>
      <w:r>
        <w:rPr>
          <w:rFonts w:ascii="华文仿宋" w:hAnsi="华文仿宋" w:eastAsia="华文仿宋"/>
          <w:bCs/>
          <w:sz w:val="28"/>
          <w:szCs w:val="28"/>
        </w:rPr>
        <w:t>，</w:t>
      </w:r>
      <w:r>
        <w:rPr>
          <w:rFonts w:hint="eastAsia" w:ascii="华文仿宋" w:hAnsi="华文仿宋" w:eastAsia="华文仿宋"/>
          <w:bCs/>
          <w:sz w:val="28"/>
          <w:szCs w:val="28"/>
        </w:rPr>
        <w:t>仍需</w:t>
      </w:r>
      <w:r>
        <w:rPr>
          <w:rFonts w:ascii="华文仿宋" w:hAnsi="华文仿宋" w:eastAsia="华文仿宋"/>
          <w:bCs/>
          <w:sz w:val="28"/>
          <w:szCs w:val="28"/>
        </w:rPr>
        <w:t>通过具体</w:t>
      </w:r>
      <w:r>
        <w:rPr>
          <w:rFonts w:hint="eastAsia" w:ascii="华文仿宋" w:hAnsi="华文仿宋" w:eastAsia="华文仿宋"/>
          <w:bCs/>
          <w:sz w:val="28"/>
          <w:szCs w:val="28"/>
        </w:rPr>
        <w:t>项目</w:t>
      </w:r>
      <w:r>
        <w:rPr>
          <w:rFonts w:ascii="华文仿宋" w:hAnsi="华文仿宋" w:eastAsia="华文仿宋"/>
          <w:bCs/>
          <w:sz w:val="28"/>
          <w:szCs w:val="28"/>
        </w:rPr>
        <w:t>招标合同</w:t>
      </w:r>
      <w:r>
        <w:rPr>
          <w:rFonts w:hint="eastAsia" w:ascii="华文仿宋" w:hAnsi="华文仿宋" w:eastAsia="华文仿宋"/>
          <w:bCs/>
          <w:sz w:val="28"/>
          <w:szCs w:val="28"/>
        </w:rPr>
        <w:t>文件</w:t>
      </w:r>
      <w:r>
        <w:rPr>
          <w:rFonts w:ascii="华文仿宋" w:hAnsi="华文仿宋" w:eastAsia="华文仿宋"/>
          <w:bCs/>
          <w:sz w:val="28"/>
          <w:szCs w:val="28"/>
        </w:rPr>
        <w:t>加以完善。</w:t>
      </w:r>
    </w:p>
    <w:p>
      <w:pPr>
        <w:spacing w:line="360" w:lineRule="exact"/>
        <w:ind w:firstLine="840" w:firstLineChars="300"/>
        <w:jc w:val="left"/>
        <w:rPr>
          <w:rFonts w:ascii="仿宋" w:hAnsi="仿宋"/>
          <w:sz w:val="28"/>
          <w:szCs w:val="28"/>
        </w:rPr>
      </w:pPr>
      <w:r>
        <w:rPr>
          <w:rFonts w:hint="eastAsia" w:ascii="仿宋" w:hAnsi="仿宋"/>
          <w:sz w:val="28"/>
          <w:szCs w:val="28"/>
        </w:rPr>
        <w:t>针对当前招投标市场存在的招标人主体责任落实不到位，规避招标、虚假招标、围标串标、有关部门及领导干部插手干预等违法行为仍然易发高发等突出问题，从五方面提出了20项实务举措，旨在进一步夯实各方主体责任，强化自律意识，确保招标投标法规制度得以严格执行，推动招标投标市场规范有序健康发展，提高各单位工作人员的实务能力，做好纪检审计监督工作。</w:t>
      </w:r>
    </w:p>
    <w:p>
      <w:pPr>
        <w:widowControl/>
        <w:spacing w:line="360" w:lineRule="exact"/>
        <w:ind w:firstLine="640" w:firstLineChars="200"/>
        <w:jc w:val="left"/>
        <w:rPr>
          <w:rFonts w:ascii="仿宋" w:hAnsi="仿宋" w:cs="宋体"/>
          <w:sz w:val="28"/>
          <w:szCs w:val="28"/>
        </w:rPr>
      </w:pPr>
      <w:r>
        <w:drawing>
          <wp:anchor distT="0" distB="0" distL="114300" distR="114300" simplePos="0" relativeHeight="251661312" behindDoc="1" locked="0" layoutInCell="1" allowOverlap="1">
            <wp:simplePos x="0" y="0"/>
            <wp:positionH relativeFrom="column">
              <wp:posOffset>3214370</wp:posOffset>
            </wp:positionH>
            <wp:positionV relativeFrom="paragraph">
              <wp:posOffset>1318260</wp:posOffset>
            </wp:positionV>
            <wp:extent cx="2735580" cy="1491615"/>
            <wp:effectExtent l="0" t="0" r="762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35580" cy="1491615"/>
                    </a:xfrm>
                    <a:prstGeom prst="rect">
                      <a:avLst/>
                    </a:prstGeom>
                    <a:noFill/>
                    <a:ln>
                      <a:noFill/>
                    </a:ln>
                  </pic:spPr>
                </pic:pic>
              </a:graphicData>
            </a:graphic>
          </wp:anchor>
        </w:drawing>
      </w:r>
      <w:r>
        <w:rPr>
          <w:rFonts w:hint="eastAsia" w:ascii="仿宋" w:hAnsi="仿宋" w:cs="宋体"/>
          <w:sz w:val="28"/>
          <w:szCs w:val="28"/>
        </w:rPr>
        <w:t>为帮助政府职能部门、协会、建设单位、设计单位、施工单位、全过程项目咨询单位等相关人员学习理解计价、总包和咨询领域系列规范、行业新政策，厘清实务中重点、难点、疑点、焦点等专业共性问题，全面提高项目管理水平。中国投资协会项目投融资专业委员会决定举办“《新清标(征)》与《总计规》关键条文解读、施工承包与工程总承包(EPC)项目计价结算、合同管理及造价审计暨招标采购管理实务与案例高级培训班”的通知。请各单位积极组织本单位及下属单位相关人员参加。</w:t>
      </w:r>
    </w:p>
    <w:p>
      <w:pPr>
        <w:widowControl/>
        <w:spacing w:line="360" w:lineRule="exact"/>
        <w:ind w:firstLine="560" w:firstLineChars="200"/>
        <w:jc w:val="left"/>
        <w:rPr>
          <w:rFonts w:ascii="仿宋" w:hAnsi="仿宋" w:cs="宋体"/>
          <w:sz w:val="28"/>
          <w:szCs w:val="28"/>
        </w:rPr>
      </w:pPr>
      <w:r>
        <w:rPr>
          <w:rFonts w:hint="eastAsia" w:ascii="仿宋" w:hAnsi="仿宋" w:cs="宋体"/>
          <w:sz w:val="28"/>
          <w:szCs w:val="28"/>
        </w:rPr>
        <w:t>附件一、培训内容</w:t>
      </w:r>
    </w:p>
    <w:p>
      <w:pPr>
        <w:widowControl/>
        <w:spacing w:line="360" w:lineRule="exact"/>
        <w:ind w:firstLine="560" w:firstLineChars="200"/>
        <w:jc w:val="left"/>
        <w:rPr>
          <w:rFonts w:ascii="仿宋" w:hAnsi="仿宋" w:cs="宋体"/>
          <w:sz w:val="28"/>
          <w:szCs w:val="28"/>
        </w:rPr>
      </w:pPr>
      <w:r>
        <w:rPr>
          <w:rFonts w:hint="eastAsia" w:ascii="仿宋" w:hAnsi="仿宋" w:cs="宋体"/>
          <w:sz w:val="28"/>
          <w:szCs w:val="28"/>
        </w:rPr>
        <w:t>附件二、报名表</w:t>
      </w:r>
    </w:p>
    <w:p>
      <w:pPr>
        <w:pStyle w:val="2"/>
        <w:ind w:left="0" w:firstLine="0" w:firstLineChars="0"/>
      </w:pPr>
    </w:p>
    <w:p>
      <w:pPr>
        <w:widowControl/>
        <w:spacing w:line="380" w:lineRule="exact"/>
        <w:jc w:val="left"/>
        <w:rPr>
          <w:rFonts w:ascii="仿宋" w:hAnsi="仿宋" w:cs="仿宋"/>
          <w:b/>
          <w:sz w:val="28"/>
          <w:szCs w:val="28"/>
        </w:rPr>
      </w:pPr>
      <w:r>
        <w:rPr>
          <w:rFonts w:hint="eastAsia" w:ascii="仿宋" w:hAnsi="仿宋" w:cs="仿宋"/>
          <w:b/>
          <w:sz w:val="28"/>
          <w:szCs w:val="28"/>
        </w:rPr>
        <w:t>附件一：培训内容</w:t>
      </w:r>
    </w:p>
    <w:p>
      <w:pPr>
        <w:widowControl/>
        <w:spacing w:line="380" w:lineRule="exact"/>
        <w:jc w:val="left"/>
        <w:rPr>
          <w:rFonts w:ascii="仿宋" w:hAnsi="仿宋" w:cs="仿宋"/>
          <w:b/>
          <w:sz w:val="28"/>
          <w:szCs w:val="28"/>
        </w:rPr>
      </w:pPr>
      <w:r>
        <w:rPr>
          <w:rFonts w:hint="eastAsia" w:ascii="仿宋" w:hAnsi="仿宋" w:cs="仿宋"/>
          <w:b/>
          <w:sz w:val="28"/>
          <w:szCs w:val="28"/>
        </w:rPr>
        <w:t>第一部分：《新清标(征)》、《总计规》、《总管法》等最新法规政策深度解读</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w:t>
      </w:r>
      <w:r>
        <w:rPr>
          <w:rFonts w:hint="eastAsia" w:ascii="仿宋" w:hAnsi="仿宋" w:cs="仿宋"/>
          <w:bCs/>
          <w:sz w:val="28"/>
          <w:szCs w:val="28"/>
        </w:rPr>
        <w:tab/>
      </w:r>
      <w:r>
        <w:rPr>
          <w:rFonts w:hint="eastAsia" w:ascii="仿宋" w:hAnsi="仿宋" w:cs="仿宋"/>
          <w:bCs/>
          <w:sz w:val="28"/>
          <w:szCs w:val="28"/>
        </w:rPr>
        <w:t>中国建设工程造价管理协会《建设工程总承包计价规范》(T/CCEAS001-2022，中价协〔2022〕53号)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w:t>
      </w:r>
      <w:r>
        <w:rPr>
          <w:rFonts w:hint="eastAsia" w:ascii="仿宋" w:hAnsi="仿宋" w:cs="仿宋"/>
          <w:bCs/>
          <w:sz w:val="28"/>
          <w:szCs w:val="28"/>
        </w:rPr>
        <w:tab/>
      </w:r>
      <w:r>
        <w:rPr>
          <w:rFonts w:hint="eastAsia" w:ascii="仿宋" w:hAnsi="仿宋" w:cs="仿宋"/>
          <w:bCs/>
          <w:sz w:val="28"/>
          <w:szCs w:val="28"/>
        </w:rPr>
        <w:t>住建部《建设工程工程量清单计价标准(征)》(建司局函标〔2021〕144号)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w:t>
      </w:r>
      <w:r>
        <w:rPr>
          <w:rFonts w:hint="eastAsia" w:ascii="仿宋" w:hAnsi="仿宋" w:cs="仿宋"/>
          <w:bCs/>
          <w:sz w:val="28"/>
          <w:szCs w:val="28"/>
        </w:rPr>
        <w:tab/>
      </w:r>
      <w:r>
        <w:rPr>
          <w:rFonts w:hint="eastAsia" w:ascii="仿宋" w:hAnsi="仿宋" w:cs="仿宋"/>
          <w:bCs/>
          <w:sz w:val="28"/>
          <w:szCs w:val="28"/>
        </w:rPr>
        <w:t>财政部、住建部《关于完善建设工程价款结算有关办法的通知》(财建〔2022〕183号)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w:t>
      </w:r>
      <w:r>
        <w:rPr>
          <w:rFonts w:hint="eastAsia" w:ascii="仿宋" w:hAnsi="仿宋" w:cs="仿宋"/>
          <w:bCs/>
          <w:sz w:val="28"/>
          <w:szCs w:val="28"/>
        </w:rPr>
        <w:tab/>
      </w:r>
      <w:r>
        <w:rPr>
          <w:rFonts w:hint="eastAsia" w:ascii="仿宋" w:hAnsi="仿宋" w:cs="仿宋"/>
          <w:bCs/>
          <w:sz w:val="28"/>
          <w:szCs w:val="28"/>
        </w:rPr>
        <w:t xml:space="preserve">财政部、应急部《企业安全生产费用提取和使用管理办法》(财资〔2022〕136号) </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w:t>
      </w:r>
      <w:r>
        <w:rPr>
          <w:rFonts w:hint="eastAsia" w:ascii="仿宋" w:hAnsi="仿宋" w:cs="仿宋"/>
          <w:bCs/>
          <w:sz w:val="28"/>
          <w:szCs w:val="28"/>
        </w:rPr>
        <w:tab/>
      </w:r>
      <w:r>
        <w:rPr>
          <w:rFonts w:hint="eastAsia" w:ascii="仿宋" w:hAnsi="仿宋" w:cs="仿宋"/>
          <w:bCs/>
          <w:sz w:val="28"/>
          <w:szCs w:val="28"/>
        </w:rPr>
        <w:t>住建部《建筑工程施工发包与承包计价管理办法(征)》(建司局函标〔2021〕153号)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w:t>
      </w:r>
      <w:r>
        <w:rPr>
          <w:rFonts w:hint="eastAsia" w:ascii="仿宋" w:hAnsi="仿宋" w:cs="仿宋"/>
          <w:bCs/>
          <w:sz w:val="28"/>
          <w:szCs w:val="28"/>
        </w:rPr>
        <w:tab/>
      </w:r>
      <w:r>
        <w:rPr>
          <w:rFonts w:hint="eastAsia" w:ascii="仿宋" w:hAnsi="仿宋" w:cs="仿宋"/>
          <w:bCs/>
          <w:sz w:val="28"/>
          <w:szCs w:val="28"/>
        </w:rPr>
        <w:t>住建部《工程造价改革工作方案》(建办标〔2020〕38号)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w:t>
      </w:r>
      <w:r>
        <w:rPr>
          <w:rFonts w:hint="eastAsia" w:ascii="仿宋" w:hAnsi="仿宋" w:cs="仿宋"/>
          <w:bCs/>
          <w:sz w:val="28"/>
          <w:szCs w:val="28"/>
        </w:rPr>
        <w:tab/>
      </w:r>
      <w:r>
        <w:rPr>
          <w:rFonts w:hint="eastAsia" w:ascii="仿宋" w:hAnsi="仿宋" w:cs="仿宋"/>
          <w:bCs/>
          <w:sz w:val="28"/>
          <w:szCs w:val="28"/>
        </w:rPr>
        <w:t>住建部、市场监管总局《建设项目工程总承包合同(示范文本)》(GF-2020-0216)；</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w:t>
      </w:r>
      <w:r>
        <w:rPr>
          <w:rFonts w:hint="eastAsia" w:ascii="仿宋" w:hAnsi="仿宋" w:cs="仿宋"/>
          <w:bCs/>
          <w:sz w:val="28"/>
          <w:szCs w:val="28"/>
        </w:rPr>
        <w:tab/>
      </w:r>
      <w:r>
        <w:rPr>
          <w:rFonts w:hint="eastAsia" w:ascii="仿宋" w:hAnsi="仿宋" w:cs="仿宋"/>
          <w:bCs/>
          <w:sz w:val="28"/>
          <w:szCs w:val="28"/>
        </w:rPr>
        <w:t>住建部《房屋建筑和市政基础设施项目工程总承包管理办法》(建市规〔2019〕12号)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w:t>
      </w:r>
      <w:r>
        <w:rPr>
          <w:rFonts w:hint="eastAsia" w:ascii="仿宋" w:hAnsi="仿宋" w:cs="仿宋"/>
          <w:bCs/>
          <w:sz w:val="28"/>
          <w:szCs w:val="28"/>
        </w:rPr>
        <w:tab/>
      </w:r>
      <w:r>
        <w:rPr>
          <w:rFonts w:hint="eastAsia" w:ascii="仿宋" w:hAnsi="仿宋" w:cs="仿宋"/>
          <w:bCs/>
          <w:sz w:val="28"/>
          <w:szCs w:val="28"/>
        </w:rPr>
        <w:t>发改委、住建部《关于推进全过程工程咨询服务发展的指导意见》(发改投资规〔2019〕515号)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10.</w:t>
      </w:r>
      <w:r>
        <w:rPr>
          <w:rFonts w:hint="eastAsia" w:ascii="仿宋" w:hAnsi="仿宋" w:cs="仿宋"/>
          <w:bCs/>
          <w:sz w:val="28"/>
          <w:szCs w:val="28"/>
        </w:rPr>
        <w:tab/>
      </w:r>
      <w:r>
        <w:rPr>
          <w:rFonts w:hint="eastAsia" w:ascii="仿宋" w:hAnsi="仿宋" w:cs="仿宋"/>
          <w:bCs/>
          <w:sz w:val="28"/>
          <w:szCs w:val="28"/>
        </w:rPr>
        <w:t>中国建筑业协会《全过程工程咨询服务管理标准》(T/CCIAT0024— 2020)</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11.</w:t>
      </w:r>
      <w:r>
        <w:rPr>
          <w:rFonts w:hint="eastAsia" w:ascii="仿宋" w:hAnsi="仿宋" w:cs="仿宋"/>
          <w:bCs/>
          <w:sz w:val="28"/>
          <w:szCs w:val="28"/>
        </w:rPr>
        <w:tab/>
      </w:r>
      <w:r>
        <w:rPr>
          <w:rFonts w:hint="eastAsia" w:ascii="仿宋" w:hAnsi="仿宋" w:cs="仿宋"/>
          <w:bCs/>
          <w:sz w:val="28"/>
          <w:szCs w:val="28"/>
        </w:rPr>
        <w:t>国务院办公厅《关于促进建筑业持续健康发展的意见》(国办发〔2017〕19号)；</w:t>
      </w:r>
    </w:p>
    <w:p>
      <w:pPr>
        <w:widowControl/>
        <w:spacing w:line="380" w:lineRule="exact"/>
        <w:jc w:val="left"/>
        <w:rPr>
          <w:rFonts w:ascii="仿宋" w:hAnsi="仿宋" w:cs="仿宋"/>
          <w:b/>
          <w:sz w:val="28"/>
          <w:szCs w:val="28"/>
        </w:rPr>
      </w:pPr>
      <w:r>
        <w:rPr>
          <w:rFonts w:hint="eastAsia" w:ascii="仿宋" w:hAnsi="仿宋" w:cs="仿宋"/>
          <w:b/>
          <w:sz w:val="28"/>
          <w:szCs w:val="28"/>
        </w:rPr>
        <w:t>第二部分：《新清标(征)》下工程计价与结算重点与难点问题实操解决方案与案例解读</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w:t>
      </w:r>
      <w:r>
        <w:rPr>
          <w:rFonts w:hint="eastAsia" w:ascii="仿宋" w:hAnsi="仿宋" w:cs="仿宋"/>
          <w:bCs/>
          <w:sz w:val="28"/>
          <w:szCs w:val="28"/>
        </w:rPr>
        <w:tab/>
      </w:r>
      <w:r>
        <w:rPr>
          <w:rFonts w:hint="eastAsia" w:ascii="仿宋" w:hAnsi="仿宋" w:cs="仿宋"/>
          <w:bCs/>
          <w:sz w:val="28"/>
          <w:szCs w:val="28"/>
        </w:rPr>
        <w:t>工程计价内容的招标设计；</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w:t>
      </w:r>
      <w:r>
        <w:rPr>
          <w:rFonts w:hint="eastAsia" w:ascii="仿宋" w:hAnsi="仿宋" w:cs="仿宋"/>
          <w:bCs/>
          <w:sz w:val="28"/>
          <w:szCs w:val="28"/>
        </w:rPr>
        <w:tab/>
      </w:r>
      <w:r>
        <w:rPr>
          <w:rFonts w:hint="eastAsia" w:ascii="仿宋" w:hAnsi="仿宋" w:cs="仿宋"/>
          <w:bCs/>
          <w:sz w:val="28"/>
          <w:szCs w:val="28"/>
        </w:rPr>
        <w:t>工程费用性质分析：按实核定与包干固定；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w:t>
      </w:r>
      <w:r>
        <w:rPr>
          <w:rFonts w:hint="eastAsia" w:ascii="仿宋" w:hAnsi="仿宋" w:cs="仿宋"/>
          <w:bCs/>
          <w:sz w:val="28"/>
          <w:szCs w:val="28"/>
        </w:rPr>
        <w:tab/>
      </w:r>
      <w:r>
        <w:rPr>
          <w:rFonts w:hint="eastAsia" w:ascii="仿宋" w:hAnsi="仿宋" w:cs="仿宋"/>
          <w:bCs/>
          <w:sz w:val="28"/>
          <w:szCs w:val="28"/>
        </w:rPr>
        <w:t>最高投标限价编制与监管的改革政策；</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w:t>
      </w:r>
      <w:r>
        <w:rPr>
          <w:rFonts w:hint="eastAsia" w:ascii="仿宋" w:hAnsi="仿宋" w:cs="仿宋"/>
          <w:bCs/>
          <w:sz w:val="28"/>
          <w:szCs w:val="28"/>
        </w:rPr>
        <w:tab/>
      </w:r>
      <w:r>
        <w:rPr>
          <w:rFonts w:hint="eastAsia" w:ascii="仿宋" w:hAnsi="仿宋" w:cs="仿宋"/>
          <w:bCs/>
          <w:sz w:val="28"/>
          <w:szCs w:val="28"/>
        </w:rPr>
        <w:t>《新清标(征)》中关于合同形式的新规定及计价案例；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w:t>
      </w:r>
      <w:r>
        <w:rPr>
          <w:rFonts w:hint="eastAsia" w:ascii="仿宋" w:hAnsi="仿宋" w:cs="仿宋"/>
          <w:bCs/>
          <w:sz w:val="28"/>
          <w:szCs w:val="28"/>
        </w:rPr>
        <w:tab/>
      </w:r>
      <w:r>
        <w:rPr>
          <w:rFonts w:hint="eastAsia" w:ascii="仿宋" w:hAnsi="仿宋" w:cs="仿宋"/>
          <w:bCs/>
          <w:sz w:val="28"/>
          <w:szCs w:val="28"/>
        </w:rPr>
        <w:t>措施项目清单缺漏项与包干计价分析；</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w:t>
      </w:r>
      <w:r>
        <w:rPr>
          <w:rFonts w:hint="eastAsia" w:ascii="仿宋" w:hAnsi="仿宋" w:cs="仿宋"/>
          <w:bCs/>
          <w:sz w:val="28"/>
          <w:szCs w:val="28"/>
        </w:rPr>
        <w:tab/>
      </w:r>
      <w:r>
        <w:rPr>
          <w:rFonts w:hint="eastAsia" w:ascii="仿宋" w:hAnsi="仿宋" w:cs="仿宋"/>
          <w:bCs/>
          <w:sz w:val="28"/>
          <w:szCs w:val="28"/>
        </w:rPr>
        <w:t>过程结算与过程支付的辨析与案例；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w:t>
      </w:r>
      <w:r>
        <w:rPr>
          <w:rFonts w:hint="eastAsia" w:ascii="仿宋" w:hAnsi="仿宋" w:cs="仿宋"/>
          <w:bCs/>
          <w:sz w:val="28"/>
          <w:szCs w:val="28"/>
        </w:rPr>
        <w:tab/>
      </w:r>
      <w:r>
        <w:rPr>
          <w:rFonts w:hint="eastAsia" w:ascii="仿宋" w:hAnsi="仿宋" w:cs="仿宋"/>
          <w:bCs/>
          <w:sz w:val="28"/>
          <w:szCs w:val="28"/>
        </w:rPr>
        <w:t>人材机调价时单价差与消耗量确定；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w:t>
      </w:r>
      <w:r>
        <w:rPr>
          <w:rFonts w:hint="eastAsia" w:ascii="仿宋" w:hAnsi="仿宋" w:cs="仿宋"/>
          <w:bCs/>
          <w:sz w:val="28"/>
          <w:szCs w:val="28"/>
        </w:rPr>
        <w:tab/>
      </w:r>
      <w:r>
        <w:rPr>
          <w:rFonts w:hint="eastAsia" w:ascii="仿宋" w:hAnsi="仿宋" w:cs="仿宋"/>
          <w:bCs/>
          <w:sz w:val="28"/>
          <w:szCs w:val="28"/>
        </w:rPr>
        <w:t>工程量增减与不平衡单价；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w:t>
      </w:r>
      <w:r>
        <w:rPr>
          <w:rFonts w:hint="eastAsia" w:ascii="仿宋" w:hAnsi="仿宋" w:cs="仿宋"/>
          <w:bCs/>
          <w:sz w:val="28"/>
          <w:szCs w:val="28"/>
        </w:rPr>
        <w:tab/>
      </w:r>
      <w:r>
        <w:rPr>
          <w:rFonts w:hint="eastAsia" w:ascii="仿宋" w:hAnsi="仿宋" w:cs="仿宋"/>
          <w:bCs/>
          <w:sz w:val="28"/>
          <w:szCs w:val="28"/>
        </w:rPr>
        <w:t>材料单价不合理情形下变更置换计价；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10.</w:t>
      </w:r>
      <w:r>
        <w:rPr>
          <w:rFonts w:hint="eastAsia" w:ascii="仿宋" w:hAnsi="仿宋" w:cs="仿宋"/>
          <w:bCs/>
          <w:sz w:val="28"/>
          <w:szCs w:val="28"/>
        </w:rPr>
        <w:tab/>
      </w:r>
      <w:r>
        <w:rPr>
          <w:rFonts w:hint="eastAsia" w:ascii="仿宋" w:hAnsi="仿宋" w:cs="仿宋"/>
          <w:bCs/>
          <w:sz w:val="28"/>
          <w:szCs w:val="28"/>
        </w:rPr>
        <w:t>工程措施方案变更与优化的计价处理；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11.</w:t>
      </w:r>
      <w:r>
        <w:rPr>
          <w:rFonts w:hint="eastAsia" w:ascii="仿宋" w:hAnsi="仿宋" w:cs="仿宋"/>
          <w:bCs/>
          <w:sz w:val="28"/>
          <w:szCs w:val="28"/>
        </w:rPr>
        <w:tab/>
      </w:r>
      <w:r>
        <w:rPr>
          <w:rFonts w:hint="eastAsia" w:ascii="仿宋" w:hAnsi="仿宋" w:cs="仿宋"/>
          <w:bCs/>
          <w:sz w:val="28"/>
          <w:szCs w:val="28"/>
        </w:rPr>
        <w:t>工程签证类型与计价处理；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12.</w:t>
      </w:r>
      <w:r>
        <w:rPr>
          <w:rFonts w:hint="eastAsia" w:ascii="仿宋" w:hAnsi="仿宋" w:cs="仿宋"/>
          <w:bCs/>
          <w:sz w:val="28"/>
          <w:szCs w:val="28"/>
        </w:rPr>
        <w:tab/>
      </w:r>
      <w:r>
        <w:rPr>
          <w:rFonts w:hint="eastAsia" w:ascii="仿宋" w:hAnsi="仿宋" w:cs="仿宋"/>
          <w:bCs/>
          <w:sz w:val="28"/>
          <w:szCs w:val="28"/>
        </w:rPr>
        <w:t>材料设备认价性质界定与案例；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13.</w:t>
      </w:r>
      <w:r>
        <w:rPr>
          <w:rFonts w:hint="eastAsia" w:ascii="仿宋" w:hAnsi="仿宋" w:cs="仿宋"/>
          <w:bCs/>
          <w:sz w:val="28"/>
          <w:szCs w:val="28"/>
        </w:rPr>
        <w:tab/>
      </w:r>
      <w:r>
        <w:rPr>
          <w:rFonts w:hint="eastAsia" w:ascii="仿宋" w:hAnsi="仿宋" w:cs="仿宋"/>
          <w:bCs/>
          <w:sz w:val="28"/>
          <w:szCs w:val="28"/>
        </w:rPr>
        <w:t>暂估价项目及总承包服务费计价案例；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14.</w:t>
      </w:r>
      <w:r>
        <w:rPr>
          <w:rFonts w:hint="eastAsia" w:ascii="仿宋" w:hAnsi="仿宋" w:cs="仿宋"/>
          <w:bCs/>
          <w:sz w:val="28"/>
          <w:szCs w:val="28"/>
        </w:rPr>
        <w:tab/>
      </w:r>
      <w:r>
        <w:rPr>
          <w:rFonts w:hint="eastAsia" w:ascii="仿宋" w:hAnsi="仿宋" w:cs="仿宋"/>
          <w:bCs/>
          <w:sz w:val="28"/>
          <w:szCs w:val="28"/>
        </w:rPr>
        <w:t>营改增下工程计价与计税典型案例分析；</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15.</w:t>
      </w:r>
      <w:r>
        <w:rPr>
          <w:rFonts w:hint="eastAsia" w:ascii="仿宋" w:hAnsi="仿宋" w:cs="仿宋"/>
          <w:bCs/>
          <w:sz w:val="28"/>
          <w:szCs w:val="28"/>
        </w:rPr>
        <w:tab/>
      </w:r>
      <w:r>
        <w:rPr>
          <w:rFonts w:hint="eastAsia" w:ascii="仿宋" w:hAnsi="仿宋" w:cs="仿宋"/>
          <w:bCs/>
          <w:sz w:val="28"/>
          <w:szCs w:val="28"/>
        </w:rPr>
        <w:t>工程结算审计定性分析及案例。</w:t>
      </w:r>
    </w:p>
    <w:p>
      <w:pPr>
        <w:widowControl/>
        <w:spacing w:line="380" w:lineRule="exact"/>
        <w:jc w:val="left"/>
        <w:rPr>
          <w:rFonts w:ascii="仿宋" w:hAnsi="仿宋" w:cs="仿宋"/>
          <w:b/>
          <w:sz w:val="28"/>
          <w:szCs w:val="28"/>
        </w:rPr>
      </w:pPr>
      <w:r>
        <w:rPr>
          <w:rFonts w:hint="eastAsia" w:ascii="仿宋" w:hAnsi="仿宋" w:cs="仿宋"/>
          <w:b/>
          <w:sz w:val="28"/>
          <w:szCs w:val="28"/>
        </w:rPr>
        <w:t>第三部分：《总计规》下总承包(EPC)投资控制与结算难题破解与案例解读</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w:t>
      </w:r>
      <w:r>
        <w:rPr>
          <w:rFonts w:hint="eastAsia" w:ascii="仿宋" w:hAnsi="仿宋" w:cs="仿宋"/>
          <w:bCs/>
          <w:sz w:val="28"/>
          <w:szCs w:val="28"/>
        </w:rPr>
        <w:tab/>
      </w:r>
      <w:r>
        <w:rPr>
          <w:rFonts w:hint="eastAsia" w:ascii="仿宋" w:hAnsi="仿宋" w:cs="仿宋"/>
          <w:bCs/>
          <w:sz w:val="28"/>
          <w:szCs w:val="28"/>
        </w:rPr>
        <w:t>EPC价格构成内容分析：哪些费用能进入EPC价格，哪些费用不能进入EPC价格？</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w:t>
      </w:r>
      <w:r>
        <w:rPr>
          <w:rFonts w:hint="eastAsia" w:ascii="仿宋" w:hAnsi="仿宋" w:cs="仿宋"/>
          <w:bCs/>
          <w:sz w:val="28"/>
          <w:szCs w:val="28"/>
        </w:rPr>
        <w:tab/>
      </w:r>
      <w:r>
        <w:rPr>
          <w:rFonts w:hint="eastAsia" w:ascii="仿宋" w:hAnsi="仿宋" w:cs="仿宋"/>
          <w:bCs/>
          <w:sz w:val="28"/>
          <w:szCs w:val="28"/>
        </w:rPr>
        <w:t>EPC工程费用性质分析：区分不同性质的费用在结算处理时所呈现的不同特征——按实核定与包干固定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w:t>
      </w:r>
      <w:r>
        <w:rPr>
          <w:rFonts w:hint="eastAsia" w:ascii="仿宋" w:hAnsi="仿宋" w:cs="仿宋"/>
          <w:bCs/>
          <w:sz w:val="28"/>
          <w:szCs w:val="28"/>
        </w:rPr>
        <w:tab/>
      </w:r>
      <w:r>
        <w:rPr>
          <w:rFonts w:hint="eastAsia" w:ascii="仿宋" w:hAnsi="仿宋" w:cs="仿宋"/>
          <w:bCs/>
          <w:sz w:val="28"/>
          <w:szCs w:val="28"/>
        </w:rPr>
        <w:t>EPC计价范围与计价机制：辨析EPC总价合同的不同形式，厘清国内EPC合同计价特点</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w:t>
      </w:r>
      <w:r>
        <w:rPr>
          <w:rFonts w:hint="eastAsia" w:ascii="仿宋" w:hAnsi="仿宋" w:cs="仿宋"/>
          <w:bCs/>
          <w:sz w:val="28"/>
          <w:szCs w:val="28"/>
        </w:rPr>
        <w:tab/>
      </w:r>
      <w:r>
        <w:rPr>
          <w:rFonts w:hint="eastAsia" w:ascii="仿宋" w:hAnsi="仿宋" w:cs="仿宋"/>
          <w:bCs/>
          <w:sz w:val="28"/>
          <w:szCs w:val="28"/>
        </w:rPr>
        <w:t>EPC过程结算/过程支付：区分EPC过程结算与施工承包合同计量支付结算的本质不同</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w:t>
      </w:r>
      <w:r>
        <w:rPr>
          <w:rFonts w:hint="eastAsia" w:ascii="仿宋" w:hAnsi="仿宋" w:cs="仿宋"/>
          <w:bCs/>
          <w:sz w:val="28"/>
          <w:szCs w:val="28"/>
        </w:rPr>
        <w:tab/>
      </w:r>
      <w:r>
        <w:rPr>
          <w:rFonts w:hint="eastAsia" w:ascii="仿宋" w:hAnsi="仿宋" w:cs="仿宋"/>
          <w:bCs/>
          <w:sz w:val="28"/>
          <w:szCs w:val="28"/>
        </w:rPr>
        <w:t>EPC计价风险与调整：EPC限额价格到底“限”的是什么价格? EPC竣工结算价格能否突破限额价格？</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w:t>
      </w:r>
      <w:r>
        <w:rPr>
          <w:rFonts w:hint="eastAsia" w:ascii="仿宋" w:hAnsi="仿宋" w:cs="仿宋"/>
          <w:bCs/>
          <w:sz w:val="28"/>
          <w:szCs w:val="28"/>
        </w:rPr>
        <w:tab/>
      </w:r>
      <w:r>
        <w:rPr>
          <w:rFonts w:hint="eastAsia" w:ascii="仿宋" w:hAnsi="仿宋" w:cs="仿宋"/>
          <w:bCs/>
          <w:sz w:val="28"/>
          <w:szCs w:val="28"/>
        </w:rPr>
        <w:t>EPC变更计价：厘清EPC变更计价责任，分析变更对EPC限额与施工图预算的影响，通过案例给出EPC变更计价的操作方法</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w:t>
      </w:r>
      <w:r>
        <w:rPr>
          <w:rFonts w:hint="eastAsia" w:ascii="仿宋" w:hAnsi="仿宋" w:cs="仿宋"/>
          <w:bCs/>
          <w:sz w:val="28"/>
          <w:szCs w:val="28"/>
        </w:rPr>
        <w:tab/>
      </w:r>
      <w:r>
        <w:rPr>
          <w:rFonts w:hint="eastAsia" w:ascii="仿宋" w:hAnsi="仿宋" w:cs="仿宋"/>
          <w:bCs/>
          <w:sz w:val="28"/>
          <w:szCs w:val="28"/>
        </w:rPr>
        <w:t>EPC暂估价项目计价：暂估价计价方式的合规风险分析，暂估价材设的认价内涵</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w:t>
      </w:r>
      <w:r>
        <w:rPr>
          <w:rFonts w:hint="eastAsia" w:ascii="仿宋" w:hAnsi="仿宋" w:cs="仿宋"/>
          <w:bCs/>
          <w:sz w:val="28"/>
          <w:szCs w:val="28"/>
        </w:rPr>
        <w:tab/>
      </w:r>
      <w:r>
        <w:rPr>
          <w:rFonts w:hint="eastAsia" w:ascii="仿宋" w:hAnsi="仿宋" w:cs="仿宋"/>
          <w:bCs/>
          <w:sz w:val="28"/>
          <w:szCs w:val="28"/>
        </w:rPr>
        <w:t>EPC计价机制的困境与突破：分析限额模式下EPC计价的内在矛盾，提出EPC招标计价创新方案</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w:t>
      </w:r>
      <w:r>
        <w:rPr>
          <w:rFonts w:hint="eastAsia" w:ascii="仿宋" w:hAnsi="仿宋" w:cs="仿宋"/>
          <w:bCs/>
          <w:sz w:val="28"/>
          <w:szCs w:val="28"/>
        </w:rPr>
        <w:tab/>
      </w:r>
      <w:r>
        <w:rPr>
          <w:rFonts w:hint="eastAsia" w:ascii="仿宋" w:hAnsi="仿宋" w:cs="仿宋"/>
          <w:bCs/>
          <w:sz w:val="28"/>
          <w:szCs w:val="28"/>
        </w:rPr>
        <w:t>EPC造价审计定性：国内EPC总价合同面临审计风险分析，澄清运用审计结果与开展审计监督的概念混淆，剖析工程造价审计的职业伦理</w:t>
      </w:r>
    </w:p>
    <w:p>
      <w:pPr>
        <w:widowControl/>
        <w:spacing w:line="380" w:lineRule="exact"/>
        <w:jc w:val="left"/>
        <w:rPr>
          <w:rFonts w:ascii="仿宋" w:hAnsi="仿宋" w:cs="仿宋"/>
          <w:b/>
          <w:sz w:val="28"/>
          <w:szCs w:val="28"/>
        </w:rPr>
      </w:pPr>
      <w:r>
        <w:rPr>
          <w:rFonts w:hint="eastAsia" w:ascii="仿宋" w:hAnsi="仿宋" w:cs="仿宋"/>
          <w:b/>
          <w:sz w:val="28"/>
          <w:szCs w:val="28"/>
        </w:rPr>
        <w:t>第四部分：结算审计与财评</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1．路桥公司，EPC，财政评审，材料费，信息价问题。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2．EPC,跨铁桥，超概，挂靠问题。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3．实际施工与设计图纸不一致，结算如何调整问题。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4．招标文件约定施工过程核价问题。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5．招标控制价中没有赶工措施费，项目在实施过程中，因业主原因需要施工单位进行赶工，赶工措施费如何计算比较合理？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6．EPC项目合同及范围外的结算原则问题。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7．当事人约定以行政审计、财政评审作为工程款结算依据的，按照约定处理问题。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8．行政审计、财政评审部门明确表示无法进行审计或者无正当理由长期未出具审计结论，当事人申请进行司法鉴定的，可以准许问题。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9．在双方当事人已经通过结算协议确认了工程结算价款并已基本履行完毕的情况下，国家审计机关作出的审计结论或财政评审意见，不影响双方结算协议的效力问题。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10．中标合同与另行约定以审计结果作为结算依据不一致，如何处理？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11．约定以审计结论作为结算依据，能否变更结算约定？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12．审计机构超越资质范围出具审计报告，审计结果能否作为结算依据？</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13．政府审计结果是否影响双方当事人结算协议的履行？</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14．审计机关对发包人的竣工决算审计结果对承包人与实际施工人约定的结算方式的影响？</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15．合同约定以决算审核部门审核结果作为结算依据的，审核结果能否作为结算的依据？如果已经按照造价咨询机构的结论，全部支付完了工程款项，审计机关时候又提出审减的意见，这种要怎么处理？是要把钱追回来么？如果追不回来了，经办人员要被追责么？</w:t>
      </w:r>
    </w:p>
    <w:p>
      <w:pPr>
        <w:widowControl/>
        <w:spacing w:line="380" w:lineRule="exact"/>
        <w:jc w:val="left"/>
        <w:rPr>
          <w:rFonts w:ascii="仿宋" w:hAnsi="仿宋" w:cs="仿宋"/>
          <w:b/>
          <w:sz w:val="28"/>
          <w:szCs w:val="28"/>
        </w:rPr>
      </w:pPr>
      <w:r>
        <w:rPr>
          <w:rFonts w:hint="eastAsia" w:ascii="仿宋" w:hAnsi="仿宋" w:cs="仿宋"/>
          <w:b/>
          <w:sz w:val="28"/>
          <w:szCs w:val="28"/>
        </w:rPr>
        <w:t>第五部分：</w:t>
      </w:r>
      <w:r>
        <w:rPr>
          <w:rFonts w:hint="eastAsia" w:ascii="仿宋" w:hAnsi="仿宋" w:cs="宋体"/>
          <w:b/>
          <w:sz w:val="28"/>
          <w:szCs w:val="28"/>
        </w:rPr>
        <w:t>招标采购管理实务与案例</w:t>
      </w:r>
    </w:p>
    <w:p>
      <w:pPr>
        <w:widowControl/>
        <w:spacing w:line="380" w:lineRule="exact"/>
        <w:jc w:val="left"/>
        <w:rPr>
          <w:rFonts w:ascii="仿宋" w:hAnsi="仿宋" w:cs="仿宋"/>
          <w:bCs/>
          <w:sz w:val="28"/>
          <w:szCs w:val="28"/>
        </w:rPr>
      </w:pPr>
      <w:r>
        <w:rPr>
          <w:rFonts w:hint="eastAsia" w:ascii="仿宋" w:hAnsi="仿宋" w:cs="仿宋"/>
          <w:bCs/>
          <w:sz w:val="28"/>
          <w:szCs w:val="28"/>
        </w:rPr>
        <w:t>一、招标采购管理实务与法律风险防范</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（一）建设工程招标投标概述；</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（二）国有企业招标采购合规管理；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（四）招标采购最新政策法规及法律修订展望。</w:t>
      </w:r>
    </w:p>
    <w:p>
      <w:pPr>
        <w:widowControl/>
        <w:spacing w:line="380" w:lineRule="exact"/>
        <w:jc w:val="left"/>
        <w:rPr>
          <w:rFonts w:ascii="仿宋" w:hAnsi="仿宋" w:cs="仿宋"/>
          <w:bCs/>
          <w:sz w:val="28"/>
          <w:szCs w:val="28"/>
        </w:rPr>
      </w:pPr>
      <w:r>
        <w:rPr>
          <w:rFonts w:hint="eastAsia" w:ascii="仿宋" w:hAnsi="仿宋" w:cs="仿宋"/>
          <w:bCs/>
          <w:sz w:val="28"/>
          <w:szCs w:val="28"/>
        </w:rPr>
        <w:t>二、招标方式实务</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（一）招标投标制度概述</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1.招标投标法律规范</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2.强制招标制度</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3.国有企业采购操作规范（T/CFLP 0016—2023）</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（二）招标采购准备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1.采购需求管理</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2.采购实施计划与采购方案策划</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（三）采购组织模式</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1.集中采购与分散采购</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2.框架协议程序与一般采购程序</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（四）招标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1.招标文件的编写</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2.以不合理的条件限制或者排斥潜在投标人的判定</w:t>
      </w:r>
    </w:p>
    <w:p>
      <w:pPr>
        <w:widowControl/>
        <w:spacing w:line="380" w:lineRule="exact"/>
        <w:ind w:left="320" w:leftChars="100" w:firstLine="280" w:firstLineChars="100"/>
        <w:jc w:val="left"/>
        <w:rPr>
          <w:rFonts w:ascii="仿宋" w:hAnsi="仿宋" w:cs="仿宋"/>
          <w:bCs/>
          <w:sz w:val="28"/>
          <w:szCs w:val="28"/>
        </w:rPr>
      </w:pPr>
      <w:r>
        <w:rPr>
          <w:rFonts w:hint="eastAsia" w:ascii="仿宋" w:hAnsi="仿宋" w:cs="仿宋"/>
          <w:bCs/>
          <w:sz w:val="28"/>
          <w:szCs w:val="28"/>
        </w:rPr>
        <w:t>3.“资格、技术、商务条件与招标项目的具体特点和实际需要相适应或者与合同履行相关性”的标准</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4.资格预审</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5.招标文件的澄清和修改</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6.踏勘现场与招标答疑</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（五）投标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1.投标人与投标资格</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2.投标文件</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（六）开标、评标与定标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1.开标与开标异议</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2.评标委员会</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3.资格审查</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4.符合性审查</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5.澄清、说明与补正程序</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6.异常低价审查规则</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7.否决投标（投标无效）的法定情形和约定情形</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8.否决全部投标的规则</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9.评审争议解决</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10.评标报告与中标候选人</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11.中标候选人公示</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12.确定中标人规则（评定分离制度探索）</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（七）中标与合同</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1.中标通知书</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2.履约能力审查</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3.招标合同的签订</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4.合同分包与转包</w:t>
      </w:r>
    </w:p>
    <w:p>
      <w:pPr>
        <w:widowControl/>
        <w:spacing w:line="380" w:lineRule="exact"/>
        <w:jc w:val="left"/>
        <w:rPr>
          <w:rFonts w:ascii="仿宋" w:hAnsi="仿宋" w:cs="仿宋"/>
          <w:bCs/>
          <w:sz w:val="28"/>
          <w:szCs w:val="28"/>
        </w:rPr>
      </w:pPr>
      <w:r>
        <w:rPr>
          <w:rFonts w:hint="eastAsia" w:ascii="仿宋" w:hAnsi="仿宋" w:cs="仿宋"/>
          <w:bCs/>
          <w:sz w:val="28"/>
          <w:szCs w:val="28"/>
        </w:rPr>
        <w:t>三、非招标采购方式实务</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（一）政府采购中的非招标采购方式</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（二）国有企业采购操作规范（T/CFLP 0016—2023）规定的非招标采购方式</w:t>
      </w:r>
      <w:r>
        <w:rPr>
          <w:rFonts w:ascii="仿宋" w:hAnsi="仿宋" w:cs="仿宋"/>
          <w:bCs/>
          <w:sz w:val="28"/>
          <w:szCs w:val="28"/>
        </w:rPr>
        <w:t xml:space="preserve"> </w:t>
      </w:r>
    </w:p>
    <w:p>
      <w:pPr>
        <w:widowControl/>
        <w:spacing w:line="380" w:lineRule="exact"/>
        <w:jc w:val="left"/>
        <w:rPr>
          <w:rFonts w:ascii="仿宋" w:hAnsi="仿宋" w:cs="仿宋"/>
          <w:b/>
          <w:sz w:val="28"/>
          <w:szCs w:val="28"/>
        </w:rPr>
      </w:pPr>
      <w:r>
        <w:rPr>
          <w:rFonts w:hint="eastAsia" w:ascii="仿宋" w:hAnsi="仿宋" w:cs="仿宋"/>
          <w:b/>
          <w:sz w:val="28"/>
          <w:szCs w:val="28"/>
        </w:rPr>
        <w:t>三、培训对象</w:t>
      </w:r>
    </w:p>
    <w:p>
      <w:pPr>
        <w:widowControl/>
        <w:spacing w:line="380" w:lineRule="exact"/>
        <w:ind w:firstLine="560" w:firstLineChars="200"/>
        <w:jc w:val="left"/>
        <w:rPr>
          <w:rFonts w:ascii="仿宋" w:hAnsi="仿宋" w:cs="宋体"/>
          <w:sz w:val="28"/>
          <w:szCs w:val="28"/>
        </w:rPr>
      </w:pPr>
      <w:r>
        <w:rPr>
          <w:rFonts w:hint="eastAsia" w:ascii="仿宋" w:hAnsi="仿宋" w:cs="宋体"/>
          <w:sz w:val="28"/>
          <w:szCs w:val="28"/>
        </w:rPr>
        <w:t>各地政府建设项目监管部门、工程</w:t>
      </w:r>
      <w:r>
        <w:rPr>
          <w:rFonts w:hint="eastAsia" w:ascii="仿宋" w:hAnsi="仿宋" w:eastAsia="仿宋" w:cs="仿宋"/>
          <w:b w:val="0"/>
          <w:bCs w:val="0"/>
          <w:spacing w:val="-10"/>
          <w:kern w:val="2"/>
          <w:sz w:val="28"/>
          <w:szCs w:val="28"/>
          <w:lang w:val="en-US" w:eastAsia="zh-CN" w:bidi="ar-SA"/>
        </w:rPr>
        <w:drawing>
          <wp:anchor distT="0" distB="0" distL="114300" distR="114300" simplePos="0" relativeHeight="251660288" behindDoc="1" locked="0" layoutInCell="1" allowOverlap="1">
            <wp:simplePos x="0" y="0"/>
            <wp:positionH relativeFrom="column">
              <wp:posOffset>4175760</wp:posOffset>
            </wp:positionH>
            <wp:positionV relativeFrom="paragraph">
              <wp:posOffset>8345805</wp:posOffset>
            </wp:positionV>
            <wp:extent cx="2607945" cy="1903095"/>
            <wp:effectExtent l="0" t="0" r="1905" b="1905"/>
            <wp:wrapNone/>
            <wp:docPr id="4" name="图片 2" descr="2ad0085a33f508e10cf774c752bc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ad0085a33f508e10cf774c752bc86e"/>
                    <pic:cNvPicPr>
                      <a:picLocks noChangeAspect="1"/>
                    </pic:cNvPicPr>
                  </pic:nvPicPr>
                  <pic:blipFill>
                    <a:blip r:embed="rId6"/>
                    <a:stretch>
                      <a:fillRect/>
                    </a:stretch>
                  </pic:blipFill>
                  <pic:spPr>
                    <a:xfrm>
                      <a:off x="0" y="0"/>
                      <a:ext cx="2607945" cy="1903095"/>
                    </a:xfrm>
                    <a:prstGeom prst="rect">
                      <a:avLst/>
                    </a:prstGeom>
                    <a:noFill/>
                    <a:ln>
                      <a:noFill/>
                    </a:ln>
                  </pic:spPr>
                </pic:pic>
              </a:graphicData>
            </a:graphic>
          </wp:anchor>
        </w:drawing>
      </w:r>
      <w:r>
        <w:rPr>
          <w:rFonts w:hint="eastAsia" w:ascii="仿宋" w:hAnsi="仿宋" w:cs="宋体"/>
          <w:sz w:val="28"/>
          <w:szCs w:val="28"/>
        </w:rPr>
        <w:t>交易中心、投资项目评审中心；各业主单位从事项目管理、合同管理、工程项目建设、开发、审计等相关部门人员；各建筑施工企业、工程公司、总承包公司、设计院、成套设备公司、设备材料供应商、国际招标公司、律师事务所及各公司的总经理、副总经理、部门经理、项目经理、市场开发、法务专员等相关部门负责人、中高等院校、医院及科研机构、参与EPC项目管理的所有管理者。</w:t>
      </w:r>
    </w:p>
    <w:p>
      <w:pPr>
        <w:widowControl/>
        <w:tabs>
          <w:tab w:val="center" w:pos="5032"/>
        </w:tabs>
        <w:spacing w:line="380" w:lineRule="exact"/>
        <w:jc w:val="left"/>
        <w:rPr>
          <w:rFonts w:hint="eastAsia" w:ascii="仿宋" w:hAnsi="仿宋" w:eastAsia="仿宋" w:cs="宋体"/>
          <w:b/>
          <w:bCs/>
          <w:sz w:val="28"/>
          <w:szCs w:val="28"/>
          <w:lang w:eastAsia="zh-CN"/>
        </w:rPr>
      </w:pPr>
      <w:r>
        <w:rPr>
          <w:rFonts w:hint="eastAsia" w:ascii="仿宋" w:hAnsi="仿宋" w:cs="宋体"/>
          <w:b/>
          <w:bCs/>
          <w:sz w:val="28"/>
          <w:szCs w:val="28"/>
        </w:rPr>
        <w:t>四、拟邀专家</w:t>
      </w:r>
      <w:r>
        <w:rPr>
          <w:rFonts w:hint="eastAsia" w:ascii="仿宋" w:hAnsi="仿宋" w:cs="宋体"/>
          <w:b/>
          <w:bCs/>
          <w:sz w:val="28"/>
          <w:szCs w:val="28"/>
          <w:lang w:eastAsia="zh-CN"/>
        </w:rPr>
        <w:tab/>
      </w:r>
    </w:p>
    <w:p>
      <w:pPr>
        <w:widowControl/>
        <w:spacing w:line="380" w:lineRule="exact"/>
        <w:ind w:firstLine="560" w:firstLineChars="200"/>
        <w:jc w:val="left"/>
        <w:rPr>
          <w:rFonts w:ascii="仿宋" w:hAnsi="仿宋" w:cs="宋体"/>
          <w:sz w:val="28"/>
          <w:szCs w:val="28"/>
        </w:rPr>
      </w:pPr>
      <w:r>
        <w:rPr>
          <w:rFonts w:hint="eastAsia" w:ascii="仿宋" w:hAnsi="仿宋" w:cs="宋体"/>
          <w:sz w:val="28"/>
          <w:szCs w:val="28"/>
        </w:rPr>
        <w:t>国家发改委、住建部、</w:t>
      </w:r>
      <w:r>
        <w:rPr>
          <w:rFonts w:hint="eastAsia" w:ascii="仿宋" w:hAnsi="仿宋"/>
          <w:sz w:val="28"/>
          <w:szCs w:val="28"/>
          <w:lang w:val="zh-CN"/>
        </w:rPr>
        <w:t>行业协会、参与新规范编写的有关专家</w:t>
      </w:r>
      <w:r>
        <w:rPr>
          <w:rFonts w:hint="eastAsia" w:ascii="仿宋" w:hAnsi="仿宋" w:cs="宋体"/>
          <w:sz w:val="28"/>
          <w:szCs w:val="28"/>
        </w:rPr>
        <w:t>和国内一流EPC总承包项目管理丰富经验的实战专家现场授课，结合经典实例分析，并进行现场答疑和互动交流。</w:t>
      </w:r>
    </w:p>
    <w:p>
      <w:pPr>
        <w:widowControl/>
        <w:spacing w:line="380" w:lineRule="exact"/>
        <w:jc w:val="left"/>
        <w:rPr>
          <w:rFonts w:ascii="仿宋" w:hAnsi="仿宋" w:cs="宋体"/>
          <w:b/>
          <w:bCs/>
          <w:sz w:val="28"/>
          <w:szCs w:val="28"/>
        </w:rPr>
      </w:pPr>
      <w:r>
        <w:rPr>
          <w:rFonts w:hint="eastAsia" w:ascii="仿宋" w:hAnsi="仿宋" w:cs="宋体"/>
          <w:b/>
          <w:bCs/>
          <w:sz w:val="28"/>
          <w:szCs w:val="28"/>
        </w:rPr>
        <w:t>五、培训时间和地点</w:t>
      </w:r>
    </w:p>
    <w:p>
      <w:pPr>
        <w:pStyle w:val="16"/>
        <w:spacing w:line="380" w:lineRule="exact"/>
        <w:rPr>
          <w:rFonts w:ascii="仿宋" w:hAnsi="仿宋" w:cs="楷体"/>
          <w:sz w:val="28"/>
          <w:szCs w:val="28"/>
        </w:rPr>
      </w:pPr>
      <w:r>
        <w:rPr>
          <w:rFonts w:hint="eastAsia" w:ascii="仿宋" w:hAnsi="仿宋" w:cs="楷体"/>
          <w:sz w:val="28"/>
          <w:szCs w:val="28"/>
        </w:rPr>
        <w:t>2</w:t>
      </w:r>
      <w:r>
        <w:rPr>
          <w:rFonts w:ascii="仿宋" w:hAnsi="仿宋" w:cs="楷体"/>
          <w:sz w:val="28"/>
          <w:szCs w:val="28"/>
        </w:rPr>
        <w:t>023</w:t>
      </w:r>
      <w:r>
        <w:rPr>
          <w:rFonts w:hint="eastAsia" w:ascii="仿宋" w:hAnsi="仿宋" w:cs="楷体"/>
          <w:sz w:val="28"/>
          <w:szCs w:val="28"/>
        </w:rPr>
        <w:t>年</w:t>
      </w:r>
      <w:r>
        <w:rPr>
          <w:rFonts w:ascii="仿宋" w:hAnsi="仿宋" w:cs="楷体"/>
          <w:sz w:val="28"/>
          <w:szCs w:val="28"/>
        </w:rPr>
        <w:t>09</w:t>
      </w:r>
      <w:r>
        <w:rPr>
          <w:rFonts w:hint="eastAsia" w:ascii="仿宋" w:hAnsi="仿宋" w:cs="楷体"/>
          <w:sz w:val="28"/>
          <w:szCs w:val="28"/>
        </w:rPr>
        <w:t>月</w:t>
      </w:r>
      <w:r>
        <w:rPr>
          <w:rFonts w:ascii="仿宋" w:hAnsi="仿宋" w:cs="楷体"/>
          <w:sz w:val="28"/>
          <w:szCs w:val="28"/>
        </w:rPr>
        <w:t>06</w:t>
      </w:r>
      <w:r>
        <w:rPr>
          <w:rFonts w:hint="eastAsia" w:ascii="仿宋" w:hAnsi="仿宋" w:cs="楷体"/>
          <w:sz w:val="28"/>
          <w:szCs w:val="28"/>
        </w:rPr>
        <w:t>日-</w:t>
      </w:r>
      <w:r>
        <w:rPr>
          <w:rFonts w:hint="eastAsia" w:ascii="仿宋" w:hAnsi="仿宋" w:cs="楷体"/>
          <w:sz w:val="28"/>
          <w:szCs w:val="28"/>
          <w:lang w:val="en-US" w:eastAsia="zh-CN"/>
        </w:rPr>
        <w:t>10</w:t>
      </w:r>
      <w:r>
        <w:rPr>
          <w:rFonts w:hint="eastAsia" w:ascii="仿宋" w:hAnsi="仿宋" w:cs="楷体"/>
          <w:sz w:val="28"/>
          <w:szCs w:val="28"/>
        </w:rPr>
        <w:t>日（0</w:t>
      </w:r>
      <w:r>
        <w:rPr>
          <w:rFonts w:ascii="仿宋" w:hAnsi="仿宋" w:cs="楷体"/>
          <w:sz w:val="28"/>
          <w:szCs w:val="28"/>
        </w:rPr>
        <w:t>6</w:t>
      </w:r>
      <w:r>
        <w:rPr>
          <w:rFonts w:hint="eastAsia" w:ascii="仿宋" w:hAnsi="仿宋" w:cs="楷体"/>
          <w:sz w:val="28"/>
          <w:szCs w:val="28"/>
        </w:rPr>
        <w:t>日全天报到）地点：上海市</w:t>
      </w:r>
    </w:p>
    <w:p>
      <w:pPr>
        <w:pStyle w:val="16"/>
        <w:spacing w:line="380" w:lineRule="exact"/>
        <w:rPr>
          <w:rFonts w:hint="eastAsia" w:ascii="仿宋" w:hAnsi="仿宋" w:cs="楷体"/>
          <w:sz w:val="28"/>
          <w:szCs w:val="28"/>
        </w:rPr>
      </w:pPr>
      <w:r>
        <w:rPr>
          <w:rFonts w:hint="eastAsia" w:ascii="仿宋" w:hAnsi="仿宋" w:cs="楷体"/>
          <w:sz w:val="28"/>
          <w:szCs w:val="28"/>
        </w:rPr>
        <w:t>2</w:t>
      </w:r>
      <w:r>
        <w:rPr>
          <w:rFonts w:ascii="仿宋" w:hAnsi="仿宋" w:cs="楷体"/>
          <w:sz w:val="28"/>
          <w:szCs w:val="28"/>
        </w:rPr>
        <w:t>023</w:t>
      </w:r>
      <w:r>
        <w:rPr>
          <w:rFonts w:hint="eastAsia" w:ascii="仿宋" w:hAnsi="仿宋" w:cs="楷体"/>
          <w:sz w:val="28"/>
          <w:szCs w:val="28"/>
        </w:rPr>
        <w:t>年0</w:t>
      </w:r>
      <w:r>
        <w:rPr>
          <w:rFonts w:ascii="仿宋" w:hAnsi="仿宋" w:cs="楷体"/>
          <w:sz w:val="28"/>
          <w:szCs w:val="28"/>
        </w:rPr>
        <w:t>9</w:t>
      </w:r>
      <w:r>
        <w:rPr>
          <w:rFonts w:hint="eastAsia" w:ascii="仿宋" w:hAnsi="仿宋" w:cs="楷体"/>
          <w:sz w:val="28"/>
          <w:szCs w:val="28"/>
        </w:rPr>
        <w:t>月2</w:t>
      </w:r>
      <w:r>
        <w:rPr>
          <w:rFonts w:ascii="仿宋" w:hAnsi="仿宋" w:cs="楷体"/>
          <w:sz w:val="28"/>
          <w:szCs w:val="28"/>
        </w:rPr>
        <w:t>1</w:t>
      </w:r>
      <w:r>
        <w:rPr>
          <w:rFonts w:hint="eastAsia" w:ascii="仿宋" w:hAnsi="仿宋" w:cs="楷体"/>
          <w:sz w:val="28"/>
          <w:szCs w:val="28"/>
        </w:rPr>
        <w:t>日-</w:t>
      </w:r>
      <w:r>
        <w:rPr>
          <w:rFonts w:ascii="仿宋" w:hAnsi="仿宋" w:cs="楷体"/>
          <w:sz w:val="28"/>
          <w:szCs w:val="28"/>
        </w:rPr>
        <w:t>2</w:t>
      </w:r>
      <w:r>
        <w:rPr>
          <w:rFonts w:hint="eastAsia" w:ascii="仿宋" w:hAnsi="仿宋" w:cs="楷体"/>
          <w:sz w:val="28"/>
          <w:szCs w:val="28"/>
          <w:lang w:val="en-US" w:eastAsia="zh-CN"/>
        </w:rPr>
        <w:t>5</w:t>
      </w:r>
      <w:r>
        <w:rPr>
          <w:rFonts w:hint="eastAsia" w:ascii="仿宋" w:hAnsi="仿宋" w:cs="楷体"/>
          <w:sz w:val="28"/>
          <w:szCs w:val="28"/>
        </w:rPr>
        <w:t>日（</w:t>
      </w:r>
      <w:r>
        <w:rPr>
          <w:rFonts w:ascii="仿宋" w:hAnsi="仿宋" w:cs="楷体"/>
          <w:sz w:val="28"/>
          <w:szCs w:val="28"/>
        </w:rPr>
        <w:t>21</w:t>
      </w:r>
      <w:r>
        <w:rPr>
          <w:rFonts w:hint="eastAsia" w:ascii="仿宋" w:hAnsi="仿宋" w:cs="楷体"/>
          <w:sz w:val="28"/>
          <w:szCs w:val="28"/>
        </w:rPr>
        <w:t>日全天报到）地点：郑州市</w:t>
      </w:r>
    </w:p>
    <w:p>
      <w:pPr>
        <w:pStyle w:val="16"/>
        <w:spacing w:line="380" w:lineRule="exact"/>
        <w:rPr>
          <w:rFonts w:hint="eastAsia" w:ascii="仿宋" w:hAnsi="仿宋" w:cs="楷体"/>
          <w:sz w:val="28"/>
          <w:szCs w:val="28"/>
        </w:rPr>
      </w:pPr>
      <w:r>
        <w:rPr>
          <w:rFonts w:hint="eastAsia" w:ascii="仿宋" w:hAnsi="仿宋" w:cs="楷体"/>
          <w:sz w:val="28"/>
          <w:szCs w:val="28"/>
        </w:rPr>
        <w:t>2023年10月25日-2</w:t>
      </w:r>
      <w:r>
        <w:rPr>
          <w:rFonts w:hint="eastAsia" w:ascii="仿宋" w:hAnsi="仿宋" w:cs="楷体"/>
          <w:sz w:val="28"/>
          <w:szCs w:val="28"/>
          <w:lang w:val="en-US" w:eastAsia="zh-CN"/>
        </w:rPr>
        <w:t>8</w:t>
      </w:r>
      <w:bookmarkStart w:id="0" w:name="_GoBack"/>
      <w:bookmarkEnd w:id="0"/>
      <w:r>
        <w:rPr>
          <w:rFonts w:hint="eastAsia" w:ascii="仿宋" w:hAnsi="仿宋" w:cs="楷体"/>
          <w:sz w:val="28"/>
          <w:szCs w:val="28"/>
        </w:rPr>
        <w:t>日（25日全天报到</w:t>
      </w:r>
      <w:r>
        <w:rPr>
          <w:rFonts w:hint="eastAsia" w:ascii="仿宋" w:hAnsi="仿宋" w:cs="楷体"/>
          <w:sz w:val="28"/>
          <w:szCs w:val="28"/>
          <w:lang w:val="en-US" w:eastAsia="zh-CN"/>
        </w:rPr>
        <w:t xml:space="preserve">) </w:t>
      </w:r>
      <w:r>
        <w:rPr>
          <w:rFonts w:hint="eastAsia" w:ascii="仿宋" w:hAnsi="仿宋" w:cs="楷体"/>
          <w:sz w:val="28"/>
          <w:szCs w:val="28"/>
        </w:rPr>
        <w:t>地点：长沙市</w:t>
      </w:r>
    </w:p>
    <w:p>
      <w:pPr>
        <w:pStyle w:val="16"/>
        <w:spacing w:line="380" w:lineRule="exact"/>
        <w:rPr>
          <w:rFonts w:hint="eastAsia" w:ascii="仿宋" w:hAnsi="仿宋" w:cs="楷体"/>
          <w:sz w:val="28"/>
          <w:szCs w:val="28"/>
        </w:rPr>
      </w:pPr>
      <w:r>
        <w:rPr>
          <w:rFonts w:hint="eastAsia" w:ascii="仿宋" w:hAnsi="仿宋" w:cs="楷体"/>
          <w:sz w:val="28"/>
          <w:szCs w:val="28"/>
        </w:rPr>
        <w:t>2023年11月22日-2</w:t>
      </w:r>
      <w:r>
        <w:rPr>
          <w:rFonts w:hint="eastAsia" w:ascii="仿宋" w:hAnsi="仿宋" w:cs="楷体"/>
          <w:sz w:val="28"/>
          <w:szCs w:val="28"/>
          <w:lang w:val="en-US" w:eastAsia="zh-CN"/>
        </w:rPr>
        <w:t>6</w:t>
      </w:r>
      <w:r>
        <w:rPr>
          <w:rFonts w:hint="eastAsia" w:ascii="仿宋" w:hAnsi="仿宋" w:cs="楷体"/>
          <w:sz w:val="28"/>
          <w:szCs w:val="28"/>
        </w:rPr>
        <w:t>日（22日全天报到）地点：广州市</w:t>
      </w:r>
    </w:p>
    <w:p>
      <w:pPr>
        <w:pStyle w:val="16"/>
        <w:spacing w:line="380" w:lineRule="exact"/>
        <w:rPr>
          <w:rFonts w:hint="eastAsia" w:ascii="仿宋" w:hAnsi="仿宋" w:cs="楷体"/>
          <w:sz w:val="28"/>
          <w:szCs w:val="28"/>
        </w:rPr>
      </w:pPr>
      <w:r>
        <w:rPr>
          <w:rFonts w:hint="eastAsia" w:ascii="仿宋" w:hAnsi="仿宋" w:cs="楷体"/>
          <w:sz w:val="28"/>
          <w:szCs w:val="28"/>
        </w:rPr>
        <w:t>2023年12月20日-2</w:t>
      </w:r>
      <w:r>
        <w:rPr>
          <w:rFonts w:hint="eastAsia" w:ascii="仿宋" w:hAnsi="仿宋" w:cs="楷体"/>
          <w:sz w:val="28"/>
          <w:szCs w:val="28"/>
          <w:lang w:val="en-US" w:eastAsia="zh-CN"/>
        </w:rPr>
        <w:t>4</w:t>
      </w:r>
      <w:r>
        <w:rPr>
          <w:rFonts w:hint="eastAsia" w:ascii="仿宋" w:hAnsi="仿宋" w:cs="楷体"/>
          <w:sz w:val="28"/>
          <w:szCs w:val="28"/>
        </w:rPr>
        <w:t>日（20日全天报到）地点：杭州市</w:t>
      </w:r>
    </w:p>
    <w:p>
      <w:pPr>
        <w:pStyle w:val="16"/>
        <w:spacing w:line="380" w:lineRule="exact"/>
        <w:rPr>
          <w:rFonts w:hint="eastAsia" w:ascii="仿宋" w:hAnsi="仿宋" w:cs="楷体"/>
          <w:sz w:val="28"/>
          <w:szCs w:val="28"/>
        </w:rPr>
      </w:pPr>
      <w:r>
        <w:rPr>
          <w:rFonts w:hint="eastAsia" w:ascii="仿宋" w:hAnsi="仿宋" w:cs="楷体"/>
          <w:sz w:val="28"/>
          <w:szCs w:val="28"/>
        </w:rPr>
        <w:t>2024年01月17日-</w:t>
      </w:r>
      <w:r>
        <w:rPr>
          <w:rFonts w:hint="eastAsia" w:ascii="仿宋" w:hAnsi="仿宋" w:cs="楷体"/>
          <w:sz w:val="28"/>
          <w:szCs w:val="28"/>
          <w:lang w:val="en-US" w:eastAsia="zh-CN"/>
        </w:rPr>
        <w:t>21</w:t>
      </w:r>
      <w:r>
        <w:rPr>
          <w:rFonts w:hint="eastAsia" w:ascii="仿宋" w:hAnsi="仿宋" w:cs="楷体"/>
          <w:sz w:val="28"/>
          <w:szCs w:val="28"/>
        </w:rPr>
        <w:t>日（17日全天报到</w:t>
      </w:r>
      <w:r>
        <w:rPr>
          <w:rFonts w:hint="eastAsia" w:ascii="仿宋" w:hAnsi="仿宋" w:cs="楷体"/>
          <w:sz w:val="28"/>
          <w:szCs w:val="28"/>
          <w:lang w:val="en-US" w:eastAsia="zh-CN"/>
        </w:rPr>
        <w:t xml:space="preserve">) </w:t>
      </w:r>
      <w:r>
        <w:rPr>
          <w:rFonts w:hint="eastAsia" w:ascii="仿宋" w:hAnsi="仿宋" w:cs="楷体"/>
          <w:sz w:val="28"/>
          <w:szCs w:val="28"/>
        </w:rPr>
        <w:t>地点：西安市</w:t>
      </w:r>
    </w:p>
    <w:p>
      <w:pPr>
        <w:widowControl/>
        <w:spacing w:line="380" w:lineRule="exact"/>
        <w:jc w:val="left"/>
        <w:rPr>
          <w:rFonts w:ascii="仿宋" w:hAnsi="仿宋" w:cs="宋体"/>
          <w:b/>
          <w:bCs/>
          <w:sz w:val="28"/>
          <w:szCs w:val="28"/>
        </w:rPr>
      </w:pPr>
      <w:r>
        <w:rPr>
          <w:rFonts w:hint="eastAsia" w:ascii="仿宋" w:hAnsi="仿宋" w:cs="宋体"/>
          <w:b/>
          <w:bCs/>
          <w:sz w:val="28"/>
          <w:szCs w:val="28"/>
        </w:rPr>
        <w:t>六、收费标准</w:t>
      </w:r>
    </w:p>
    <w:p>
      <w:pPr>
        <w:widowControl/>
        <w:spacing w:line="380" w:lineRule="exact"/>
        <w:ind w:firstLine="562" w:firstLineChars="200"/>
        <w:jc w:val="left"/>
        <w:rPr>
          <w:rFonts w:ascii="仿宋" w:hAnsi="仿宋" w:cs="宋体"/>
          <w:sz w:val="28"/>
          <w:szCs w:val="28"/>
        </w:rPr>
      </w:pPr>
      <w:r>
        <w:rPr>
          <w:rFonts w:hint="eastAsia" w:ascii="仿宋" w:hAnsi="仿宋" w:cs="宋体"/>
          <w:b/>
          <w:bCs/>
          <w:sz w:val="28"/>
          <w:szCs w:val="28"/>
        </w:rPr>
        <w:t>标准</w:t>
      </w:r>
      <w:r>
        <w:rPr>
          <w:rFonts w:hint="eastAsia" w:ascii="仿宋" w:hAnsi="仿宋" w:cs="宋体"/>
          <w:sz w:val="28"/>
          <w:szCs w:val="28"/>
        </w:rPr>
        <w:t>：</w:t>
      </w:r>
      <w:r>
        <w:rPr>
          <w:rFonts w:ascii="仿宋" w:hAnsi="仿宋" w:cs="宋体"/>
          <w:sz w:val="28"/>
          <w:szCs w:val="28"/>
        </w:rPr>
        <w:t>3600</w:t>
      </w:r>
      <w:r>
        <w:rPr>
          <w:rFonts w:hint="eastAsia" w:ascii="仿宋" w:hAnsi="仿宋" w:cs="宋体"/>
          <w:sz w:val="28"/>
          <w:szCs w:val="28"/>
        </w:rPr>
        <w:t>元/人（含培训、资料、课件、场地、午餐费、专家等），住宿会务组统一安排，费用自理。</w:t>
      </w:r>
    </w:p>
    <w:p>
      <w:pPr>
        <w:widowControl/>
        <w:spacing w:line="380" w:lineRule="exact"/>
        <w:jc w:val="left"/>
        <w:rPr>
          <w:rFonts w:ascii="仿宋" w:hAnsi="仿宋" w:cs="宋体"/>
          <w:b/>
          <w:bCs/>
          <w:sz w:val="28"/>
          <w:szCs w:val="28"/>
        </w:rPr>
      </w:pPr>
      <w:r>
        <w:rPr>
          <w:rFonts w:hint="eastAsia" w:ascii="仿宋" w:hAnsi="仿宋" w:cs="宋体"/>
          <w:b/>
          <w:bCs/>
          <w:sz w:val="28"/>
          <w:szCs w:val="28"/>
        </w:rPr>
        <w:t>七、联系方式</w:t>
      </w:r>
    </w:p>
    <w:p>
      <w:pPr>
        <w:pStyle w:val="16"/>
        <w:spacing w:line="420" w:lineRule="exact"/>
        <w:ind w:firstLine="560" w:firstLineChars="200"/>
        <w:rPr>
          <w:rFonts w:hint="eastAsia" w:ascii="仿宋" w:hAnsi="仿宋" w:cs="宋体"/>
          <w:sz w:val="28"/>
          <w:szCs w:val="28"/>
        </w:rPr>
      </w:pPr>
      <w:r>
        <w:rPr>
          <w:rFonts w:hint="eastAsia" w:ascii="仿宋" w:hAnsi="仿宋" w:cs="宋体"/>
          <w:sz w:val="28"/>
          <w:szCs w:val="28"/>
        </w:rPr>
        <w:t xml:space="preserve">报名负责人：聂红军 主任18211071700（微信）   </w:t>
      </w:r>
    </w:p>
    <w:p>
      <w:pPr>
        <w:pStyle w:val="16"/>
        <w:spacing w:line="420" w:lineRule="exact"/>
        <w:ind w:firstLine="560" w:firstLineChars="200"/>
        <w:rPr>
          <w:rFonts w:hint="eastAsia" w:ascii="仿宋" w:hAnsi="仿宋" w:cs="宋体"/>
          <w:sz w:val="28"/>
          <w:szCs w:val="28"/>
        </w:rPr>
      </w:pPr>
      <w:r>
        <w:rPr>
          <w:rFonts w:hint="eastAsia" w:ascii="仿宋" w:hAnsi="仿宋" w:cs="宋体"/>
          <w:sz w:val="28"/>
          <w:szCs w:val="28"/>
        </w:rPr>
        <w:t xml:space="preserve">电  话：13141289128        邮    箱：zqgphwz@126.com  </w:t>
      </w:r>
    </w:p>
    <w:p>
      <w:pPr>
        <w:pStyle w:val="16"/>
        <w:spacing w:line="420" w:lineRule="exact"/>
        <w:ind w:firstLine="560" w:firstLineChars="200"/>
        <w:rPr>
          <w:rFonts w:ascii="仿宋" w:hAnsi="仿宋" w:cs="楷体"/>
          <w:spacing w:val="-20"/>
          <w:sz w:val="28"/>
          <w:szCs w:val="28"/>
        </w:rPr>
      </w:pPr>
      <w:r>
        <w:rPr>
          <w:rFonts w:hint="eastAsia" w:ascii="仿宋" w:hAnsi="仿宋" w:cs="宋体"/>
          <w:sz w:val="28"/>
          <w:szCs w:val="28"/>
        </w:rPr>
        <w:t>qq咨询：3177524020        网    址：http://www.zqgpchina.cn</w:t>
      </w:r>
    </w:p>
    <w:p>
      <w:pPr>
        <w:pStyle w:val="16"/>
        <w:spacing w:line="420" w:lineRule="exact"/>
        <w:ind w:firstLine="0" w:firstLineChars="0"/>
        <w:rPr>
          <w:rFonts w:ascii="仿宋" w:hAnsi="仿宋" w:cs="楷体"/>
          <w:spacing w:val="-20"/>
          <w:sz w:val="28"/>
          <w:szCs w:val="28"/>
        </w:rPr>
      </w:pPr>
    </w:p>
    <w:p>
      <w:pPr>
        <w:pStyle w:val="16"/>
        <w:spacing w:line="420" w:lineRule="exact"/>
        <w:ind w:firstLine="0" w:firstLineChars="0"/>
        <w:rPr>
          <w:rFonts w:hint="eastAsia" w:ascii="仿宋" w:hAnsi="仿宋" w:cs="楷体"/>
          <w:spacing w:val="-20"/>
          <w:sz w:val="28"/>
          <w:szCs w:val="28"/>
        </w:rPr>
      </w:pPr>
    </w:p>
    <w:p>
      <w:pPr>
        <w:pStyle w:val="16"/>
        <w:spacing w:line="420" w:lineRule="exact"/>
        <w:ind w:firstLine="0" w:firstLineChars="0"/>
        <w:rPr>
          <w:rFonts w:ascii="仿宋" w:hAnsi="仿宋" w:cs="楷体"/>
          <w:b/>
          <w:bCs/>
          <w:spacing w:val="-20"/>
          <w:sz w:val="28"/>
          <w:szCs w:val="28"/>
        </w:rPr>
      </w:pPr>
      <w:r>
        <w:rPr>
          <w:rFonts w:hint="eastAsia" w:ascii="仿宋" w:hAnsi="仿宋" w:cs="楷体"/>
          <w:b/>
          <w:bCs/>
          <w:spacing w:val="-20"/>
          <w:sz w:val="28"/>
          <w:szCs w:val="28"/>
        </w:rPr>
        <w:t>附件二：</w:t>
      </w:r>
    </w:p>
    <w:p>
      <w:pPr>
        <w:pStyle w:val="16"/>
        <w:spacing w:line="420" w:lineRule="exact"/>
        <w:ind w:firstLine="0" w:firstLineChars="0"/>
        <w:jc w:val="center"/>
        <w:rPr>
          <w:rFonts w:ascii="仿宋" w:hAnsi="仿宋" w:cs="楷体"/>
          <w:b/>
          <w:bCs/>
          <w:spacing w:val="-20"/>
          <w:sz w:val="28"/>
          <w:szCs w:val="28"/>
        </w:rPr>
      </w:pPr>
      <w:r>
        <w:rPr>
          <w:rFonts w:hint="eastAsia" w:ascii="仿宋" w:hAnsi="仿宋" w:cs="宋体"/>
          <w:b/>
          <w:bCs/>
          <w:spacing w:val="-20"/>
          <w:sz w:val="28"/>
          <w:szCs w:val="28"/>
        </w:rPr>
        <w:t>“《新清标(征)》与《总计规》关键条文解读、施工承包与工程总承包(EPC)项目计价结算、合同管理及造价审计暨招标采购管理实务与案例高级培训班”</w:t>
      </w:r>
      <w:r>
        <w:rPr>
          <w:rFonts w:hint="eastAsia" w:ascii="仿宋" w:hAnsi="仿宋" w:cs="楷体"/>
          <w:b/>
          <w:bCs/>
          <w:spacing w:val="-20"/>
          <w:sz w:val="28"/>
          <w:szCs w:val="28"/>
        </w:rPr>
        <w:t>报名回执表</w:t>
      </w:r>
    </w:p>
    <w:tbl>
      <w:tblPr>
        <w:tblStyle w:val="10"/>
        <w:tblpPr w:leftFromText="180" w:rightFromText="180" w:vertAnchor="text" w:horzAnchor="margin" w:tblpXSpec="center" w:tblpY="7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1"/>
        <w:gridCol w:w="527"/>
        <w:gridCol w:w="1276"/>
        <w:gridCol w:w="1134"/>
        <w:gridCol w:w="1635"/>
        <w:gridCol w:w="349"/>
        <w:gridCol w:w="911"/>
        <w:gridCol w:w="417"/>
        <w:gridCol w:w="978"/>
        <w:gridCol w:w="8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开票单位</w:t>
            </w:r>
          </w:p>
        </w:tc>
        <w:tc>
          <w:tcPr>
            <w:tcW w:w="6249"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邮  编</w:t>
            </w:r>
          </w:p>
        </w:tc>
        <w:tc>
          <w:tcPr>
            <w:tcW w:w="1805"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通讯地址</w:t>
            </w:r>
          </w:p>
        </w:tc>
        <w:tc>
          <w:tcPr>
            <w:tcW w:w="903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联 系 人</w:t>
            </w:r>
          </w:p>
        </w:tc>
        <w:tc>
          <w:tcPr>
            <w:tcW w:w="2937"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E-mail</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电    话</w:t>
            </w:r>
          </w:p>
        </w:tc>
        <w:tc>
          <w:tcPr>
            <w:tcW w:w="2937"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传  真</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姓 名</w:t>
            </w: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1"/>
                <w:szCs w:val="21"/>
              </w:rPr>
            </w:pPr>
            <w:r>
              <w:rPr>
                <w:rFonts w:hint="eastAsia" w:ascii="仿宋" w:hAnsi="仿宋" w:cs="楷体"/>
                <w:sz w:val="21"/>
                <w:szCs w:val="21"/>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部 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手 机</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E-mail</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lang w:val="zh-CN"/>
              </w:rPr>
            </w:pPr>
            <w:r>
              <w:rPr>
                <w:rFonts w:hint="eastAsia" w:ascii="仿宋" w:hAnsi="仿宋" w:cs="楷体"/>
                <w:sz w:val="28"/>
                <w:szCs w:val="28"/>
                <w:lang w:val="zh-CN"/>
              </w:rPr>
              <w:t>是否住宿</w:t>
            </w:r>
          </w:p>
        </w:tc>
        <w:tc>
          <w:tcPr>
            <w:tcW w:w="1803"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□是 □否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住宿要求</w:t>
            </w:r>
          </w:p>
        </w:tc>
        <w:tc>
          <w:tcPr>
            <w:tcW w:w="6095"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lang w:val="zh-CN"/>
              </w:rPr>
            </w:pPr>
            <w:r>
              <w:rPr>
                <w:rFonts w:hint="eastAsia" w:ascii="仿宋" w:hAnsi="仿宋" w:cs="楷体"/>
                <w:sz w:val="28"/>
                <w:szCs w:val="28"/>
                <w:lang w:val="zh-CN"/>
              </w:rPr>
              <w:t>付款方式</w:t>
            </w:r>
          </w:p>
        </w:tc>
        <w:tc>
          <w:tcPr>
            <w:tcW w:w="4572"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□通过银行  □微信或支付宝</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金额 额</w:t>
            </w:r>
          </w:p>
        </w:tc>
        <w:tc>
          <w:tcPr>
            <w:tcW w:w="3200"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开票信息</w:t>
            </w:r>
          </w:p>
        </w:tc>
        <w:tc>
          <w:tcPr>
            <w:tcW w:w="903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w:t>
            </w:r>
            <w:r>
              <w:rPr>
                <w:rFonts w:hint="eastAsia" w:ascii="仿宋" w:hAnsi="仿宋" w:cs="楷体"/>
                <w:sz w:val="28"/>
                <w:szCs w:val="28"/>
                <w:lang w:val="zh-CN"/>
              </w:rPr>
              <w:t>增值税专用发票</w:t>
            </w:r>
            <w:r>
              <w:rPr>
                <w:rFonts w:hint="eastAsia" w:ascii="仿宋" w:hAnsi="仿宋" w:cs="楷体"/>
                <w:sz w:val="28"/>
                <w:szCs w:val="28"/>
              </w:rPr>
              <w:t xml:space="preserve">         □增值税普票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exac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仿宋"/>
                <w:sz w:val="28"/>
                <w:szCs w:val="28"/>
              </w:rPr>
              <w:t>发票信息 （专票请填写1-</w:t>
            </w:r>
            <w:r>
              <w:rPr>
                <w:rFonts w:ascii="仿宋" w:hAnsi="仿宋" w:cs="仿宋"/>
                <w:sz w:val="28"/>
                <w:szCs w:val="28"/>
              </w:rPr>
              <w:t>4</w:t>
            </w:r>
            <w:r>
              <w:rPr>
                <w:rFonts w:hint="eastAsia" w:ascii="仿宋" w:hAnsi="仿宋" w:cs="仿宋"/>
                <w:sz w:val="28"/>
                <w:szCs w:val="28"/>
              </w:rPr>
              <w:t>全部信息；</w:t>
            </w:r>
          </w:p>
        </w:tc>
        <w:tc>
          <w:tcPr>
            <w:tcW w:w="903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cs="宋体"/>
                <w:sz w:val="28"/>
                <w:szCs w:val="28"/>
              </w:rPr>
            </w:pPr>
            <w:r>
              <w:rPr>
                <w:rFonts w:hint="eastAsia" w:ascii="仿宋" w:hAnsi="仿宋" w:cs="宋体"/>
                <w:sz w:val="28"/>
                <w:szCs w:val="28"/>
              </w:rPr>
              <w:t>1.开票名称：</w:t>
            </w:r>
          </w:p>
          <w:p>
            <w:pPr>
              <w:jc w:val="left"/>
              <w:rPr>
                <w:rFonts w:ascii="仿宋" w:hAnsi="仿宋" w:cs="宋体"/>
                <w:sz w:val="28"/>
                <w:szCs w:val="28"/>
              </w:rPr>
            </w:pPr>
            <w:r>
              <w:rPr>
                <w:rFonts w:hint="eastAsia" w:ascii="仿宋" w:hAnsi="仿宋" w:cs="宋体"/>
                <w:sz w:val="28"/>
                <w:szCs w:val="28"/>
              </w:rPr>
              <w:t>2.纳税人识别号：</w:t>
            </w:r>
          </w:p>
          <w:p>
            <w:pPr>
              <w:jc w:val="left"/>
              <w:rPr>
                <w:rFonts w:ascii="仿宋" w:hAnsi="仿宋" w:cs="宋体"/>
                <w:sz w:val="28"/>
                <w:szCs w:val="28"/>
              </w:rPr>
            </w:pPr>
            <w:r>
              <w:rPr>
                <w:rFonts w:hint="eastAsia" w:ascii="仿宋" w:hAnsi="仿宋" w:cs="宋体"/>
                <w:sz w:val="28"/>
                <w:szCs w:val="28"/>
              </w:rPr>
              <w:t>3.地址、电话：</w:t>
            </w:r>
          </w:p>
          <w:p>
            <w:pPr>
              <w:jc w:val="left"/>
              <w:rPr>
                <w:rFonts w:ascii="仿宋" w:hAnsi="仿宋" w:cs="宋体"/>
                <w:sz w:val="28"/>
                <w:szCs w:val="28"/>
              </w:rPr>
            </w:pPr>
            <w:r>
              <w:rPr>
                <w:rFonts w:hint="eastAsia" w:ascii="仿宋" w:hAnsi="仿宋" w:cs="宋体"/>
                <w:sz w:val="28"/>
                <w:szCs w:val="28"/>
              </w:rPr>
              <w:t>4.开户行及账号：</w:t>
            </w:r>
          </w:p>
          <w:p>
            <w:pPr>
              <w:widowControl/>
              <w:spacing w:line="380" w:lineRule="exact"/>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收款账户</w:t>
            </w:r>
          </w:p>
        </w:tc>
        <w:tc>
          <w:tcPr>
            <w:tcW w:w="903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单位名称：北京众兴企培咨询有限公司</w:t>
            </w:r>
          </w:p>
          <w:p>
            <w:pPr>
              <w:widowControl/>
              <w:spacing w:line="3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开户行：中国工商银行股份有限公司北京龙泉支行</w:t>
            </w:r>
          </w:p>
          <w:p>
            <w:pPr>
              <w:widowControl/>
              <w:spacing w:line="380" w:lineRule="exact"/>
              <w:ind w:left="280" w:hanging="280" w:hangingChars="100"/>
              <w:rPr>
                <w:rFonts w:ascii="仿宋" w:hAnsi="仿宋" w:cs="楷体"/>
                <w:sz w:val="28"/>
                <w:szCs w:val="28"/>
                <w:lang w:val="zh-CN"/>
              </w:rPr>
            </w:pPr>
            <w:r>
              <w:rPr>
                <w:rFonts w:hint="eastAsia" w:ascii="仿宋" w:hAnsi="仿宋" w:eastAsia="仿宋" w:cs="仿宋"/>
                <w:sz w:val="28"/>
                <w:szCs w:val="28"/>
                <w:lang w:val="en-US" w:eastAsia="zh-CN"/>
              </w:rPr>
              <w:t>账  号：0200002009200234085（行号：102100000208）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1" w:hRule="exact"/>
        </w:trPr>
        <w:tc>
          <w:tcPr>
            <w:tcW w:w="10343" w:type="dxa"/>
            <w:gridSpan w:val="11"/>
            <w:tcBorders>
              <w:top w:val="single" w:color="auto" w:sz="4" w:space="0"/>
              <w:left w:val="single" w:color="auto" w:sz="4" w:space="0"/>
              <w:bottom w:val="single" w:color="auto" w:sz="4" w:space="0"/>
              <w:right w:val="single" w:color="auto" w:sz="4" w:space="0"/>
            </w:tcBorders>
            <w:vAlign w:val="center"/>
          </w:tcPr>
          <w:p>
            <w:pPr>
              <w:pStyle w:val="16"/>
              <w:spacing w:line="420" w:lineRule="exact"/>
              <w:ind w:firstLine="0" w:firstLineChars="0"/>
              <w:rPr>
                <w:rFonts w:ascii="仿宋" w:hAnsi="仿宋"/>
                <w:sz w:val="28"/>
                <w:szCs w:val="28"/>
              </w:rPr>
            </w:pPr>
            <w:r>
              <w:rPr>
                <w:rFonts w:hint="eastAsia" w:ascii="仿宋" w:hAnsi="仿宋" w:cs="宋体"/>
                <w:sz w:val="28"/>
                <w:szCs w:val="28"/>
              </w:rPr>
              <w:t>※</w:t>
            </w:r>
            <w:r>
              <w:rPr>
                <w:rFonts w:ascii="仿宋" w:hAnsi="仿宋"/>
                <w:sz w:val="28"/>
                <w:szCs w:val="28"/>
              </w:rPr>
              <w:t xml:space="preserve">学前调查：为了更好地提高培训实效，请学员们将您在实际工作中最感困惑、急待解决的问题提前告诉我们，希望本次培训班能帮助您打开这些问号，欢迎大家踊跃留下您的疑问! </w:t>
            </w:r>
          </w:p>
          <w:p>
            <w:pPr>
              <w:pStyle w:val="16"/>
              <w:spacing w:line="420" w:lineRule="exact"/>
              <w:ind w:firstLine="0" w:firstLineChars="0"/>
              <w:rPr>
                <w:rFonts w:ascii="仿宋" w:hAnsi="仿宋"/>
                <w:sz w:val="28"/>
                <w:szCs w:val="28"/>
              </w:rPr>
            </w:pPr>
            <w:r>
              <w:rPr>
                <w:rFonts w:ascii="仿宋" w:hAnsi="仿宋"/>
                <w:sz w:val="28"/>
                <w:szCs w:val="28"/>
              </w:rPr>
              <w:t xml:space="preserve">问题1._________________________________________________ </w:t>
            </w:r>
          </w:p>
          <w:p>
            <w:pPr>
              <w:pStyle w:val="16"/>
              <w:spacing w:line="420" w:lineRule="exact"/>
              <w:ind w:firstLine="0" w:firstLineChars="0"/>
              <w:rPr>
                <w:rFonts w:ascii="仿宋" w:hAnsi="仿宋" w:cs="楷体"/>
                <w:sz w:val="28"/>
                <w:szCs w:val="28"/>
                <w:u w:val="single"/>
              </w:rPr>
            </w:pPr>
            <w:r>
              <w:rPr>
                <w:rFonts w:ascii="仿宋" w:hAnsi="仿宋"/>
                <w:sz w:val="28"/>
                <w:szCs w:val="28"/>
              </w:rPr>
              <w:t>问题2.</w:t>
            </w:r>
            <w:r>
              <w:rPr>
                <w:rFonts w:ascii="仿宋" w:hAnsi="仿宋"/>
                <w:sz w:val="28"/>
                <w:szCs w:val="28"/>
                <w:u w:val="single"/>
              </w:rPr>
              <w:t xml:space="preserve">                                                   </w:t>
            </w:r>
          </w:p>
          <w:p>
            <w:pPr>
              <w:widowControl/>
              <w:spacing w:line="380" w:lineRule="exact"/>
              <w:rPr>
                <w:rFonts w:ascii="仿宋" w:hAnsi="仿宋" w:cs="楷体"/>
                <w:sz w:val="28"/>
                <w:szCs w:val="28"/>
                <w:lang w:val="zh-CN"/>
              </w:rPr>
            </w:pPr>
            <w:r>
              <w:rPr>
                <w:rFonts w:hint="eastAsia" w:ascii="仿宋" w:hAnsi="仿宋" w:cs="楷体"/>
                <w:sz w:val="28"/>
                <w:szCs w:val="28"/>
                <w:lang w:val="zh-CN"/>
              </w:rPr>
              <w:t>问题3.</w:t>
            </w:r>
            <w:r>
              <w:rPr>
                <w:rFonts w:ascii="仿宋" w:hAnsi="仿宋"/>
                <w:sz w:val="28"/>
                <w:szCs w:val="28"/>
                <w:u w:val="single"/>
              </w:rPr>
              <w:t xml:space="preserve">                                                   </w:t>
            </w:r>
          </w:p>
          <w:p>
            <w:pPr>
              <w:widowControl/>
              <w:spacing w:line="380" w:lineRule="exact"/>
              <w:rPr>
                <w:rFonts w:ascii="仿宋" w:hAnsi="仿宋" w:cs="楷体"/>
                <w:sz w:val="28"/>
                <w:szCs w:val="28"/>
                <w:lang w:val="zh-CN"/>
              </w:rPr>
            </w:pPr>
          </w:p>
        </w:tc>
      </w:tr>
    </w:tbl>
    <w:p>
      <w:pPr>
        <w:pStyle w:val="16"/>
        <w:tabs>
          <w:tab w:val="left" w:pos="777"/>
        </w:tabs>
        <w:spacing w:line="420" w:lineRule="exact"/>
        <w:ind w:firstLine="0" w:firstLineChars="0"/>
        <w:rPr>
          <w:rFonts w:ascii="仿宋" w:hAnsi="仿宋" w:cs="楷体"/>
          <w:sz w:val="28"/>
          <w:szCs w:val="28"/>
        </w:rPr>
      </w:pPr>
      <w:r>
        <w:rPr>
          <w:rFonts w:hint="eastAsia" w:ascii="仿宋" w:hAnsi="仿宋" w:cs="楷体"/>
          <w:sz w:val="28"/>
          <w:szCs w:val="28"/>
        </w:rPr>
        <w:t>注：1.本次培训内容及建筑口相关管理培训均可赴企业提供内训;</w:t>
      </w:r>
    </w:p>
    <w:p>
      <w:pPr>
        <w:pStyle w:val="16"/>
        <w:spacing w:line="420" w:lineRule="exact"/>
        <w:ind w:firstLine="560"/>
        <w:rPr>
          <w:rFonts w:hint="eastAsia" w:ascii="仿宋" w:hAnsi="仿宋" w:cs="楷体"/>
          <w:sz w:val="28"/>
          <w:szCs w:val="28"/>
        </w:rPr>
      </w:pPr>
      <w:r>
        <w:rPr>
          <w:rFonts w:ascii="仿宋" w:hAnsi="仿宋" w:cs="楷体"/>
          <w:sz w:val="28"/>
          <w:szCs w:val="28"/>
        </w:rPr>
        <w:t>2</w:t>
      </w:r>
      <w:r>
        <w:rPr>
          <w:rFonts w:hint="eastAsia" w:ascii="仿宋" w:hAnsi="仿宋" w:cs="楷体"/>
          <w:sz w:val="28"/>
          <w:szCs w:val="28"/>
        </w:rPr>
        <w:t xml:space="preserve">.报名负责人：聂红军 主任18211071700（微信）   </w:t>
      </w:r>
    </w:p>
    <w:p>
      <w:pPr>
        <w:pStyle w:val="16"/>
        <w:spacing w:line="420" w:lineRule="exact"/>
        <w:ind w:firstLine="560"/>
        <w:rPr>
          <w:rFonts w:hint="eastAsia" w:ascii="仿宋" w:hAnsi="仿宋" w:cs="楷体"/>
          <w:sz w:val="28"/>
          <w:szCs w:val="28"/>
        </w:rPr>
      </w:pPr>
      <w:r>
        <w:rPr>
          <w:rFonts w:hint="eastAsia" w:ascii="仿宋" w:hAnsi="仿宋" w:cs="楷体"/>
          <w:sz w:val="28"/>
          <w:szCs w:val="28"/>
        </w:rPr>
        <w:t xml:space="preserve">电  话：13141289128        邮    箱：zqgphwz@126.com  </w:t>
      </w:r>
    </w:p>
    <w:p>
      <w:pPr>
        <w:pStyle w:val="16"/>
        <w:spacing w:line="420" w:lineRule="exact"/>
        <w:ind w:firstLine="560"/>
        <w:rPr>
          <w:rFonts w:hint="eastAsia" w:ascii="仿宋" w:hAnsi="仿宋" w:cs="楷体"/>
          <w:sz w:val="28"/>
          <w:szCs w:val="28"/>
        </w:rPr>
      </w:pPr>
      <w:r>
        <w:rPr>
          <w:rFonts w:hint="eastAsia" w:ascii="仿宋" w:hAnsi="仿宋" w:cs="楷体"/>
          <w:sz w:val="28"/>
          <w:szCs w:val="28"/>
        </w:rPr>
        <w:t>qq咨询：3177524020        网    址：http://www.zqgpchina.cn</w:t>
      </w:r>
    </w:p>
    <w:sectPr>
      <w:footerReference r:id="rId3" w:type="default"/>
      <w:pgSz w:w="11906" w:h="16838"/>
      <w:pgMar w:top="851" w:right="991" w:bottom="1134" w:left="851" w:header="567" w:footer="340" w:gutter="0"/>
      <w:cols w:space="0"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15"/>
        <w:szCs w:val="15"/>
      </w:rPr>
    </w:pPr>
    <w:r>
      <w:rPr>
        <w:sz w:val="15"/>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50290"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0290" cy="180975"/>
                      </a:xfrm>
                      <a:prstGeom prst="rect">
                        <a:avLst/>
                      </a:prstGeom>
                      <a:noFill/>
                      <a:ln w="6350">
                        <a:noFill/>
                      </a:ln>
                    </wps:spPr>
                    <wps:txbx>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2</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6</w:t>
                          </w:r>
                          <w:r>
                            <w:rPr>
                              <w:sz w:val="22"/>
                              <w:szCs w:val="20"/>
                            </w:rPr>
                            <w:fldChar w:fldCharType="end"/>
                          </w:r>
                          <w:r>
                            <w:rPr>
                              <w:rFonts w:hint="eastAsia"/>
                              <w:sz w:val="22"/>
                              <w:szCs w:val="2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25pt;width:82.7pt;mso-position-horizontal:center;mso-position-horizontal-relative:margin;mso-wrap-style:none;z-index:251659264;mso-width-relative:page;mso-height-relative:page;" filled="f" stroked="f" coordsize="21600,21600" o:gfxdata="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UAmmdMAAAAEAQAADwAAAAAAAAABACAAAAAiAAAAZHJzL2Rvd25yZXYueG1sUEsBAhQA&#10;FAAAAAgAh07iQBeJrqIwAgAAVAQAAA4AAAAAAAAAAQAgAAAAIgEAAGRycy9lMm9Eb2MueG1sUEsF&#10;BgAAAAAGAAYAWQEAAMQFAAAAAA==&#10;">
              <v:fill on="f" focussize="0,0"/>
              <v:stroke on="f" weight="0.5pt"/>
              <v:imagedata o:title=""/>
              <o:lock v:ext="edit" aspectratio="f"/>
              <v:textbox inset="0mm,0mm,0mm,0mm" style="mso-fit-shape-to-text:t;">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2</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6</w:t>
                    </w:r>
                    <w:r>
                      <w:rPr>
                        <w:sz w:val="22"/>
                        <w:szCs w:val="20"/>
                      </w:rPr>
                      <w:fldChar w:fldCharType="end"/>
                    </w:r>
                    <w:r>
                      <w:rPr>
                        <w:rFonts w:hint="eastAsia"/>
                        <w:sz w:val="22"/>
                        <w:szCs w:val="20"/>
                      </w:rPr>
                      <w:t xml:space="preserve"> 页</w:t>
                    </w:r>
                  </w:p>
                </w:txbxContent>
              </v:textbox>
            </v:shape>
          </w:pict>
        </mc:Fallback>
      </mc:AlternateContent>
    </w:r>
  </w:p>
  <w:p>
    <w:pPr>
      <w:pStyle w:val="7"/>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0"/>
  <w:defaultTabStop w:val="51"/>
  <w:drawingGridHorizontalSpacing w:val="160"/>
  <w:drawingGridVerticalSpacing w:val="2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s>
  <w:rsids>
    <w:rsidRoot w:val="00104116"/>
    <w:rsid w:val="00077FA0"/>
    <w:rsid w:val="00082FDA"/>
    <w:rsid w:val="000A357C"/>
    <w:rsid w:val="000D593A"/>
    <w:rsid w:val="000D68C5"/>
    <w:rsid w:val="00104116"/>
    <w:rsid w:val="0016255A"/>
    <w:rsid w:val="00172E97"/>
    <w:rsid w:val="001A0600"/>
    <w:rsid w:val="001A604D"/>
    <w:rsid w:val="001F1AA9"/>
    <w:rsid w:val="001F2449"/>
    <w:rsid w:val="001F60EE"/>
    <w:rsid w:val="001F6A6F"/>
    <w:rsid w:val="0023068F"/>
    <w:rsid w:val="00255B9A"/>
    <w:rsid w:val="002778B6"/>
    <w:rsid w:val="002E0120"/>
    <w:rsid w:val="002F1A44"/>
    <w:rsid w:val="00304F83"/>
    <w:rsid w:val="00307D60"/>
    <w:rsid w:val="003475C4"/>
    <w:rsid w:val="00362E67"/>
    <w:rsid w:val="003646D3"/>
    <w:rsid w:val="00390B55"/>
    <w:rsid w:val="0039517B"/>
    <w:rsid w:val="003A26AB"/>
    <w:rsid w:val="003A7C6A"/>
    <w:rsid w:val="003C5E34"/>
    <w:rsid w:val="003E351D"/>
    <w:rsid w:val="004402D1"/>
    <w:rsid w:val="0044265B"/>
    <w:rsid w:val="00447C27"/>
    <w:rsid w:val="00456B37"/>
    <w:rsid w:val="00482A73"/>
    <w:rsid w:val="004859A0"/>
    <w:rsid w:val="00487911"/>
    <w:rsid w:val="004911D1"/>
    <w:rsid w:val="004C1D95"/>
    <w:rsid w:val="004D4220"/>
    <w:rsid w:val="004D652E"/>
    <w:rsid w:val="004E08AD"/>
    <w:rsid w:val="004E5ADF"/>
    <w:rsid w:val="00501D1E"/>
    <w:rsid w:val="00516031"/>
    <w:rsid w:val="00532CED"/>
    <w:rsid w:val="00556117"/>
    <w:rsid w:val="00584CFB"/>
    <w:rsid w:val="0058576B"/>
    <w:rsid w:val="005A006F"/>
    <w:rsid w:val="005A6003"/>
    <w:rsid w:val="005D1615"/>
    <w:rsid w:val="005E08B9"/>
    <w:rsid w:val="00643AC6"/>
    <w:rsid w:val="006645F8"/>
    <w:rsid w:val="006718C1"/>
    <w:rsid w:val="0067346A"/>
    <w:rsid w:val="00691BD5"/>
    <w:rsid w:val="00693ABB"/>
    <w:rsid w:val="006D4726"/>
    <w:rsid w:val="006F3EB7"/>
    <w:rsid w:val="00723EEB"/>
    <w:rsid w:val="0076185F"/>
    <w:rsid w:val="00790EF8"/>
    <w:rsid w:val="007A2B02"/>
    <w:rsid w:val="007F347E"/>
    <w:rsid w:val="007F3E0C"/>
    <w:rsid w:val="00803581"/>
    <w:rsid w:val="00811BAE"/>
    <w:rsid w:val="00823877"/>
    <w:rsid w:val="00826ED5"/>
    <w:rsid w:val="0084210F"/>
    <w:rsid w:val="008729F5"/>
    <w:rsid w:val="008E189F"/>
    <w:rsid w:val="008E20FB"/>
    <w:rsid w:val="00925BF7"/>
    <w:rsid w:val="00937E48"/>
    <w:rsid w:val="00942684"/>
    <w:rsid w:val="00950CD2"/>
    <w:rsid w:val="009824A8"/>
    <w:rsid w:val="00986224"/>
    <w:rsid w:val="009A12EE"/>
    <w:rsid w:val="009B06B4"/>
    <w:rsid w:val="009C1B43"/>
    <w:rsid w:val="00A149C9"/>
    <w:rsid w:val="00A27656"/>
    <w:rsid w:val="00A35070"/>
    <w:rsid w:val="00A359D3"/>
    <w:rsid w:val="00A70FF0"/>
    <w:rsid w:val="00A8158D"/>
    <w:rsid w:val="00AB2F0E"/>
    <w:rsid w:val="00AB66AC"/>
    <w:rsid w:val="00AE6E81"/>
    <w:rsid w:val="00AF766E"/>
    <w:rsid w:val="00B166F0"/>
    <w:rsid w:val="00B20C27"/>
    <w:rsid w:val="00B214F8"/>
    <w:rsid w:val="00B46958"/>
    <w:rsid w:val="00B73A5D"/>
    <w:rsid w:val="00B73FA4"/>
    <w:rsid w:val="00B80C06"/>
    <w:rsid w:val="00BB302A"/>
    <w:rsid w:val="00BB4C09"/>
    <w:rsid w:val="00C53DCA"/>
    <w:rsid w:val="00C743FE"/>
    <w:rsid w:val="00CC0FCD"/>
    <w:rsid w:val="00CD4FCB"/>
    <w:rsid w:val="00D03EF7"/>
    <w:rsid w:val="00D17848"/>
    <w:rsid w:val="00D473AA"/>
    <w:rsid w:val="00D653C8"/>
    <w:rsid w:val="00DA63F4"/>
    <w:rsid w:val="00DC407B"/>
    <w:rsid w:val="00DC5039"/>
    <w:rsid w:val="00DE5C63"/>
    <w:rsid w:val="00DF22FA"/>
    <w:rsid w:val="00E34019"/>
    <w:rsid w:val="00E43B0A"/>
    <w:rsid w:val="00E70C8A"/>
    <w:rsid w:val="00E835FF"/>
    <w:rsid w:val="00F41B25"/>
    <w:rsid w:val="00F52D29"/>
    <w:rsid w:val="00F735CC"/>
    <w:rsid w:val="00F81A29"/>
    <w:rsid w:val="00F9231C"/>
    <w:rsid w:val="00F97467"/>
    <w:rsid w:val="00FA316C"/>
    <w:rsid w:val="00FE2864"/>
    <w:rsid w:val="00FE65D9"/>
    <w:rsid w:val="0146180C"/>
    <w:rsid w:val="015B6FB4"/>
    <w:rsid w:val="02BD7E0E"/>
    <w:rsid w:val="05625FDD"/>
    <w:rsid w:val="06280608"/>
    <w:rsid w:val="072A037D"/>
    <w:rsid w:val="08F26D0A"/>
    <w:rsid w:val="09081396"/>
    <w:rsid w:val="099F77E2"/>
    <w:rsid w:val="09B859B5"/>
    <w:rsid w:val="09F91BAB"/>
    <w:rsid w:val="0A3D43A5"/>
    <w:rsid w:val="0A456EFE"/>
    <w:rsid w:val="0B872906"/>
    <w:rsid w:val="0BB87C7F"/>
    <w:rsid w:val="0C1A0844"/>
    <w:rsid w:val="0D083ABC"/>
    <w:rsid w:val="0D4228C7"/>
    <w:rsid w:val="0D7C3DC2"/>
    <w:rsid w:val="0D9865FC"/>
    <w:rsid w:val="0E2C1557"/>
    <w:rsid w:val="0E6B7334"/>
    <w:rsid w:val="0F991220"/>
    <w:rsid w:val="0FE23E49"/>
    <w:rsid w:val="0FF90BF3"/>
    <w:rsid w:val="11A84636"/>
    <w:rsid w:val="12DA00C2"/>
    <w:rsid w:val="143164B1"/>
    <w:rsid w:val="14A44E78"/>
    <w:rsid w:val="152E0316"/>
    <w:rsid w:val="15BF0E17"/>
    <w:rsid w:val="16C222EE"/>
    <w:rsid w:val="16CC5F90"/>
    <w:rsid w:val="16D10BD4"/>
    <w:rsid w:val="188450D8"/>
    <w:rsid w:val="192E5F9E"/>
    <w:rsid w:val="1969038D"/>
    <w:rsid w:val="1AA82C03"/>
    <w:rsid w:val="1AC67D54"/>
    <w:rsid w:val="1BFC72B7"/>
    <w:rsid w:val="1C0503C5"/>
    <w:rsid w:val="1C9512F2"/>
    <w:rsid w:val="1CAB4025"/>
    <w:rsid w:val="1D8B27BD"/>
    <w:rsid w:val="21122AA5"/>
    <w:rsid w:val="213D0C0E"/>
    <w:rsid w:val="21FB58E1"/>
    <w:rsid w:val="22300FC1"/>
    <w:rsid w:val="24D2203D"/>
    <w:rsid w:val="2879565F"/>
    <w:rsid w:val="299C1DE3"/>
    <w:rsid w:val="29DD2069"/>
    <w:rsid w:val="2CE10526"/>
    <w:rsid w:val="2E47155F"/>
    <w:rsid w:val="2E6C61D6"/>
    <w:rsid w:val="2EF0593A"/>
    <w:rsid w:val="2F104C27"/>
    <w:rsid w:val="30500B1B"/>
    <w:rsid w:val="305700F8"/>
    <w:rsid w:val="33CE5FC6"/>
    <w:rsid w:val="34DD74DC"/>
    <w:rsid w:val="35380332"/>
    <w:rsid w:val="36502B15"/>
    <w:rsid w:val="37D4471E"/>
    <w:rsid w:val="38C45E61"/>
    <w:rsid w:val="39413D39"/>
    <w:rsid w:val="3983669A"/>
    <w:rsid w:val="3AD7752D"/>
    <w:rsid w:val="3AF93D9D"/>
    <w:rsid w:val="3B2767A2"/>
    <w:rsid w:val="3B8A5345"/>
    <w:rsid w:val="3C934241"/>
    <w:rsid w:val="3FA63751"/>
    <w:rsid w:val="40E32157"/>
    <w:rsid w:val="41853E5F"/>
    <w:rsid w:val="439C3174"/>
    <w:rsid w:val="43C5315B"/>
    <w:rsid w:val="4575522F"/>
    <w:rsid w:val="45FE3E19"/>
    <w:rsid w:val="465B6280"/>
    <w:rsid w:val="48253196"/>
    <w:rsid w:val="488B1E6F"/>
    <w:rsid w:val="48DC3E4B"/>
    <w:rsid w:val="4A137AC1"/>
    <w:rsid w:val="4B760144"/>
    <w:rsid w:val="4B996CE5"/>
    <w:rsid w:val="4C7735DF"/>
    <w:rsid w:val="4CF611AA"/>
    <w:rsid w:val="4D6F0292"/>
    <w:rsid w:val="4DC4550D"/>
    <w:rsid w:val="4DC517A7"/>
    <w:rsid w:val="4E335488"/>
    <w:rsid w:val="4FDF74A1"/>
    <w:rsid w:val="51A079E4"/>
    <w:rsid w:val="51E640CB"/>
    <w:rsid w:val="51E83378"/>
    <w:rsid w:val="53020004"/>
    <w:rsid w:val="53AD7931"/>
    <w:rsid w:val="550C6C72"/>
    <w:rsid w:val="565224C8"/>
    <w:rsid w:val="569F3A0E"/>
    <w:rsid w:val="56A908E0"/>
    <w:rsid w:val="570C1C25"/>
    <w:rsid w:val="57923EA3"/>
    <w:rsid w:val="591F50BD"/>
    <w:rsid w:val="59301FAD"/>
    <w:rsid w:val="595D44DE"/>
    <w:rsid w:val="5AF2451D"/>
    <w:rsid w:val="5AF65A35"/>
    <w:rsid w:val="5D697C40"/>
    <w:rsid w:val="5F4C73B7"/>
    <w:rsid w:val="5F7321BE"/>
    <w:rsid w:val="5FEB39BB"/>
    <w:rsid w:val="5FF90D6B"/>
    <w:rsid w:val="612629E6"/>
    <w:rsid w:val="61C92EBA"/>
    <w:rsid w:val="6215091F"/>
    <w:rsid w:val="622206F9"/>
    <w:rsid w:val="62F9311B"/>
    <w:rsid w:val="636E3700"/>
    <w:rsid w:val="6409668F"/>
    <w:rsid w:val="662C2D59"/>
    <w:rsid w:val="66B13B90"/>
    <w:rsid w:val="66EC0607"/>
    <w:rsid w:val="672B59EC"/>
    <w:rsid w:val="67797F96"/>
    <w:rsid w:val="677F1C0D"/>
    <w:rsid w:val="68E93F5E"/>
    <w:rsid w:val="690A751F"/>
    <w:rsid w:val="69F3103A"/>
    <w:rsid w:val="6CC50FE7"/>
    <w:rsid w:val="6CE231BD"/>
    <w:rsid w:val="70EE338F"/>
    <w:rsid w:val="71DD178E"/>
    <w:rsid w:val="72347373"/>
    <w:rsid w:val="7670078A"/>
    <w:rsid w:val="76AF35BA"/>
    <w:rsid w:val="787E2D2B"/>
    <w:rsid w:val="7A362513"/>
    <w:rsid w:val="7AB72B1C"/>
    <w:rsid w:val="7AC11B5D"/>
    <w:rsid w:val="7C161AFA"/>
    <w:rsid w:val="7E2B0087"/>
    <w:rsid w:val="7E2B4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4">
    <w:name w:val="heading 1"/>
    <w:basedOn w:val="1"/>
    <w:next w:val="1"/>
    <w:link w:val="17"/>
    <w:qFormat/>
    <w:uiPriority w:val="9"/>
    <w:pPr>
      <w:keepNext/>
      <w:keepLines/>
      <w:spacing w:line="576" w:lineRule="auto"/>
      <w:outlineLvl w:val="0"/>
    </w:pPr>
    <w:rPr>
      <w:b/>
      <w:kern w:val="44"/>
      <w:sz w:val="44"/>
    </w:rPr>
  </w:style>
  <w:style w:type="paragraph" w:styleId="5">
    <w:name w:val="heading 2"/>
    <w:basedOn w:val="1"/>
    <w:next w:val="1"/>
    <w:unhideWhenUsed/>
    <w:qFormat/>
    <w:uiPriority w:val="9"/>
    <w:pPr>
      <w:keepNext/>
      <w:keepLines/>
      <w:spacing w:line="413" w:lineRule="auto"/>
      <w:outlineLvl w:val="1"/>
    </w:pPr>
    <w:rPr>
      <w:rFonts w:ascii="Arial" w:hAnsi="Arial" w:eastAsia="黑体"/>
      <w:b/>
    </w:rPr>
  </w:style>
  <w:style w:type="paragraph" w:styleId="6">
    <w:name w:val="heading 3"/>
    <w:basedOn w:val="1"/>
    <w:next w:val="1"/>
    <w:unhideWhenUsed/>
    <w:qFormat/>
    <w:uiPriority w:val="9"/>
    <w:pPr>
      <w:keepNext/>
      <w:keepLines/>
      <w:spacing w:line="413" w:lineRule="auto"/>
      <w:outlineLvl w:val="2"/>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sz w:val="24"/>
    </w:rPr>
  </w:style>
  <w:style w:type="paragraph" w:styleId="3">
    <w:name w:val="Body Text Indent"/>
    <w:basedOn w:val="1"/>
    <w:unhideWhenUsed/>
    <w:qFormat/>
    <w:uiPriority w:val="99"/>
    <w:pPr>
      <w:spacing w:after="120"/>
      <w:ind w:left="420" w:leftChars="2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rFonts w:ascii="Times New Roman" w:hAnsi="Times New Roman" w:eastAsia="宋体" w:cs="Times New Roman"/>
      <w:b/>
      <w:bCs/>
    </w:rPr>
  </w:style>
  <w:style w:type="character" w:customStyle="1" w:styleId="13">
    <w:name w:val="页眉 字符"/>
    <w:basedOn w:val="11"/>
    <w:link w:val="8"/>
    <w:qFormat/>
    <w:uiPriority w:val="99"/>
    <w:rPr>
      <w:rFonts w:ascii="Calibri" w:hAnsi="Calibri" w:eastAsia="仿宋" w:cs="Times New Roman"/>
      <w:sz w:val="18"/>
      <w:szCs w:val="18"/>
    </w:rPr>
  </w:style>
  <w:style w:type="character" w:customStyle="1" w:styleId="14">
    <w:name w:val="页脚 字符"/>
    <w:basedOn w:val="11"/>
    <w:link w:val="7"/>
    <w:qFormat/>
    <w:uiPriority w:val="99"/>
    <w:rPr>
      <w:rFonts w:ascii="Calibri" w:hAnsi="Calibri" w:eastAsia="仿宋" w:cs="Times New Roman"/>
      <w:sz w:val="18"/>
      <w:szCs w:val="18"/>
    </w:rPr>
  </w:style>
  <w:style w:type="character" w:customStyle="1" w:styleId="15">
    <w:name w:val="样式1"/>
    <w:basedOn w:val="11"/>
    <w:qFormat/>
    <w:uiPriority w:val="0"/>
    <w:rPr>
      <w:rFonts w:ascii="等线" w:hAnsi="等线" w:eastAsia="宋体"/>
      <w:b/>
      <w:sz w:val="72"/>
    </w:rPr>
  </w:style>
  <w:style w:type="paragraph" w:styleId="16">
    <w:name w:val="List Paragraph"/>
    <w:basedOn w:val="1"/>
    <w:qFormat/>
    <w:uiPriority w:val="99"/>
    <w:pPr>
      <w:ind w:firstLine="420" w:firstLineChars="200"/>
    </w:pPr>
  </w:style>
  <w:style w:type="character" w:customStyle="1" w:styleId="17">
    <w:name w:val="标题 1 字符"/>
    <w:basedOn w:val="11"/>
    <w:link w:val="4"/>
    <w:qFormat/>
    <w:uiPriority w:val="9"/>
    <w:rPr>
      <w:rFonts w:ascii="Calibri" w:hAnsi="Calibri" w:eastAsia="仿宋"/>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CE861-60EE-4EF8-999B-D6510EEC851B}">
  <ds:schemaRefs/>
</ds:datastoreItem>
</file>

<file path=docProps/app.xml><?xml version="1.0" encoding="utf-8"?>
<Properties xmlns="http://schemas.openxmlformats.org/officeDocument/2006/extended-properties" xmlns:vt="http://schemas.openxmlformats.org/officeDocument/2006/docPropsVTypes">
  <Template>Normal</Template>
  <Pages>6</Pages>
  <Words>3945</Words>
  <Characters>4407</Characters>
  <Lines>33</Lines>
  <Paragraphs>9</Paragraphs>
  <TotalTime>6</TotalTime>
  <ScaleCrop>false</ScaleCrop>
  <LinksUpToDate>false</LinksUpToDate>
  <CharactersWithSpaces>4603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2023-07-09T01:56:00Z</dcterms:created>
  <dc:creator>田勇 田勇</dc:creator>
  <cp:lastModifiedBy>聂红军</cp:lastModifiedBy>
  <dcterms:modified xsi:type="dcterms:W3CDTF">2023-08-22T01:04:42Z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FD2C4CBAA4D44BE5AFE7248A4FE4D502_13</vt:lpwstr>
  </property>
</Properties>
</file>