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43" w:line="182" w:lineRule="auto"/>
        <w:ind w:left="0" w:leftChars="0" w:right="-92" w:rightChars="-44" w:hanging="6" w:firstLineChars="0"/>
        <w:jc w:val="distribute"/>
        <w:rPr>
          <w:rFonts w:hint="eastAsia" w:ascii="宋体" w:hAnsi="宋体" w:eastAsia="宋体" w:cs="宋体"/>
          <w:snapToGrid w:val="0"/>
          <w:kern w:val="0"/>
          <w:sz w:val="120"/>
          <w:szCs w:val="120"/>
        </w:rPr>
      </w:pPr>
      <w:r>
        <w:rPr>
          <w:rFonts w:hint="eastAsia" w:ascii="宋体" w:hAnsi="宋体" w:eastAsia="宋体" w:cs="宋体"/>
          <w:snapToGrid w:val="0"/>
          <w:color w:val="FF0000"/>
          <w:spacing w:val="-91"/>
          <w:w w:val="78"/>
          <w:kern w:val="0"/>
          <w:sz w:val="120"/>
          <w:szCs w:val="120"/>
          <w14:textOutline w14:w="17246" w14:cap="flat" w14:cmpd="sng" w14:algn="ctr">
            <w14:solidFill>
              <w14:srgbClr w14:val="FF0000"/>
            </w14:solidFill>
            <w14:prstDash w14:val="solid"/>
            <w14:miter w14:val="0"/>
          </w14:textOutline>
        </w:rPr>
        <w:t>中采建培教育技术院文件</w:t>
      </w:r>
    </w:p>
    <w:p>
      <w:pPr>
        <w:spacing w:line="414" w:lineRule="auto"/>
        <w:rPr>
          <w:rFonts w:hint="eastAsia" w:ascii="黑体" w:hAnsi="黑体" w:eastAsia="黑体" w:cs="黑体"/>
        </w:rPr>
      </w:pPr>
      <w:r>
        <mc:AlternateContent>
          <mc:Choice Requires="wps">
            <w:drawing>
              <wp:inline distT="0" distB="0" distL="0" distR="0">
                <wp:extent cx="6129020" cy="76200"/>
                <wp:effectExtent l="0" t="0" r="5080" b="0"/>
                <wp:docPr id="208606046" name="Freeform 2"/>
                <wp:cNvGraphicFramePr/>
                <a:graphic xmlns:a="http://schemas.openxmlformats.org/drawingml/2006/main">
                  <a:graphicData uri="http://schemas.microsoft.com/office/word/2010/wordprocessingShape">
                    <wps:wsp>
                      <wps:cNvSpPr/>
                      <wps:spPr bwMode="auto">
                        <a:xfrm>
                          <a:off x="0" y="0"/>
                          <a:ext cx="6129020" cy="76200"/>
                        </a:xfrm>
                        <a:custGeom>
                          <a:avLst/>
                          <a:gdLst>
                            <a:gd name="T0" fmla="*/ 0 w 9715"/>
                            <a:gd name="T1" fmla="*/ 40 h 55"/>
                            <a:gd name="T2" fmla="*/ 9715 w 9715"/>
                            <a:gd name="T3" fmla="*/ 15 h 55"/>
                          </a:gdLst>
                          <a:ahLst/>
                          <a:cxnLst>
                            <a:cxn ang="0">
                              <a:pos x="T0" y="T1"/>
                            </a:cxn>
                            <a:cxn ang="0">
                              <a:pos x="T2" y="T3"/>
                            </a:cxn>
                          </a:cxnLst>
                          <a:rect l="0" t="0" r="r" b="b"/>
                          <a:pathLst>
                            <a:path w="9715" h="55">
                              <a:moveTo>
                                <a:pt x="0" y="40"/>
                              </a:moveTo>
                              <a:lnTo>
                                <a:pt x="9715" y="15"/>
                              </a:lnTo>
                            </a:path>
                          </a:pathLst>
                        </a:custGeom>
                        <a:noFill/>
                        <a:ln w="19050">
                          <a:solidFill>
                            <a:srgbClr val="FF0000"/>
                          </a:solidFill>
                          <a:round/>
                        </a:ln>
                      </wps:spPr>
                      <wps:bodyPr rot="0" vert="horz" wrap="square" lIns="91440" tIns="45720" rIns="91440" bIns="45720" anchor="t" anchorCtr="0" upright="1">
                        <a:noAutofit/>
                      </wps:bodyPr>
                    </wps:wsp>
                  </a:graphicData>
                </a:graphic>
              </wp:inline>
            </w:drawing>
          </mc:Choice>
          <mc:Fallback>
            <w:pict>
              <v:shape id="Freeform 2" o:spid="_x0000_s1026" o:spt="100" style="height:6pt;width:482.6pt;" filled="f" stroked="t" coordsize="9715,55" o:gfxdata="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CIZzfTVAAAABAEAAA8AAAAAAAAAAQAgAAAAIgAAAGRycy9kb3ducmV2Lnht&#10;bFBLAQIUABQAAAAIAIdO4kAMjc50pwIAAM4FAAAOAAAAAAAAAAEAIAAAACQBAABkcnMvZTJvRG9j&#10;LnhtbFBLBQYAAAAABgAGAFkBAAA9BgAAAAA=&#10;" path="m0,40l9715,15e">
                <v:path o:connectlocs="0,55418;6129020,20781" o:connectangles="0,0"/>
                <v:fill on="f" focussize="0,0"/>
                <v:stroke weight="1.5pt" color="#FF0000" joinstyle="round"/>
                <v:imagedata o:title=""/>
                <o:lock v:ext="edit" aspectratio="f"/>
                <w10:wrap type="none"/>
                <w10:anchorlock/>
              </v:shape>
            </w:pict>
          </mc:Fallback>
        </mc:AlternateContent>
      </w:r>
    </w:p>
    <w:p>
      <w:pPr>
        <w:spacing w:line="55" w:lineRule="exact"/>
        <w:textAlignment w:val="center"/>
      </w:pPr>
    </w:p>
    <w:p>
      <w:pPr>
        <w:spacing w:before="182" w:line="224" w:lineRule="auto"/>
        <w:ind w:left="506" w:leftChars="0" w:hanging="506" w:hangingChars="181"/>
        <w:jc w:val="right"/>
        <w:rPr>
          <w:rFonts w:ascii="仿宋" w:hAnsi="仿宋" w:eastAsia="仿宋" w:cs="仿宋"/>
          <w:sz w:val="30"/>
          <w:szCs w:val="30"/>
        </w:rPr>
      </w:pPr>
      <w:r>
        <w:rPr>
          <w:rFonts w:hint="eastAsia" w:ascii="仿宋_GB2312" w:hAnsi="仿宋_GB2312" w:eastAsia="仿宋_GB2312" w:cs="仿宋_GB2312"/>
          <w:sz w:val="28"/>
          <w:szCs w:val="28"/>
        </w:rPr>
        <w:t>中采建培〔2023〕</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sz w:val="40"/>
          <w:szCs w:val="40"/>
        </w:rPr>
      </w:pPr>
      <w:r>
        <w:rPr>
          <w:rFonts w:hint="eastAsia" w:ascii="黑体" w:hAnsi="黑体" w:eastAsia="黑体" w:cs="黑体"/>
          <w:b w:val="0"/>
          <w:bCs w:val="0"/>
          <w:sz w:val="40"/>
          <w:szCs w:val="40"/>
        </w:rPr>
        <w:t>关于举办“招标投标领域突出问题专项治理方案解读</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sz w:val="40"/>
          <w:szCs w:val="40"/>
        </w:rPr>
      </w:pPr>
      <w:r>
        <w:rPr>
          <w:rFonts w:hint="eastAsia" w:ascii="黑体" w:hAnsi="黑体" w:eastAsia="黑体" w:cs="黑体"/>
          <w:b w:val="0"/>
          <w:bCs w:val="0"/>
          <w:sz w:val="40"/>
          <w:szCs w:val="40"/>
        </w:rPr>
        <w:t>“国有企业采购操作规范应用”“招标采购合规管理、风险防范、审计监督热点及全流程实务”专题</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sz w:val="40"/>
          <w:szCs w:val="40"/>
        </w:rPr>
      </w:pPr>
      <w:r>
        <w:rPr>
          <w:rFonts w:hint="eastAsia" w:ascii="黑体" w:hAnsi="黑体" w:eastAsia="黑体" w:cs="黑体"/>
          <w:b w:val="0"/>
          <w:bCs w:val="0"/>
          <w:sz w:val="40"/>
          <w:szCs w:val="40"/>
        </w:rPr>
        <w:t>研修班的通知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各有关单位：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近日，国家发展改革委、工业和信息化部、住房城乡建设部等11部门联合印发《关于开展工程建设招标投标领域突出问题专项治理的通知》，部署开展工程建设招标投标领域突出问题专项治理</w:t>
      </w:r>
      <w:r>
        <w:rPr>
          <w:rFonts w:hint="eastAsia" w:ascii="仿宋_GB2312" w:hAnsi="仿宋_GB2312" w:eastAsia="仿宋_GB2312" w:cs="仿宋_GB2312"/>
          <w:sz w:val="28"/>
          <w:szCs w:val="28"/>
          <w:lang w:val="en-US" w:eastAsia="zh-Hans"/>
        </w:rPr>
        <w:t>工作</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前我国招投标领域还存在很多突出问题，招标人主体责任落实不到位，各类不合理限制和隐性壁垒尚未完全消除，规避招标、虚假招标、围标串标、导致部分项目中标结果不符合实际需求或者实施效果不佳，制约了招标投标制度竞争择优功能的发挥。鉴于此，国家发改委等13个部委于2022年联合印发了《关于严格执行招标投标法规制度进一步规范招标投标主体行为的若干意见》（发改法规规〔2022〕1117号）。</w:t>
      </w:r>
      <w:r>
        <w:rPr>
          <w:rFonts w:hint="eastAsia" w:ascii="仿宋_GB2312" w:hAnsi="仿宋_GB2312" w:eastAsia="仿宋_GB2312" w:cs="仿宋_GB2312"/>
          <w:sz w:val="28"/>
          <w:szCs w:val="28"/>
          <w:lang w:val="en-US" w:eastAsia="zh-CN"/>
        </w:rPr>
        <w:t>最新</w:t>
      </w:r>
      <w:r>
        <w:rPr>
          <w:rFonts w:hint="eastAsia" w:ascii="仿宋_GB2312" w:hAnsi="仿宋_GB2312" w:eastAsia="仿宋_GB2312" w:cs="仿宋_GB2312"/>
          <w:sz w:val="28"/>
          <w:szCs w:val="28"/>
        </w:rPr>
        <w:t>《国有企业采购操作规范》（T/CFLP 0016-2023）已于今年5月15日施行。</w:t>
      </w:r>
      <w:r>
        <w:rPr>
          <w:rFonts w:hint="eastAsia" w:ascii="仿宋_GB2312" w:hAnsi="仿宋_GB2312" w:eastAsia="仿宋_GB2312" w:cs="仿宋_GB2312"/>
          <w:sz w:val="28"/>
          <w:szCs w:val="28"/>
          <w:lang w:val="en-US" w:eastAsia="zh-CN"/>
        </w:rPr>
        <w:t>新</w:t>
      </w:r>
      <w:r>
        <w:rPr>
          <w:rFonts w:hint="eastAsia" w:ascii="仿宋_GB2312" w:hAnsi="仿宋_GB2312" w:eastAsia="仿宋_GB2312" w:cs="仿宋_GB2312"/>
          <w:sz w:val="28"/>
          <w:szCs w:val="28"/>
        </w:rPr>
        <w:t>规范与3月1日施行的《国有企业服务采购操作规范》及其他招标采购法律规范一起构筑了国有企业采购的标准体系。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新形势下，国有企业如何做好招标采购的风险防控，做好招标采购合规管理，如何规范招标采购全流程业务？为帮助国有企业采购人员理解2023版的《国有企业采购操作规范》主旨精神，掌握国有企业招标采购的各种采购方式和组织形式，帮助学员理解国家有关部委对招标投标领域专项治理的要求，从而营造更加公平公正、规范高效、阳光透明的招标投标市场环境，中采建培教育技术院邀请规范起草组专家，理论联系实际授课，通过案例系统解读团体标准和国家发改委等部委的专项治理要求，帮助广大招标人梳理招标采购过程中的重点和难点问题，为各单位厘清招标采购的短板弱项、梳理出招标采购过程中的风险点，从而确保广大招标人在开展招标采购工作时进行依法合规采购。请各单位积极组织相关人员参加。</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一、培训对象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国有企业从事投资决策、招标采购、物资采购、供应链管理、基建、 纪检监察、财务审计、法律等部门相关负责人；各地招投标监督管理部门公共资源交易中心管理部门；招标代理人员、评审中心</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业主单位从事合同管理、项目管理等相关部门人员；设计院、市场开发等相关部门负责人</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高等院校、医院及科研机构</w:t>
      </w:r>
      <w:r>
        <w:rPr>
          <w:rFonts w:hint="eastAsia" w:ascii="仿宋_GB2312" w:hAnsi="仿宋_GB2312" w:eastAsia="仿宋_GB2312" w:cs="仿宋_GB2312"/>
          <w:sz w:val="28"/>
          <w:szCs w:val="28"/>
          <w:lang w:val="en-US" w:eastAsia="zh-Hans"/>
        </w:rPr>
        <w:t>招标采购人员</w:t>
      </w:r>
      <w:r>
        <w:rPr>
          <w:rFonts w:hint="eastAsia" w:ascii="仿宋_GB2312" w:hAnsi="仿宋_GB2312" w:eastAsia="仿宋_GB2312" w:cs="仿宋_GB2312"/>
          <w:sz w:val="28"/>
          <w:szCs w:val="28"/>
        </w:rPr>
        <w:t>。</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二、授课专家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2023版《国有企业采购操作规范》《国有企业服务采购操作规范》 团体标准编写组核心成员、国内知名招标采购专家，具有</w:t>
      </w:r>
      <w:r>
        <w:rPr>
          <w:rFonts w:hint="eastAsia" w:ascii="仿宋_GB2312" w:hAnsi="仿宋_GB2312" w:eastAsia="仿宋_GB2312" w:cs="仿宋_GB2312"/>
          <w:sz w:val="28"/>
          <w:szCs w:val="28"/>
          <w:lang w:val="en-US" w:eastAsia="zh-Hans"/>
        </w:rPr>
        <w:t>多</w:t>
      </w:r>
      <w:r>
        <w:rPr>
          <w:rFonts w:hint="eastAsia" w:ascii="仿宋_GB2312" w:hAnsi="仿宋_GB2312" w:eastAsia="仿宋_GB2312" w:cs="仿宋_GB2312"/>
          <w:sz w:val="28"/>
          <w:szCs w:val="28"/>
        </w:rPr>
        <w:t>年丰富经验的国有企业招标采购实战和评标评审工作经历。</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三、培训时间和地点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23年08月25日-08月29日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地点:昆明市（25日全天报到）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23年09月08日-09月12日 地点:西安市（08日全天报到）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23年09月22日-09月26日 地点:长沙市（22日全天报到）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 地点:</w:t>
      </w:r>
      <w:r>
        <w:rPr>
          <w:rFonts w:hint="eastAsia" w:ascii="仿宋_GB2312" w:hAnsi="仿宋_GB2312" w:eastAsia="仿宋_GB2312" w:cs="仿宋_GB2312"/>
          <w:sz w:val="28"/>
          <w:szCs w:val="28"/>
          <w:lang w:val="en-US" w:eastAsia="zh-CN"/>
        </w:rPr>
        <w:t>重庆</w:t>
      </w:r>
      <w:r>
        <w:rPr>
          <w:rFonts w:hint="eastAsia" w:ascii="仿宋_GB2312" w:hAnsi="仿宋_GB2312" w:eastAsia="仿宋_GB2312" w:cs="仿宋_GB2312"/>
          <w:sz w:val="28"/>
          <w:szCs w:val="28"/>
        </w:rPr>
        <w:t>市（2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日全天报到）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 地点:</w:t>
      </w:r>
      <w:r>
        <w:rPr>
          <w:rFonts w:hint="eastAsia" w:ascii="仿宋_GB2312" w:hAnsi="仿宋_GB2312" w:eastAsia="仿宋_GB2312" w:cs="仿宋_GB2312"/>
          <w:sz w:val="28"/>
          <w:szCs w:val="28"/>
          <w:lang w:val="en-US" w:eastAsia="zh-CN"/>
        </w:rPr>
        <w:t>广州</w:t>
      </w:r>
      <w:r>
        <w:rPr>
          <w:rFonts w:hint="eastAsia" w:ascii="仿宋_GB2312" w:hAnsi="仿宋_GB2312" w:eastAsia="仿宋_GB2312" w:cs="仿宋_GB2312"/>
          <w:sz w:val="28"/>
          <w:szCs w:val="28"/>
        </w:rPr>
        <w:t>市（2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日全天报到）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 地点:</w:t>
      </w:r>
      <w:r>
        <w:rPr>
          <w:rFonts w:hint="eastAsia" w:ascii="仿宋_GB2312" w:hAnsi="仿宋_GB2312" w:eastAsia="仿宋_GB2312" w:cs="仿宋_GB2312"/>
          <w:sz w:val="28"/>
          <w:szCs w:val="28"/>
          <w:lang w:val="en-US" w:eastAsia="zh-CN"/>
        </w:rPr>
        <w:t>南宁</w:t>
      </w:r>
      <w:r>
        <w:rPr>
          <w:rFonts w:hint="eastAsia" w:ascii="仿宋_GB2312" w:hAnsi="仿宋_GB2312" w:eastAsia="仿宋_GB2312" w:cs="仿宋_GB2312"/>
          <w:sz w:val="28"/>
          <w:szCs w:val="28"/>
        </w:rPr>
        <w:t>市（22日全天报到）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01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01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 地点:</w:t>
      </w:r>
      <w:r>
        <w:rPr>
          <w:rFonts w:hint="eastAsia" w:ascii="仿宋_GB2312" w:hAnsi="仿宋_GB2312" w:eastAsia="仿宋_GB2312" w:cs="仿宋_GB2312"/>
          <w:sz w:val="28"/>
          <w:szCs w:val="28"/>
          <w:lang w:val="en-US" w:eastAsia="zh-CN"/>
        </w:rPr>
        <w:t>成都</w:t>
      </w: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日全天报到）</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四、收费标准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r>
        <w:rPr>
          <w:rFonts w:hint="eastAsia" w:ascii="仿宋_GB2312" w:hAnsi="仿宋_GB2312" w:eastAsia="仿宋_GB2312" w:cs="仿宋_GB2312"/>
          <w:sz w:val="28"/>
          <w:szCs w:val="28"/>
          <w:lang w:val="en-US" w:eastAsia="zh-CN"/>
        </w:rPr>
        <w:t>3600</w:t>
      </w:r>
      <w:r>
        <w:rPr>
          <w:rFonts w:hint="eastAsia" w:ascii="仿宋_GB2312" w:hAnsi="仿宋_GB2312" w:eastAsia="仿宋_GB2312" w:cs="仿宋_GB2312"/>
          <w:sz w:val="28"/>
          <w:szCs w:val="28"/>
        </w:rPr>
        <w:t>元/人(含</w:t>
      </w:r>
      <w:r>
        <w:rPr>
          <w:rFonts w:hint="eastAsia" w:ascii="仿宋_GB2312" w:hAnsi="仿宋_GB2312" w:eastAsia="仿宋_GB2312" w:cs="仿宋_GB2312"/>
          <w:sz w:val="28"/>
          <w:szCs w:val="28"/>
          <w:lang w:val="en-US" w:eastAsia="zh-CN"/>
        </w:rPr>
        <w:t>学习</w:t>
      </w:r>
      <w:r>
        <w:rPr>
          <w:rFonts w:hint="eastAsia" w:ascii="仿宋_GB2312" w:hAnsi="仿宋_GB2312" w:eastAsia="仿宋_GB2312" w:cs="仿宋_GB2312"/>
          <w:sz w:val="28"/>
          <w:szCs w:val="28"/>
        </w:rPr>
        <w:t>、资料课件、场地、午餐、茶歇、专家等费用)电子结业证书，住宿会务组统一安排 ，费用自理。</w:t>
      </w:r>
    </w:p>
    <w:p>
      <w:pPr>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 xml:space="preserve">报名联系人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28"/>
          <w:szCs w:val="28"/>
          <w:lang w:val="en-US" w:eastAsia="zh-CN"/>
        </w:rPr>
        <w:t>qq咨询：3177524020        网    址：http://www.zqgpchina.cn</w:t>
      </w:r>
      <w:r>
        <w:drawing>
          <wp:anchor distT="0" distB="0" distL="114300" distR="114300" simplePos="0" relativeHeight="251660288" behindDoc="1" locked="0" layoutInCell="1" allowOverlap="1">
            <wp:simplePos x="0" y="0"/>
            <wp:positionH relativeFrom="column">
              <wp:posOffset>3736975</wp:posOffset>
            </wp:positionH>
            <wp:positionV relativeFrom="paragraph">
              <wp:posOffset>49530</wp:posOffset>
            </wp:positionV>
            <wp:extent cx="2269490" cy="1679575"/>
            <wp:effectExtent l="0" t="0" r="3810"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269490" cy="1679575"/>
                    </a:xfrm>
                    <a:prstGeom prst="rect">
                      <a:avLst/>
                    </a:prstGeom>
                    <a:noFill/>
                    <a:ln>
                      <a:noFill/>
                    </a:ln>
                  </pic:spPr>
                </pic:pic>
              </a:graphicData>
            </a:graphic>
          </wp:anchor>
        </w:drawing>
      </w:r>
      <w:r>
        <w:rPr>
          <w:rFonts w:hint="eastAsia" w:ascii="仿宋_GB2312" w:hAnsi="仿宋_GB2312" w:eastAsia="仿宋_GB2312" w:cs="仿宋_GB2312"/>
          <w:sz w:val="30"/>
          <w:szCs w:val="30"/>
        </w:rPr>
        <w:t>附件</w:t>
      </w:r>
      <w:r>
        <w:rPr>
          <w:rFonts w:hint="default" w:ascii="仿宋_GB2312" w:hAnsi="仿宋_GB2312" w:eastAsia="仿宋_GB2312" w:cs="仿宋_GB2312"/>
          <w:sz w:val="30"/>
          <w:szCs w:val="30"/>
        </w:rPr>
        <w:t>：</w:t>
      </w:r>
      <w:r>
        <w:rPr>
          <w:rFonts w:hint="eastAsia" w:ascii="仿宋_GB2312" w:hAnsi="仿宋_GB2312" w:eastAsia="仿宋_GB2312" w:cs="仿宋_GB2312"/>
          <w:sz w:val="30"/>
          <w:szCs w:val="30"/>
        </w:rPr>
        <w:t>1.培训大纲</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1500" w:firstLineChars="5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报名表</w:t>
      </w:r>
    </w:p>
    <w:p>
      <w:pPr>
        <w:pStyle w:val="2"/>
        <w:numPr>
          <w:ilvl w:val="0"/>
          <w:numId w:val="0"/>
        </w:numPr>
        <w:ind w:leftChars="200"/>
        <w:rPr>
          <w:rFonts w:hint="eastAsia"/>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rPr>
        <w:t>附件 1：</w:t>
      </w:r>
      <w:r>
        <w:rPr>
          <w:rFonts w:hint="eastAsia" w:ascii="黑体" w:hAnsi="黑体" w:eastAsia="黑体" w:cs="黑体"/>
          <w:sz w:val="28"/>
          <w:szCs w:val="28"/>
          <w:lang w:val="en-US" w:eastAsia="zh-CN"/>
        </w:rPr>
        <w:t>具体内容</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一、国有企业招标采购新政解读与招标投标专项治理的主要内容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1.《国家发展改革委等部门关于严格执行招标投标法规制度进一步规范招标投标主体行为的若干意见》（发改法规规〔2022〕1117号文）；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2.关于完善招标投标交易担保制度进一步降低招标投标交易成本的通知（发改法规〔2023〕27号）；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3.《关于开展工程建设招标投标领域突出问题专项治理的通知》（发改办法规〔2023〕567号文）；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4.《关于实施促进民营经济发展近期若干举措的通知》</w:t>
      </w:r>
      <w:r>
        <w:rPr>
          <w:rFonts w:hint="default"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5.招标投标专项治理的主要内容与注意事项。</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二、《国有企业采购操作规范》2023版主旨解读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1.《国有企业采购操作规范》规定的采购流程及一般要求</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1）国有企业如何明确采购需求、制定采购计划</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2）国有企业如何编制采购文件、组织开评标活动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3）国有企业如何合法合规地确定中标(成交)人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2.《国有企业采购操作规范》规定的组织形式和采购方式有哪些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1）公开招标、邀请招标的适用情形分析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2）竞价、询比、谈判、磋商采购的适用情形及对比分析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3）单源和多源直接采购的适用情形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3.国有企业项目采购、运营性采购的区别与采购方式适用</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三、国企采购合规管理的主要内容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1.合规管理的内涵与实务要点；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2.国企采购常见合规风险；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3.国企采购合规管理的举措；</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4.国有企业采购管理制度建设的路径；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5.国有企业内部控制管理办法建设指引。</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四、国有企业招标采购全过程操作实务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(一)招标采购准备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1.采购需求准备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2.寻源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3.制定采购策略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4.确定采购需求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5.确定采购实施计划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6.采购方案策划</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(二)采购组织模式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1.集中采购与分散采购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2.框架协议程序与一般采购程序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(三)招标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1.招标文件的编写</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2.以不合理的条件限制或者排斥潜在投标人的判定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3.“资格、技术、商务条件与招标项目的具体特点和实际需要相适应或者与合同履行相关性”的标准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4.资格预审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5.招标文件的澄清和修改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6.踏勘现场与招标答疑</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(五)投标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1.投标人与投标资格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2.投标文件</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 开标、评标与定标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1.开标与开标异议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2.评标委员会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3.资格审查4.符合性审查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5.澄清、说明与补正程序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6.异常低价审查程序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7.否决投标(投标无效)的法定情形和约定情形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8.否决全部投标的规则</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9.评审争议解决</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10.评标报告与中标候选人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11.中标候选人公示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12.确定中标人规则 (评定分离制度探索)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(七)中标与合同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1.中标通知书</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2.履约能力审查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3.招标合同的签订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4.合同的履行与验收</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 xml:space="preserve">五、招标采购监督审计实务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1.招标采购审计的依据与审计方案编制要点；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2.审计方式、审计流程及重点关注的热点、重点问题解析；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3.纪检监察部门在资审、开评标、投诉处理等环节关注重点；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4.招投标采购活动常见违法行为及监督依据；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5.招标人应如何应对审计监督部门/巡视组的审计监督？</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黑体" w:hAnsi="黑体" w:eastAsia="黑体" w:cs="黑体"/>
          <w:b w:val="0"/>
          <w:kern w:val="2"/>
          <w:sz w:val="28"/>
          <w:szCs w:val="28"/>
          <w:lang w:val="en-US" w:eastAsia="zh-CN" w:bidi="ar-SA"/>
        </w:rPr>
      </w:pPr>
      <w:r>
        <w:rPr>
          <w:rFonts w:hint="eastAsia" w:ascii="黑体" w:hAnsi="黑体" w:eastAsia="黑体" w:cs="黑体"/>
          <w:b w:val="0"/>
          <w:kern w:val="2"/>
          <w:sz w:val="28"/>
          <w:szCs w:val="28"/>
          <w:lang w:val="en-US" w:eastAsia="zh-CN" w:bidi="ar-SA"/>
        </w:rPr>
        <w:t>附件 2：</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黑体" w:hAnsi="黑体" w:eastAsia="黑体" w:cs="黑体"/>
          <w:b w:val="0"/>
          <w:kern w:val="2"/>
          <w:sz w:val="28"/>
          <w:szCs w:val="28"/>
          <w:lang w:val="en-US" w:eastAsia="zh-CN" w:bidi="ar-SA"/>
        </w:rPr>
      </w:pPr>
      <w:r>
        <w:rPr>
          <w:rFonts w:hint="eastAsia" w:ascii="黑体" w:hAnsi="黑体" w:eastAsia="黑体" w:cs="黑体"/>
          <w:b w:val="0"/>
          <w:kern w:val="2"/>
          <w:sz w:val="28"/>
          <w:szCs w:val="28"/>
          <w:lang w:val="en-US" w:eastAsia="zh-CN" w:bidi="ar-SA"/>
        </w:rPr>
        <w:t>“招标投标领域突出问题专项治理方案解读”“国有企业采购操作规</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kern w:val="2"/>
          <w:sz w:val="28"/>
          <w:szCs w:val="28"/>
          <w:lang w:val="en-US" w:eastAsia="zh-CN" w:bidi="ar-SA"/>
        </w:rPr>
      </w:pPr>
      <w:r>
        <w:rPr>
          <w:rFonts w:hint="eastAsia" w:ascii="黑体" w:hAnsi="黑体" w:eastAsia="黑体" w:cs="黑体"/>
          <w:b w:val="0"/>
          <w:kern w:val="2"/>
          <w:sz w:val="28"/>
          <w:szCs w:val="28"/>
          <w:lang w:val="en-US" w:eastAsia="zh-CN" w:bidi="ar-SA"/>
        </w:rPr>
        <w:t>范应用”“招标采购合规管理、风险防范、审计监督热点及全</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kern w:val="2"/>
          <w:sz w:val="28"/>
          <w:szCs w:val="28"/>
          <w:lang w:val="en-US" w:eastAsia="zh-CN" w:bidi="ar-SA"/>
        </w:rPr>
      </w:pPr>
      <w:r>
        <w:rPr>
          <w:rFonts w:hint="eastAsia" w:ascii="黑体" w:hAnsi="黑体" w:eastAsia="黑体" w:cs="黑体"/>
          <w:b w:val="0"/>
          <w:kern w:val="2"/>
          <w:sz w:val="28"/>
          <w:szCs w:val="28"/>
          <w:lang w:val="en-US" w:eastAsia="zh-CN" w:bidi="ar-SA"/>
        </w:rPr>
        <w:t>流程实务”专题研修班报名表</w:t>
      </w:r>
    </w:p>
    <w:p>
      <w:pPr>
        <w:spacing w:line="59" w:lineRule="exact"/>
      </w:pPr>
    </w:p>
    <w:tbl>
      <w:tblPr>
        <w:tblStyle w:val="9"/>
        <w:tblW w:w="102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7"/>
        <w:gridCol w:w="700"/>
        <w:gridCol w:w="1925"/>
        <w:gridCol w:w="1617"/>
        <w:gridCol w:w="130"/>
        <w:gridCol w:w="1257"/>
        <w:gridCol w:w="197"/>
        <w:gridCol w:w="221"/>
        <w:gridCol w:w="297"/>
        <w:gridCol w:w="681"/>
        <w:gridCol w:w="1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*(开票单位)</w:t>
            </w:r>
          </w:p>
        </w:tc>
        <w:tc>
          <w:tcPr>
            <w:tcW w:w="6047" w:type="dxa"/>
            <w:gridSpan w:val="7"/>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978" w:type="dxa"/>
            <w:gridSpan w:val="2"/>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编</w:t>
            </w:r>
          </w:p>
        </w:tc>
        <w:tc>
          <w:tcPr>
            <w:tcW w:w="1329"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8354" w:type="dxa"/>
            <w:gridSpan w:val="10"/>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4242" w:type="dxa"/>
            <w:gridSpan w:val="3"/>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E-mail</w:t>
            </w: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p>
        </w:tc>
        <w:tc>
          <w:tcPr>
            <w:tcW w:w="4242" w:type="dxa"/>
            <w:gridSpan w:val="3"/>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70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92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  门</w:t>
            </w:r>
          </w:p>
        </w:tc>
        <w:tc>
          <w:tcPr>
            <w:tcW w:w="161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2102" w:type="dxa"/>
            <w:gridSpan w:val="5"/>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 机</w:t>
            </w:r>
          </w:p>
        </w:tc>
        <w:tc>
          <w:tcPr>
            <w:tcW w:w="2010" w:type="dxa"/>
            <w:gridSpan w:val="2"/>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937" w:type="dxa"/>
          </w:tcPr>
          <w:p/>
        </w:tc>
        <w:tc>
          <w:tcPr>
            <w:tcW w:w="700" w:type="dxa"/>
          </w:tcPr>
          <w:p/>
        </w:tc>
        <w:tc>
          <w:tcPr>
            <w:tcW w:w="1925" w:type="dxa"/>
          </w:tcPr>
          <w:p/>
        </w:tc>
        <w:tc>
          <w:tcPr>
            <w:tcW w:w="1617" w:type="dxa"/>
          </w:tcPr>
          <w:p/>
        </w:tc>
        <w:tc>
          <w:tcPr>
            <w:tcW w:w="2102" w:type="dxa"/>
            <w:gridSpan w:val="5"/>
          </w:tcPr>
          <w:p/>
        </w:tc>
        <w:tc>
          <w:tcPr>
            <w:tcW w:w="2010"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937" w:type="dxa"/>
          </w:tcPr>
          <w:p/>
        </w:tc>
        <w:tc>
          <w:tcPr>
            <w:tcW w:w="700" w:type="dxa"/>
          </w:tcPr>
          <w:p/>
        </w:tc>
        <w:tc>
          <w:tcPr>
            <w:tcW w:w="1925" w:type="dxa"/>
          </w:tcPr>
          <w:p/>
        </w:tc>
        <w:tc>
          <w:tcPr>
            <w:tcW w:w="1617" w:type="dxa"/>
          </w:tcPr>
          <w:p/>
        </w:tc>
        <w:tc>
          <w:tcPr>
            <w:tcW w:w="2102" w:type="dxa"/>
            <w:gridSpan w:val="5"/>
          </w:tcPr>
          <w:p/>
        </w:tc>
        <w:tc>
          <w:tcPr>
            <w:tcW w:w="2010"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937" w:type="dxa"/>
          </w:tcPr>
          <w:p/>
        </w:tc>
        <w:tc>
          <w:tcPr>
            <w:tcW w:w="700" w:type="dxa"/>
          </w:tcPr>
          <w:p/>
        </w:tc>
        <w:tc>
          <w:tcPr>
            <w:tcW w:w="1925" w:type="dxa"/>
          </w:tcPr>
          <w:p/>
        </w:tc>
        <w:tc>
          <w:tcPr>
            <w:tcW w:w="1617" w:type="dxa"/>
          </w:tcPr>
          <w:p/>
        </w:tc>
        <w:tc>
          <w:tcPr>
            <w:tcW w:w="2102" w:type="dxa"/>
            <w:gridSpan w:val="5"/>
          </w:tcPr>
          <w:p/>
        </w:tc>
        <w:tc>
          <w:tcPr>
            <w:tcW w:w="2010"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937" w:type="dxa"/>
          </w:tcPr>
          <w:p/>
        </w:tc>
        <w:tc>
          <w:tcPr>
            <w:tcW w:w="700" w:type="dxa"/>
          </w:tcPr>
          <w:p/>
        </w:tc>
        <w:tc>
          <w:tcPr>
            <w:tcW w:w="1925" w:type="dxa"/>
          </w:tcPr>
          <w:p/>
        </w:tc>
        <w:tc>
          <w:tcPr>
            <w:tcW w:w="1617" w:type="dxa"/>
          </w:tcPr>
          <w:p/>
        </w:tc>
        <w:tc>
          <w:tcPr>
            <w:tcW w:w="2102" w:type="dxa"/>
            <w:gridSpan w:val="5"/>
          </w:tcPr>
          <w:p/>
        </w:tc>
        <w:tc>
          <w:tcPr>
            <w:tcW w:w="2010"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937" w:type="dxa"/>
          </w:tcPr>
          <w:p/>
        </w:tc>
        <w:tc>
          <w:tcPr>
            <w:tcW w:w="700" w:type="dxa"/>
          </w:tcPr>
          <w:p/>
        </w:tc>
        <w:tc>
          <w:tcPr>
            <w:tcW w:w="1925" w:type="dxa"/>
          </w:tcPr>
          <w:p/>
        </w:tc>
        <w:tc>
          <w:tcPr>
            <w:tcW w:w="1617" w:type="dxa"/>
          </w:tcPr>
          <w:p/>
        </w:tc>
        <w:tc>
          <w:tcPr>
            <w:tcW w:w="2102" w:type="dxa"/>
            <w:gridSpan w:val="5"/>
          </w:tcPr>
          <w:p/>
        </w:tc>
        <w:tc>
          <w:tcPr>
            <w:tcW w:w="2010"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937" w:type="dxa"/>
          </w:tcPr>
          <w:p/>
        </w:tc>
        <w:tc>
          <w:tcPr>
            <w:tcW w:w="700" w:type="dxa"/>
          </w:tcPr>
          <w:p/>
        </w:tc>
        <w:tc>
          <w:tcPr>
            <w:tcW w:w="1925" w:type="dxa"/>
          </w:tcPr>
          <w:p/>
        </w:tc>
        <w:tc>
          <w:tcPr>
            <w:tcW w:w="1617" w:type="dxa"/>
          </w:tcPr>
          <w:p/>
        </w:tc>
        <w:tc>
          <w:tcPr>
            <w:tcW w:w="2102" w:type="dxa"/>
            <w:gridSpan w:val="5"/>
          </w:tcPr>
          <w:p/>
        </w:tc>
        <w:tc>
          <w:tcPr>
            <w:tcW w:w="2010"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*是否住宿</w:t>
            </w:r>
          </w:p>
        </w:tc>
        <w:tc>
          <w:tcPr>
            <w:tcW w:w="2625" w:type="dxa"/>
            <w:gridSpan w:val="2"/>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是     □否</w:t>
            </w:r>
          </w:p>
        </w:tc>
        <w:tc>
          <w:tcPr>
            <w:tcW w:w="161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*住宿要求</w:t>
            </w:r>
          </w:p>
        </w:tc>
        <w:tc>
          <w:tcPr>
            <w:tcW w:w="4112" w:type="dxa"/>
            <w:gridSpan w:val="7"/>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(单住需另补床位费) □合住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*参会地点</w:t>
            </w:r>
          </w:p>
        </w:tc>
        <w:tc>
          <w:tcPr>
            <w:tcW w:w="8354" w:type="dxa"/>
            <w:gridSpan w:val="10"/>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4372" w:type="dxa"/>
            <w:gridSpan w:val="4"/>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□通过银行  □微信或支付宝</w:t>
            </w:r>
          </w:p>
        </w:tc>
        <w:tc>
          <w:tcPr>
            <w:tcW w:w="12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c>
          <w:tcPr>
            <w:tcW w:w="2725" w:type="dxa"/>
            <w:gridSpan w:val="5"/>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93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*开票</w:t>
            </w:r>
            <w:r>
              <w:rPr>
                <w:rFonts w:hint="eastAsia" w:ascii="仿宋_GB2312" w:hAnsi="仿宋_GB2312" w:eastAsia="仿宋_GB2312" w:cs="仿宋_GB2312"/>
                <w:sz w:val="24"/>
                <w:szCs w:val="24"/>
                <w:lang w:val="en-US" w:eastAsia="zh-CN"/>
              </w:rPr>
              <w:t>类别</w:t>
            </w:r>
          </w:p>
        </w:tc>
        <w:tc>
          <w:tcPr>
            <w:tcW w:w="8354" w:type="dxa"/>
            <w:gridSpan w:val="10"/>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□增值税专用发票         □增值税普票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1937" w:type="dxa"/>
          </w:tcPr>
          <w:p>
            <w:pPr>
              <w:spacing w:before="88" w:line="227" w:lineRule="auto"/>
              <w:jc w:val="center"/>
              <w:rPr>
                <w:rFonts w:hint="default" w:ascii="仿宋" w:hAnsi="仿宋" w:eastAsia="仿宋" w:cs="仿宋"/>
                <w:sz w:val="27"/>
                <w:szCs w:val="27"/>
                <w:lang w:val="en-US" w:eastAsia="zh-CN"/>
              </w:rPr>
            </w:pPr>
            <w:r>
              <w:rPr>
                <w:rFonts w:hint="eastAsia" w:ascii="仿宋_GB2312" w:hAnsi="仿宋_GB2312" w:eastAsia="仿宋_GB2312" w:cs="仿宋_GB2312"/>
                <w:sz w:val="24"/>
                <w:szCs w:val="24"/>
                <w:lang w:val="en-US" w:eastAsia="zh-CN"/>
              </w:rPr>
              <w:t>交流问题</w:t>
            </w:r>
          </w:p>
        </w:tc>
        <w:tc>
          <w:tcPr>
            <w:tcW w:w="8354" w:type="dxa"/>
            <w:gridSpan w:val="10"/>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1937" w:type="dxa"/>
          </w:tcPr>
          <w:p>
            <w:pPr>
              <w:spacing w:before="87" w:line="229" w:lineRule="auto"/>
              <w:rPr>
                <w:rFonts w:hint="eastAsia" w:ascii="仿宋_GB2312" w:hAnsi="仿宋_GB2312" w:eastAsia="仿宋_GB2312" w:cs="仿宋_GB2312"/>
                <w:sz w:val="24"/>
                <w:szCs w:val="24"/>
                <w:lang w:val="en-US" w:eastAsia="zh-CN"/>
              </w:rPr>
            </w:pPr>
          </w:p>
          <w:p>
            <w:pPr>
              <w:spacing w:before="87" w:line="229" w:lineRule="auto"/>
              <w:jc w:val="center"/>
              <w:rPr>
                <w:rFonts w:hint="default" w:ascii="仿宋" w:hAnsi="仿宋" w:eastAsia="仿宋" w:cs="仿宋"/>
                <w:sz w:val="27"/>
                <w:szCs w:val="27"/>
                <w:lang w:val="en-US" w:eastAsia="zh-CN"/>
              </w:rPr>
            </w:pPr>
            <w:r>
              <w:rPr>
                <w:rFonts w:hint="eastAsia" w:ascii="仿宋_GB2312" w:hAnsi="仿宋_GB2312" w:eastAsia="仿宋_GB2312" w:cs="仿宋_GB2312"/>
                <w:sz w:val="24"/>
                <w:szCs w:val="24"/>
                <w:lang w:val="en-US" w:eastAsia="zh-CN"/>
              </w:rPr>
              <w:t>收款账户</w:t>
            </w:r>
          </w:p>
        </w:tc>
        <w:tc>
          <w:tcPr>
            <w:tcW w:w="8354" w:type="dxa"/>
            <w:gridSpan w:val="10"/>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单位名称：北京中恒研训教育咨询中心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开户行：中国工商银行股份有限公司北京永定路支行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    号：0200  0049  0920  0205  138 (行号：1021 0000 0499)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jc w:val="center"/>
        </w:trPr>
        <w:tc>
          <w:tcPr>
            <w:tcW w:w="1937" w:type="dxa"/>
          </w:tcPr>
          <w:p>
            <w:pPr>
              <w:spacing w:line="321" w:lineRule="auto"/>
            </w:pPr>
          </w:p>
          <w:p>
            <w:pPr>
              <w:spacing w:before="88" w:line="230" w:lineRule="auto"/>
              <w:ind w:left="589"/>
              <w:rPr>
                <w:rFonts w:ascii="仿宋" w:hAnsi="仿宋" w:eastAsia="仿宋" w:cs="仿宋"/>
                <w:sz w:val="27"/>
                <w:szCs w:val="27"/>
              </w:rPr>
            </w:pPr>
            <w:r>
              <w:rPr>
                <w:rFonts w:hint="eastAsia" w:ascii="仿宋_GB2312" w:hAnsi="仿宋_GB2312" w:eastAsia="仿宋_GB2312" w:cs="仿宋_GB2312"/>
                <w:sz w:val="21"/>
                <w:szCs w:val="21"/>
              </w:rPr>
              <w:t>备注</w:t>
            </w:r>
          </w:p>
        </w:tc>
        <w:tc>
          <w:tcPr>
            <w:tcW w:w="5826" w:type="dxa"/>
            <w:gridSpan w:val="6"/>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_GB2312" w:cs="仿宋"/>
                <w:sz w:val="27"/>
                <w:szCs w:val="27"/>
                <w:lang w:eastAsia="zh-CN"/>
              </w:rPr>
            </w:pPr>
            <w:r>
              <w:rPr>
                <w:rFonts w:hint="eastAsia" w:ascii="仿宋_GB2312" w:hAnsi="仿宋_GB2312" w:eastAsia="仿宋_GB2312" w:cs="仿宋_GB2312"/>
                <w:sz w:val="24"/>
                <w:szCs w:val="24"/>
              </w:rPr>
              <w:t>请将参会回执回传或 E-mail 至会务组，在报名 3日内将培训费通过银行或邮局等方式付款</w:t>
            </w:r>
            <w:r>
              <w:rPr>
                <w:rFonts w:hint="eastAsia" w:ascii="仿宋_GB2312" w:hAnsi="仿宋_GB2312" w:eastAsia="仿宋_GB2312" w:cs="仿宋_GB2312"/>
                <w:sz w:val="24"/>
                <w:szCs w:val="24"/>
                <w:lang w:eastAsia="zh-CN"/>
              </w:rPr>
              <w:t>。</w:t>
            </w:r>
          </w:p>
        </w:tc>
        <w:tc>
          <w:tcPr>
            <w:tcW w:w="2528" w:type="dxa"/>
            <w:gridSpan w:val="4"/>
          </w:tcPr>
          <w:p>
            <w:pPr>
              <w:spacing w:line="321" w:lineRule="auto"/>
            </w:pPr>
          </w:p>
          <w:p>
            <w:pPr>
              <w:spacing w:line="228" w:lineRule="auto"/>
              <w:ind w:left="16" w:firstLine="280" w:firstLineChars="100"/>
              <w:rPr>
                <w:rFonts w:ascii="仿宋" w:hAnsi="仿宋" w:eastAsia="仿宋" w:cs="仿宋"/>
                <w:sz w:val="27"/>
                <w:szCs w:val="27"/>
              </w:rPr>
            </w:pPr>
            <w:r>
              <w:rPr>
                <w:rFonts w:ascii="仿宋" w:hAnsi="仿宋" w:eastAsia="仿宋" w:cs="仿宋"/>
                <w:spacing w:val="5"/>
                <w:sz w:val="27"/>
                <w:szCs w:val="27"/>
              </w:rPr>
              <w:t xml:space="preserve">2023 年 月 </w:t>
            </w:r>
            <w:r>
              <w:rPr>
                <w:rFonts w:ascii="仿宋" w:hAnsi="仿宋" w:eastAsia="仿宋" w:cs="仿宋"/>
                <w:spacing w:val="4"/>
                <w:sz w:val="27"/>
                <w:szCs w:val="27"/>
              </w:rPr>
              <w:t>日</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此表可复制，*部分为必填项，汇总名单后发送至会务组；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2.如果单位人员多，可到单位开展专题内训；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qq咨询：3177524020        网    址：http://www.zqgpchina.cn</w:t>
      </w:r>
    </w:p>
    <w:sectPr>
      <w:foot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F10CA"/>
    <w:multiLevelType w:val="singleLevel"/>
    <w:tmpl w:val="2F9F10C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DBFD4C26"/>
    <w:rsid w:val="01887230"/>
    <w:rsid w:val="02661E94"/>
    <w:rsid w:val="09590D80"/>
    <w:rsid w:val="096E7880"/>
    <w:rsid w:val="0C0E5266"/>
    <w:rsid w:val="0C525237"/>
    <w:rsid w:val="0C540FAF"/>
    <w:rsid w:val="12941904"/>
    <w:rsid w:val="21D4576D"/>
    <w:rsid w:val="2A636B36"/>
    <w:rsid w:val="31B22151"/>
    <w:rsid w:val="37EFC917"/>
    <w:rsid w:val="3C8A61A4"/>
    <w:rsid w:val="3D11062B"/>
    <w:rsid w:val="3DEA7B31"/>
    <w:rsid w:val="3F7D438F"/>
    <w:rsid w:val="42100EF9"/>
    <w:rsid w:val="44F970EE"/>
    <w:rsid w:val="4A253068"/>
    <w:rsid w:val="4FBB4A08"/>
    <w:rsid w:val="52CD0741"/>
    <w:rsid w:val="54640C31"/>
    <w:rsid w:val="595B4D50"/>
    <w:rsid w:val="59FF3F05"/>
    <w:rsid w:val="5ECF65B1"/>
    <w:rsid w:val="64124205"/>
    <w:rsid w:val="64463C2F"/>
    <w:rsid w:val="67BA708E"/>
    <w:rsid w:val="75526B58"/>
    <w:rsid w:val="DBFD4C26"/>
    <w:rsid w:val="DE9FA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line="360" w:lineRule="auto"/>
      <w:ind w:left="176" w:leftChars="0" w:firstLine="420" w:firstLineChars="200"/>
    </w:pPr>
    <w:rPr>
      <w:rFonts w:ascii="仿宋" w:eastAsia="仿宋"/>
      <w:sz w:val="24"/>
    </w:rPr>
  </w:style>
  <w:style w:type="paragraph" w:styleId="3">
    <w:name w:val="Body Text Indent"/>
    <w:basedOn w:val="1"/>
    <w:next w:val="4"/>
    <w:unhideWhenUsed/>
    <w:qFormat/>
    <w:uiPriority w:val="99"/>
    <w:pPr>
      <w:spacing w:after="120"/>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footer"/>
    <w:basedOn w:val="1"/>
    <w:qFormat/>
    <w:uiPriority w:val="0"/>
    <w:pPr>
      <w:tabs>
        <w:tab w:val="center" w:pos="4153"/>
        <w:tab w:val="right" w:pos="8306"/>
      </w:tabs>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2688</Words>
  <Characters>2938</Characters>
  <Lines>0</Lines>
  <Paragraphs>0</Paragraphs>
  <TotalTime>8</TotalTime>
  <ScaleCrop>false</ScaleCrop>
  <LinksUpToDate>false</LinksUpToDate>
  <CharactersWithSpaces>3071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2023-08-12T11:07:00Z</dcterms:created>
  <dc:creator>雷金辉</dc:creator>
  <cp:lastModifiedBy>聂红军</cp:lastModifiedBy>
  <dcterms:modified xsi:type="dcterms:W3CDTF">2023-08-21T01:11:35Z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44C5ADA130124DBB8A262C7E3F3553C0_13</vt:lpwstr>
  </property>
</Properties>
</file>