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0" w:lineRule="exact"/>
        <w:jc w:val="center"/>
        <w:textAlignment w:val="auto"/>
        <w:rPr>
          <w:rFonts w:hint="eastAsia" w:ascii="宋体" w:hAnsi="宋体" w:eastAsiaTheme="minorEastAsia"/>
          <w:b/>
          <w:bCs/>
          <w:color w:val="FF0000"/>
          <w:w w:val="75"/>
          <w:kern w:val="0"/>
          <w:sz w:val="100"/>
          <w:szCs w:val="100"/>
          <w:lang w:val="en-US" w:eastAsia="zh-CN"/>
        </w:rPr>
      </w:pPr>
      <w:bookmarkStart w:id="0" w:name="_Hlk143780096"/>
      <w:r>
        <w:rPr>
          <w:rFonts w:hint="eastAsia" w:ascii="宋体" w:hAnsi="宋体" w:eastAsiaTheme="minorEastAsia"/>
          <w:b/>
          <w:bCs/>
          <w:color w:val="FF0000"/>
          <w:w w:val="75"/>
          <w:kern w:val="0"/>
          <w:sz w:val="100"/>
          <w:szCs w:val="100"/>
          <w:lang w:val="en-US" w:eastAsia="zh-CN"/>
        </w:rPr>
        <w:t>中 建 科 信 集 团 文 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200" w:lineRule="exact"/>
        <w:jc w:val="center"/>
        <w:textAlignment w:val="auto"/>
        <w:rPr>
          <w:rFonts w:ascii="Cambria" w:hAnsi="Cambria"/>
          <w:sz w:val="26"/>
          <w:szCs w:val="26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中建培</w:t>
      </w:r>
      <w:r>
        <w:rPr>
          <w:rFonts w:hint="eastAsia" w:ascii="宋体" w:hAnsi="宋体" w:cs="宋体"/>
          <w:sz w:val="30"/>
          <w:szCs w:val="30"/>
        </w:rPr>
        <w:t>[202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cs="宋体"/>
          <w:sz w:val="30"/>
          <w:szCs w:val="30"/>
        </w:rPr>
        <w:t>]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18</w:t>
      </w:r>
      <w:r>
        <w:rPr>
          <w:rFonts w:hint="eastAsia" w:ascii="宋体" w:hAnsi="宋体" w:cs="宋体"/>
          <w:sz w:val="30"/>
          <w:szCs w:val="30"/>
        </w:rPr>
        <w:t>号</w:t>
      </w:r>
    </w:p>
    <w:p>
      <w:pPr>
        <w:pStyle w:val="7"/>
        <w:spacing w:line="380" w:lineRule="exact"/>
        <w:rPr>
          <w:rFonts w:hint="eastAsia" w:ascii="华文中宋" w:hAnsi="华文中宋" w:eastAsia="华文中宋"/>
        </w:rPr>
      </w:pP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5619750" cy="19050"/>
                <wp:effectExtent l="0" t="19050" r="0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3pt;margin-top:7.25pt;height:1.5pt;width:442.5pt;z-index:251659264;mso-width-relative:page;mso-height-relative:page;" filled="f" stroked="t" coordsize="21600,21600" o:gfxdata="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RlAoDVAAAABgEAAA8AAAAAAAAAAQAgAAAAIgAAAGRycy9kb3ducmV2&#10;LnhtbFBLAQIUABQAAAAIAIdO4kBnifoS/wEAANEDAAAOAAAAAAAAAAEAIAAAACQ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关于举办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全域综合整治/EOD/乡村振兴与城市更新投融资模式、盈利模式与政府隐形债务规避实操落地</w:t>
      </w:r>
    </w:p>
    <w:bookmarkEnd w:id="0"/>
    <w:p>
      <w:pPr>
        <w:jc w:val="center"/>
        <w:rPr>
          <w:rFonts w:ascii="微软雅黑" w:hAnsi="微软雅黑" w:eastAsia="微软雅黑" w:cs="微软雅黑"/>
          <w:b/>
          <w:bCs/>
          <w:color w:val="0000FF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培训班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的通知</w:t>
      </w:r>
    </w:p>
    <w:p>
      <w:pPr>
        <w:spacing w:line="240" w:lineRule="auto"/>
        <w:ind w:left="562" w:hanging="562" w:hangingChars="200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【课程背景】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全域综合整治、EOD生态修复工程是乡村振兴、山水林田湖草沙、 “千万工程”、生态文明建设的重要抓手，是新时代投资、发展、实施之趋势。国家强大的政策与资金支持，开启了新的投资、施工、运营赛道，为企业投资农村居民点整理、增减挂钩、工矿废弃地治理、农村人居环境整治提升、历史遗产保护、水流域治理提升、EOD生态修复、高标准基本农田、耕地提质改造等项目提供了有利支持。本次课程我们将邀请行业资深专家授课，结合政策、机遇与窗口，站在实操角度与大家分享项目来源、全流程开发、投资模式、融资模式、风险规避、政府隐形债务规避与产业招商运营等核心内容。通过本次学习，可以将上述项目投融、施工、运营一体化内容系统掌握，有效助力项目投资决策。</w:t>
      </w:r>
    </w:p>
    <w:p>
      <w:pPr>
        <w:spacing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综合整治、EOD、乡村振兴是控制增量、挖掘存量的有利抓手，是新时代“国土”政策之导向，未来新增建设指标减少，传统拿地开发已然不适应时代发展。新时代，企业发展、生存，必须转型、破局，由“新增”获取，转战“存量”挖潜，步入存量盘活与城市更新领域。本次课程，我们也将结合实战案例讲授：关于存量盘活与城市更新地块选择、项目合作、协议签订、交易价格、政府谈判、心态博弈、退出机制、更新模式、更新流程、处置方式、升值路径、风险控制等内容，协助企业抓住市场机遇，快速加入城市更新行动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spacing w:val="8"/>
          <w:sz w:val="28"/>
          <w:szCs w:val="28"/>
        </w:rPr>
        <w:t>了帮助各有关机构提高谋划EOD项目、城市更新项目等各种类型的片区综合开发的质量，从项目申报实施方案、入库评审、授信贷款、社会资本遴选等多维度进行实操落地解析。在当前形势下，各地政府和投融资平台公司，亟待加强在融资项目谋划、债务化解及平台公司转型实务等方面的学习提升。鉴于此我</w:t>
      </w:r>
      <w:r>
        <w:rPr>
          <w:rFonts w:hint="eastAsia" w:ascii="仿宋" w:hAnsi="仿宋" w:eastAsia="仿宋" w:cs="仿宋"/>
          <w:spacing w:val="8"/>
          <w:sz w:val="28"/>
          <w:szCs w:val="28"/>
          <w:lang w:val="en-US" w:eastAsia="zh-CN"/>
        </w:rPr>
        <w:t>集团</w:t>
      </w:r>
      <w:r>
        <w:rPr>
          <w:rFonts w:hint="eastAsia" w:ascii="仿宋" w:hAnsi="仿宋" w:eastAsia="仿宋" w:cs="仿宋"/>
          <w:spacing w:val="8"/>
          <w:sz w:val="28"/>
          <w:szCs w:val="28"/>
        </w:rPr>
        <w:t>决定</w:t>
      </w:r>
      <w:r>
        <w:rPr>
          <w:rFonts w:hint="eastAsia" w:ascii="仿宋" w:hAnsi="仿宋" w:eastAsia="仿宋" w:cs="仿宋"/>
          <w:bCs/>
          <w:sz w:val="28"/>
          <w:szCs w:val="28"/>
          <w:shd w:val="clear" w:color="auto" w:fill="FFFFFF"/>
        </w:rPr>
        <w:t>举办</w:t>
      </w:r>
      <w:r>
        <w:rPr>
          <w:rFonts w:hint="eastAsia" w:ascii="仿宋" w:hAnsi="仿宋" w:eastAsia="仿宋" w:cs="仿宋"/>
          <w:sz w:val="28"/>
          <w:szCs w:val="28"/>
        </w:rPr>
        <w:t>“转型、破局、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发展</w:t>
      </w:r>
      <w:r>
        <w:rPr>
          <w:rFonts w:hint="eastAsia" w:ascii="仿宋" w:hAnsi="仿宋" w:eastAsia="仿宋" w:cs="仿宋"/>
          <w:sz w:val="28"/>
          <w:szCs w:val="28"/>
        </w:rPr>
        <w:t>关于举办“全域综合整治/EOD/乡村振兴与城市更新投融资模式、盈利模式与政府隐形债务规避实操落地研讨会”。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我司</w:t>
      </w:r>
      <w:r>
        <w:rPr>
          <w:rFonts w:hint="eastAsia" w:ascii="仿宋" w:hAnsi="仿宋" w:eastAsia="仿宋" w:cs="仿宋"/>
          <w:spacing w:val="8"/>
          <w:sz w:val="28"/>
          <w:szCs w:val="28"/>
        </w:rPr>
        <w:t>特邀业内一线实务专家，从专业领域角度剖析并解答政府和平台公司面临的诸多难题</w:t>
      </w:r>
      <w:r>
        <w:rPr>
          <w:rFonts w:hint="eastAsia" w:ascii="仿宋" w:hAnsi="仿宋" w:eastAsia="仿宋" w:cs="仿宋"/>
          <w:spacing w:val="8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有关事项详见招生简章。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特此通知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招生简章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1400" w:firstLineChars="5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2670175</wp:posOffset>
            </wp:positionH>
            <wp:positionV relativeFrom="paragraph">
              <wp:posOffset>297815</wp:posOffset>
            </wp:positionV>
            <wp:extent cx="2190750" cy="2187575"/>
            <wp:effectExtent l="0" t="0" r="0" b="0"/>
            <wp:wrapNone/>
            <wp:docPr id="2" name="图片 2" descr="中建科信集团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建科信集团（无背景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595" w:firstLineChars="1284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</w:rPr>
        <w:t>北京中建科信管理咨询集团有限公司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715" w:firstLineChars="1684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 xml:space="preserve"> 2023年 8月 20日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28"/>
          <w:szCs w:val="28"/>
        </w:rPr>
        <w:t>附件 1</w:t>
      </w:r>
      <w:r>
        <w:rPr>
          <w:rFonts w:hint="eastAsia" w:ascii="仿宋" w:hAnsi="仿宋" w:eastAsia="仿宋" w:cs="仿宋"/>
          <w:b w:val="0"/>
          <w:bCs w:val="0"/>
          <w:snapToGrid/>
          <w:kern w:val="2"/>
          <w:sz w:val="28"/>
          <w:szCs w:val="28"/>
          <w:lang w:val="en-US" w:eastAsia="zh-CN"/>
        </w:rPr>
        <w:t>招生简章</w:t>
      </w: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/>
        </w:rPr>
      </w:pPr>
    </w:p>
    <w:p>
      <w:pPr>
        <w:widowControl w:val="0"/>
        <w:kinsoku/>
        <w:autoSpaceDE/>
        <w:autoSpaceDN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napToGrid/>
          <w:kern w:val="2"/>
          <w:sz w:val="32"/>
          <w:szCs w:val="32"/>
          <w:lang w:val="en-US" w:eastAsia="zh-CN"/>
        </w:rPr>
        <w:t>培训内容</w:t>
      </w:r>
    </w:p>
    <w:p>
      <w:pPr>
        <w:pStyle w:val="2"/>
        <w:rPr>
          <w:rFonts w:hint="eastAsia"/>
        </w:rPr>
      </w:pPr>
    </w:p>
    <w:p>
      <w:pPr>
        <w:widowControl/>
        <w:spacing w:line="240" w:lineRule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话题一：全域综合整治/EOD/城市更新土地痛点解决策略与重大风险规避（研判项目可行性，规避投资风险、施工风险）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1、如何争取新增指标，满足农转用标准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2、如何挖掘存量建设，进行更新、升值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3、如何创造流量指标，布局全域综合整治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4、如何参与规划，操作乡村振兴策划符合规划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5、如何利用基本农田，推动乡村振兴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6、如何保护生态红线，投资EOD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7、如何掌握产业导入全流程，助力乡村振兴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8、如何掌握城市更新全流程，盘活存量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9、如何研判标的合法合规性，规避无效投资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10、如何确定标的物价值，科学测算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11、如何利用/布局/盘活集体土地，推动乡村振兴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12、如何进行土地征收，推动项目进程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13、如何抓住《国土空间规划》机遇，解决痛点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14、如何掌握规划图纸要素，进行可行性研究</w:t>
      </w:r>
    </w:p>
    <w:p>
      <w:pPr>
        <w:bidi w:val="0"/>
        <w:spacing w:line="24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我们将借助图纸、模型，发现问题、解决问题、布局项目、控制风险</w:t>
      </w: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话题二：全域土地综合整治投资类型、投资模式、盈利模式、融资模式与隐形负债规避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1、全域土地综合整治政策分析与发展趋势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2、全域土地综合</w:t>
      </w:r>
      <w:r>
        <w:rPr>
          <w:rFonts w:hint="eastAsia" w:ascii="仿宋" w:hAnsi="仿宋" w:eastAsia="仿宋" w:cs="仿宋"/>
          <w:sz w:val="28"/>
          <w:szCs w:val="28"/>
        </w:rPr>
        <w:t>整治土地痛点解决策略与技巧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3、全域土地综合整治项目类型布局方式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4、农村居民点整理布局、投资模式、盈利模式、风险规避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5、农村居民点整理政府隐形债务规避方法与策略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6、农村居民点整理项目包装与申报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7、农村居民点整理土地利用与布局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8、农村居民点整理产业导入与运营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9、农村居民点整理与乡村振兴融合打造方向指引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10、农村居民点整理助力乡村振兴案例剖析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11、EOD生态修复项目来源路径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12、EOD生态修复项目实施主体与修复内容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13、EOD生态修复项目运作模式与全流程分析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14、EOD生态修复项目测算依据与投资测算分析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15、EOD生态修复项目盈利模式与收入来源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16、EOD生态修复项目融资模式与资金来源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17、EOD生态修复项目政府隐形负债规避方式与方法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18、EOD生态修复项目产业导入与运营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19、EOD生态修复项目与乡村振兴融合、策划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20、EOD生态修复项目风险控制与把控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21、EOD生态修复案例深度剖析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22、增减挂钩项目战略布局与内涵分析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23、增减挂钩项目全流程解析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24、增减挂钩项目指标交易方向与模式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25、增减挂钩项目指标交易流程与核心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26、增减挂钩项目盈利模式分析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27、增减挂钩项目收益分配与资金筹措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28、增减挂钩项目风险控制与规避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29、增减挂钩项目案例剖析与借鉴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30、低效用地再开发项目布局、投资模式、盈利模式分析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31、低效用地再开发融资模式、资金分配模式分析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32、低效用地再开发政府隐形债务规避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33、低效用地再开发案例剖析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34、低效用地再开发与乡村振兴融合发展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35、高标基本农田投资策略、投资模式、盈利模式分析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36、高标基本农田立项、全流程、施工内容解析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37、高标基本农田资金来源与融资模式分析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38、高标基本农田验收与回款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39、其他整治类项目投资模式、盈利模式、融资模式与风险规避</w:t>
      </w:r>
    </w:p>
    <w:p>
      <w:pPr>
        <w:bidi w:val="0"/>
        <w:spacing w:line="24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结合六大实战案例，落实上述内容，具体分析投资、融资、盈利、债务、报批、验收各环节痛点与收获，引导学员指出问题、提出解决路径</w:t>
      </w: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话题三：乡村振兴之集体土地入市前提/流程/报批/产业招商运营与风险规避案例讨论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1、稻香庄园休闲度假振兴项目讨论（土地、资金、人才）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2、乡村振兴新经济示范区案例借鉴（产业、包装、申报）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3、乡村文化旅游康养田园综合体研究（融资、专项、发展）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4、乡村振兴项目康养医疗度假案例分享（土地、业态、运营、自持）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5、商业办公、商墅投资逻辑探讨（融资、抵押、租赁）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6、乡村振兴项目民宿发展集群（合作、模式、盈利）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7、乡村振兴保障型租赁住房案例剖析（土地、租赁、运营）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8、乡村工业产业园项目案例引导（产业、发展、税收、招商）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9、乡村大数据产业园项目操作路径（地价、流程、路径、排他）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10、乡村产业项目全流程报批（报批、报建、手续、隐债规避）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11、国外乡村振兴案例借鉴（全流程）</w:t>
      </w:r>
    </w:p>
    <w:p>
      <w:pPr>
        <w:bidi w:val="0"/>
        <w:spacing w:line="240" w:lineRule="auto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12、国外乡村振兴项目借鉴（痛点规避）</w:t>
      </w: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结合10+实战案例，从集体土地入市前提、方式、地类、融资、抵押、销售、产业、招商、运营、税收、优惠、盈利等方向全流程服务乡村振兴，让学员对乡村振兴投融运体系化</w:t>
      </w:r>
    </w:p>
    <w:p>
      <w:pPr>
        <w:widowControl/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</w:pPr>
    </w:p>
    <w:p>
      <w:pPr>
        <w:widowControl/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话题四：城市更新政策发展、操作模式、流程、要点、实务与风险把控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1、城市更新政策解读与利用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2、城市更新更新模式学习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3、城市更新全流程解析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4、城市更新手续办理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5、城市更新地价确认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6、城市更新协议签订与风险控制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7、城市更新投资模式与融资路径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8、城市更新成本返还与路径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9、城市更新政府隐形负债规避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10、城市更新其他要点解析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11、城市更新土地供应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12、城市更新土地用途布局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13、城市更新安置房建设与销售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14、城市更新风险控制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15、上海XX城中村改造案例探讨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16、上海XX片区开发改造案例剖析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17、XX旧城镇、厂房改造案例分析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18、北京XX旧厂房改造案例借鉴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19、郑州XX微改造项目学习</w:t>
      </w:r>
    </w:p>
    <w:p>
      <w:pPr>
        <w:bidi w:val="0"/>
        <w:spacing w:line="24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20、郑州XX城市更新与产业导入项目借鉴</w:t>
      </w:r>
    </w:p>
    <w:p>
      <w:pPr>
        <w:widowControl/>
        <w:spacing w:line="240" w:lineRule="auto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结合政策，抓住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大实战案例，从城市更新立项、改造模式、投资模式、融资模式、土地利用、开发模式、业态布局、招商运营、政府合作、协议签订、风险控制等方向形成城市更新全链条认知,实战、落位、易懂。</w:t>
      </w:r>
    </w:p>
    <w:p>
      <w:pPr>
        <w:widowControl/>
        <w:spacing w:line="392" w:lineRule="exact"/>
        <w:ind w:firstLine="562" w:firstLineChars="200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p>
      <w:pPr>
        <w:pStyle w:val="10"/>
        <w:adjustRightInd w:val="0"/>
        <w:snapToGrid w:val="0"/>
        <w:spacing w:line="276" w:lineRule="auto"/>
        <w:ind w:firstLine="0" w:firstLineChars="0"/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【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培训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对象】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土地一级开发公司、城投公司、城市更新投资集团、房地产开发公司、政府平台投资公司、不动产收购、处置相关企业、国有资产盘活企业、产业地产开发、实业集团、文旅康养、特色小镇企业、基建投资、施工企业、地产运营、金融机构、律师事务所、土地开发利用单位、土地服务咨询机构、策划相关单位。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2、收并购、资产重组、不良资产处置、证券机构、国企改革、片区综合开发、PPP项目、旧改、城市更新、基础设施建设、存量挖潜、产业勾地、土地一二级开发等相关企业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3、其他涉及拿地、土地开发实业集团、制造业集团</w:t>
      </w:r>
    </w:p>
    <w:p>
      <w:pPr>
        <w:ind w:left="280" w:hanging="281" w:hanging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【课程收益】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1、全方位解读《土地管理法》、《土地管理法实施条例》土地新政要点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2、全面掌握参与《国土空间规划》编制流程、要点、时间，布局整治项目、落实多元化做地模式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3、掌握土地综合整治类型、规划、布局、实施、审批、验收、供应、交易、盈利、模式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4、深度剖析土地一二级联动做地模式、要点、协议、价格、博弈、退出、风险、收益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5、深度剖析城市更新做地模式、条款签订、要点把控、费用支付、成本审计回收、开发周期、土地供应、拿地开发关键要点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6、深度剖析土地用途变更（变性）前提、方法、技巧、周期、费用、风险、展望、收益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7、系统了解集体土地开发做地模式、操作模式、规划、布局、实施、验收、入市、流程等内容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8、全面掌握乡村振兴产业招商、运营、税收、优惠等内容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【授课师资】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土地开发利用专家：清华、北大总裁班特聘讲师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于老师：曾任职于国内甲级规划院土地业务负责人、任职于国内知名科技园区、科技城建设集团负责众多开发企业项目用地土地政策咨询、规划修改、风险控制等业务，指导拿地企业争取新增建设指标，挖掘存量指标，确保项目尽快落位，合法合规。长期指导众多知名公司地产一二级开发联动、产业勾地、产业规划设计、运营、招商等工作，具有丰富的土地业务经验与资源。承接众多开发企业勾地业务咨询顾问与培训等工作。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【时间地点】</w:t>
      </w:r>
    </w:p>
    <w:p>
      <w:pPr>
        <w:spacing w:line="440" w:lineRule="exact"/>
        <w:ind w:firstLine="840" w:firstLineChars="3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2023年09月21日-23日（21日报到）  郑州市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280" w:hanging="281" w:hangingChars="1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【培训费用】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1、收费标准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3600元/人（费用含培训费、会务费、资料费、税费、两日午餐）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2、缴费方式：银行汇款或转账，会议现场不安排收费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开户名称：北京中建科信管理咨询集团有限公司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户 行：中国工商银行北京半壁店支行</w:t>
      </w:r>
    </w:p>
    <w:p>
      <w:pPr>
        <w:ind w:left="280" w:hanging="280" w:hanging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号：0200247009200068235</w:t>
      </w:r>
    </w:p>
    <w:p>
      <w:pPr>
        <w:numPr>
          <w:ilvl w:val="0"/>
          <w:numId w:val="0"/>
        </w:numPr>
        <w:spacing w:line="360" w:lineRule="auto"/>
        <w:rPr>
          <w:rFonts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191919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191919"/>
          <w:sz w:val="28"/>
          <w:szCs w:val="28"/>
          <w:shd w:val="clear" w:color="auto" w:fill="FFFFFF"/>
          <w:lang w:val="en-US" w:eastAsia="zh-CN"/>
        </w:rPr>
        <w:t>报名回执表</w:t>
      </w:r>
    </w:p>
    <w:p>
      <w:pPr>
        <w:spacing w:line="440" w:lineRule="exact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全域综合整治/EOD/乡村振兴与城市更新投融资模式、盈利模式与政府隐形债务规避实操落地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培训班</w:t>
      </w:r>
    </w:p>
    <w:tbl>
      <w:tblPr>
        <w:tblStyle w:val="8"/>
        <w:tblpPr w:leftFromText="180" w:rightFromText="180" w:vertAnchor="text" w:horzAnchor="page" w:tblpX="1222" w:tblpY="2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164"/>
        <w:gridCol w:w="11"/>
        <w:gridCol w:w="1067"/>
        <w:gridCol w:w="11"/>
        <w:gridCol w:w="899"/>
        <w:gridCol w:w="942"/>
        <w:gridCol w:w="855"/>
        <w:gridCol w:w="210"/>
        <w:gridCol w:w="53"/>
        <w:gridCol w:w="666"/>
        <w:gridCol w:w="125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单位名称</w:t>
            </w:r>
          </w:p>
        </w:tc>
        <w:tc>
          <w:tcPr>
            <w:tcW w:w="58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行业类别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58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1200" w:firstLineChars="50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邮编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 系 人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 门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 务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电话/区号</w:t>
            </w:r>
          </w:p>
        </w:tc>
        <w:tc>
          <w:tcPr>
            <w:tcW w:w="315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传 真</w:t>
            </w:r>
          </w:p>
        </w:tc>
        <w:tc>
          <w:tcPr>
            <w:tcW w:w="178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E-mail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代表姓名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部 门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手机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发票要求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1440" w:firstLineChars="6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□增值税普通发票         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发票信息 （专票请填写1-5全部信息；普票填写1-2信息）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1、开票名称：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2、纳税人识别号：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3、地址、电话：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4、开户行及账号：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5、开票代码（六位）：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ind w:right="-107" w:rightChars="-51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住宿安排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单住□      标间□    订房数量</w:t>
            </w:r>
            <w:r>
              <w:rPr>
                <w:rFonts w:hint="eastAsia" w:ascii="仿宋" w:hAnsi="仿宋" w:eastAsia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间 ；自行安排□；其他说明：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费用总额</w:t>
            </w:r>
          </w:p>
        </w:tc>
        <w:tc>
          <w:tcPr>
            <w:tcW w:w="5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万     仟     佰     拾    元整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小写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付款方式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只接受银行汇款或转账，会议现场不安排收费                 □通过银行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指定收款</w:t>
            </w:r>
          </w:p>
          <w:p>
            <w:pPr>
              <w:snapToGrid w:val="0"/>
              <w:spacing w:line="260" w:lineRule="exact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账户</w:t>
            </w:r>
          </w:p>
        </w:tc>
        <w:tc>
          <w:tcPr>
            <w:tcW w:w="83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开户名称：北京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中建科信管理咨询集团有限公司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 户 行：中国工商银行北京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半壁店支行</w:t>
            </w:r>
          </w:p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账    号：0200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247009200068235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63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您目前所做的项目是？目前所面临的问题有哪些？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  <w:tc>
          <w:tcPr>
            <w:tcW w:w="3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</w:t>
            </w:r>
          </w:p>
          <w:p>
            <w:pPr>
              <w:snapToGrid w:val="0"/>
              <w:spacing w:line="260" w:lineRule="exact"/>
              <w:ind w:firstLine="1440" w:firstLineChars="6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单位印章                       </w:t>
            </w:r>
          </w:p>
          <w:p>
            <w:pPr>
              <w:snapToGrid w:val="0"/>
              <w:spacing w:line="26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  </w:t>
            </w:r>
          </w:p>
          <w:p>
            <w:pPr>
              <w:snapToGrid w:val="0"/>
              <w:spacing w:line="260" w:lineRule="exact"/>
              <w:ind w:firstLine="1200" w:firstLineChars="5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2023年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参加本次会议您想学习哪些内容？希望与专家交流的问题？                                             </w:t>
            </w:r>
          </w:p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98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报名负责人：聂红军 主任18211071700（微信）   </w:t>
            </w:r>
          </w:p>
          <w:p>
            <w:pPr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电  话：13141289128        邮    箱：zqgphwz@126.com  </w:t>
            </w:r>
            <w:bookmarkStart w:id="1" w:name="_GoBack"/>
            <w:bookmarkEnd w:id="1"/>
          </w:p>
          <w:p>
            <w:pPr>
              <w:snapToGrid w:val="0"/>
              <w:spacing w:line="260" w:lineRule="exact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qq咨询：3177524020        网    址：http://www.zqgpchina.cn</w:t>
            </w:r>
          </w:p>
        </w:tc>
      </w:tr>
    </w:tbl>
    <w:p>
      <w:pPr>
        <w:widowControl/>
        <w:spacing w:line="392" w:lineRule="exact"/>
        <w:rPr>
          <w:rFonts w:ascii="微软雅黑" w:hAnsi="微软雅黑" w:eastAsia="微软雅黑" w:cs="微软雅黑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E6CDDE"/>
    <w:multiLevelType w:val="singleLevel"/>
    <w:tmpl w:val="78E6CDD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WM5NTU3NmQwMzYzZGY2NjUyMjZkNDUzMDVhNDkifQ=="/>
  </w:docVars>
  <w:rsids>
    <w:rsidRoot w:val="3AA448E4"/>
    <w:rsid w:val="003C5DBD"/>
    <w:rsid w:val="00B8640E"/>
    <w:rsid w:val="00C37C7B"/>
    <w:rsid w:val="029200B6"/>
    <w:rsid w:val="034A70C0"/>
    <w:rsid w:val="03600692"/>
    <w:rsid w:val="046A2EF4"/>
    <w:rsid w:val="05107E95"/>
    <w:rsid w:val="06EE06AA"/>
    <w:rsid w:val="08AE6343"/>
    <w:rsid w:val="0958005D"/>
    <w:rsid w:val="0ACC6A2D"/>
    <w:rsid w:val="0B097861"/>
    <w:rsid w:val="0BDC722A"/>
    <w:rsid w:val="0C060244"/>
    <w:rsid w:val="0C3B1C9C"/>
    <w:rsid w:val="0C4766B0"/>
    <w:rsid w:val="105B0B5E"/>
    <w:rsid w:val="10D42F02"/>
    <w:rsid w:val="11AE2F10"/>
    <w:rsid w:val="11FA7F03"/>
    <w:rsid w:val="14542D6E"/>
    <w:rsid w:val="15826B8D"/>
    <w:rsid w:val="15875F52"/>
    <w:rsid w:val="160C71AE"/>
    <w:rsid w:val="16D42AD5"/>
    <w:rsid w:val="1A216409"/>
    <w:rsid w:val="1CCC02D7"/>
    <w:rsid w:val="1E1D38F7"/>
    <w:rsid w:val="1F614A68"/>
    <w:rsid w:val="21246D4B"/>
    <w:rsid w:val="227710FC"/>
    <w:rsid w:val="22CB597D"/>
    <w:rsid w:val="235C0A1E"/>
    <w:rsid w:val="23A3664D"/>
    <w:rsid w:val="24FB7DC2"/>
    <w:rsid w:val="27141B13"/>
    <w:rsid w:val="29791BFE"/>
    <w:rsid w:val="2B084FE7"/>
    <w:rsid w:val="2BD977CE"/>
    <w:rsid w:val="2C7768C8"/>
    <w:rsid w:val="2CAE0906"/>
    <w:rsid w:val="2D036772"/>
    <w:rsid w:val="2DA059AB"/>
    <w:rsid w:val="2F157F46"/>
    <w:rsid w:val="2F234AE5"/>
    <w:rsid w:val="2FAF45CB"/>
    <w:rsid w:val="2FF10740"/>
    <w:rsid w:val="315253FF"/>
    <w:rsid w:val="31F14A27"/>
    <w:rsid w:val="32684F19"/>
    <w:rsid w:val="34C41C96"/>
    <w:rsid w:val="36112CA5"/>
    <w:rsid w:val="36C56482"/>
    <w:rsid w:val="375F68D7"/>
    <w:rsid w:val="380B4369"/>
    <w:rsid w:val="38812041"/>
    <w:rsid w:val="39B06F76"/>
    <w:rsid w:val="3AA448E4"/>
    <w:rsid w:val="3AC151B3"/>
    <w:rsid w:val="3BDC6748"/>
    <w:rsid w:val="3C0417FB"/>
    <w:rsid w:val="3C236704"/>
    <w:rsid w:val="3C9B3F0D"/>
    <w:rsid w:val="3E452212"/>
    <w:rsid w:val="3E5A3954"/>
    <w:rsid w:val="3EBA43F3"/>
    <w:rsid w:val="3F2C70AF"/>
    <w:rsid w:val="3F5510B2"/>
    <w:rsid w:val="40664185"/>
    <w:rsid w:val="426E5C20"/>
    <w:rsid w:val="42B55221"/>
    <w:rsid w:val="43122A4F"/>
    <w:rsid w:val="44E623E5"/>
    <w:rsid w:val="44FC2063"/>
    <w:rsid w:val="44FF5E89"/>
    <w:rsid w:val="46853538"/>
    <w:rsid w:val="496D143E"/>
    <w:rsid w:val="49A976BD"/>
    <w:rsid w:val="4C06640E"/>
    <w:rsid w:val="4C760403"/>
    <w:rsid w:val="4CDF7E41"/>
    <w:rsid w:val="4DFE254E"/>
    <w:rsid w:val="4E984750"/>
    <w:rsid w:val="4F905428"/>
    <w:rsid w:val="51E77C7B"/>
    <w:rsid w:val="523D083D"/>
    <w:rsid w:val="53177C0E"/>
    <w:rsid w:val="539179C0"/>
    <w:rsid w:val="543E0D15"/>
    <w:rsid w:val="54660E4D"/>
    <w:rsid w:val="54747577"/>
    <w:rsid w:val="54751090"/>
    <w:rsid w:val="55DF2C65"/>
    <w:rsid w:val="58395546"/>
    <w:rsid w:val="587358E6"/>
    <w:rsid w:val="589F66DB"/>
    <w:rsid w:val="59172716"/>
    <w:rsid w:val="59283868"/>
    <w:rsid w:val="5A89319F"/>
    <w:rsid w:val="5AC229CF"/>
    <w:rsid w:val="5AD37AE0"/>
    <w:rsid w:val="5B76308C"/>
    <w:rsid w:val="5BA02E96"/>
    <w:rsid w:val="5BAC3AEF"/>
    <w:rsid w:val="5CA22C3E"/>
    <w:rsid w:val="5DB666C9"/>
    <w:rsid w:val="5FB72ACE"/>
    <w:rsid w:val="619F14FA"/>
    <w:rsid w:val="62230901"/>
    <w:rsid w:val="638D4615"/>
    <w:rsid w:val="66F347C2"/>
    <w:rsid w:val="68E1689C"/>
    <w:rsid w:val="6C263B08"/>
    <w:rsid w:val="6D0112BB"/>
    <w:rsid w:val="6F377216"/>
    <w:rsid w:val="70455963"/>
    <w:rsid w:val="71BC17A7"/>
    <w:rsid w:val="72225F5B"/>
    <w:rsid w:val="736E51D0"/>
    <w:rsid w:val="73CC2623"/>
    <w:rsid w:val="74E7523A"/>
    <w:rsid w:val="74F122BC"/>
    <w:rsid w:val="75B4336E"/>
    <w:rsid w:val="763B70FF"/>
    <w:rsid w:val="76C12371"/>
    <w:rsid w:val="77D0645A"/>
    <w:rsid w:val="77D22085"/>
    <w:rsid w:val="7C855A65"/>
    <w:rsid w:val="7C883429"/>
    <w:rsid w:val="7CE111F7"/>
    <w:rsid w:val="7D27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176" w:firstLine="200" w:firstLineChars="200"/>
    </w:pPr>
    <w:rPr>
      <w:rFonts w:ascii="仿宋" w:hAnsi="Times New Roman" w:eastAsia="仿宋"/>
      <w:sz w:val="24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4143</Words>
  <Characters>4320</Characters>
  <Lines>32</Lines>
  <Paragraphs>9</Paragraphs>
  <TotalTime>58</TotalTime>
  <ScaleCrop>false</ScaleCrop>
  <LinksUpToDate>false</LinksUpToDate>
  <CharactersWithSpaces>4812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2023-08-22T11:08:00Z</dcterms:created>
  <dc:creator>于</dc:creator>
  <cp:lastModifiedBy>聂红军</cp:lastModifiedBy>
  <dcterms:modified xsi:type="dcterms:W3CDTF">2023-08-25T02:41:39Z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87528C506C51479E9D11321E23B692A5_13</vt:lpwstr>
  </property>
</Properties>
</file>