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distribute"/>
        <w:rPr>
          <w:rFonts w:hint="eastAsia" w:ascii="仿宋" w:hAnsi="仿宋" w:eastAsia="仿宋" w:cs="仿宋"/>
          <w:color w:val="000000" w:themeColor="text1"/>
          <w:spacing w:val="-12"/>
          <w:sz w:val="28"/>
          <w:szCs w:val="28"/>
          <w14:textFill>
            <w14:solidFill>
              <w14:schemeClr w14:val="tx1"/>
            </w14:solidFill>
          </w14:textFill>
        </w:rPr>
      </w:pPr>
      <w:r>
        <w:rPr>
          <w:rFonts w:hint="eastAsia" w:asciiTheme="majorEastAsia" w:hAnsiTheme="majorEastAsia" w:eastAsiaTheme="majorEastAsia" w:cstheme="majorEastAsia"/>
          <w:b/>
          <w:bCs/>
          <w:color w:val="FF0000"/>
          <w:w w:val="80"/>
          <w:sz w:val="84"/>
          <w:szCs w:val="84"/>
        </w:rPr>
        <w:t>中国国际工程咨询协会</w:t>
      </w: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144145</wp:posOffset>
                </wp:positionV>
                <wp:extent cx="5775960" cy="13335"/>
                <wp:effectExtent l="0" t="0" r="0" b="0"/>
                <wp:wrapNone/>
                <wp:docPr id="2" name="直接连接符 1"/>
                <wp:cNvGraphicFramePr/>
                <a:graphic xmlns:a="http://schemas.openxmlformats.org/drawingml/2006/main">
                  <a:graphicData uri="http://schemas.microsoft.com/office/word/2010/wordprocessingShape">
                    <wps:wsp>
                      <wps:cNvCnPr/>
                      <wps:spPr>
                        <a:xfrm>
                          <a:off x="409575" y="2267585"/>
                          <a:ext cx="5775960" cy="13335"/>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margin-left:-1.5pt;margin-top:11.35pt;height:1.05pt;width:454.8pt;z-index:251666432;mso-width-relative:page;mso-height-relative:page;" filled="f" stroked="t" coordsize="21600,21600" o:gfxdata="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9c7XT1wAAAAgBAAAPAAAAAAAAAAEAIAAAACIAAABkcnMv&#10;ZG93bnJldi54bWxQSwECFAAUAAAACACHTuJA6k4jOwQCAAD2AwAADgAAAAAAAAABACAAAAAmAQAA&#10;ZHJzL2Uyb0RvYy54bWxQSwUGAAAAAAYABgBZAQAAnAU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s="华文中宋"/>
          <w:b/>
          <w:bCs/>
          <w:color w:val="000000" w:themeColor="text1"/>
          <w:kern w:val="0"/>
          <w:sz w:val="32"/>
          <w:szCs w:val="32"/>
          <w:shd w:val="clear" w:color="000000" w:fill="auto"/>
          <w14:textFill>
            <w14:solidFill>
              <w14:schemeClr w14:val="tx1"/>
            </w14:solidFill>
          </w14:textFill>
        </w:rPr>
      </w:pPr>
      <w:r>
        <w:rPr>
          <w:rFonts w:hint="eastAsia" w:ascii="华文中宋" w:hAnsi="华文中宋" w:eastAsia="华文中宋" w:cs="华文中宋"/>
          <w:b/>
          <w:bCs/>
          <w:color w:val="000000" w:themeColor="text1"/>
          <w:kern w:val="0"/>
          <w:sz w:val="32"/>
          <w:szCs w:val="32"/>
          <w:shd w:val="clear" w:color="000000" w:fill="auto"/>
          <w:lang w:val="en-US" w:eastAsia="zh-CN" w:bidi="ar-SA"/>
          <w14:textFill>
            <w14:solidFill>
              <w14:schemeClr w14:val="tx1"/>
            </w14:solidFill>
          </w14:textFill>
        </w:rPr>
        <w:t>关于举办行业困境下建筑企业求“破局”谋“发展”研讨暨政府、央企项目合作推介会议的通知</w:t>
      </w:r>
    </w:p>
    <w:p>
      <w:pPr>
        <w:adjustRightInd w:val="0"/>
        <w:snapToGrid w:val="0"/>
        <w:spacing w:line="300" w:lineRule="exact"/>
        <w:jc w:val="center"/>
        <w:rPr>
          <w:rFonts w:hint="eastAsia" w:ascii="仿宋" w:hAnsi="仿宋" w:eastAsia="仿宋" w:cs="仿宋"/>
          <w:b/>
          <w:bCs/>
          <w:color w:val="000000" w:themeColor="text1"/>
          <w:sz w:val="30"/>
          <w:szCs w:val="30"/>
          <w14:textFill>
            <w14:solidFill>
              <w14:schemeClr w14:val="tx1"/>
            </w14:solidFill>
          </w14:textFill>
        </w:rPr>
      </w:pPr>
    </w:p>
    <w:p>
      <w:pPr>
        <w:pStyle w:val="2"/>
        <w:ind w:firstLine="5656" w:firstLineChars="2200"/>
        <w:rPr>
          <w:rFonts w:hint="eastAsia" w:ascii="仿宋" w:hAnsi="仿宋" w:eastAsia="仿宋" w:cs="仿宋"/>
          <w:b/>
          <w:bCs/>
          <w:color w:val="000000" w:themeColor="text1"/>
          <w14:textFill>
            <w14:solidFill>
              <w14:schemeClr w14:val="tx1"/>
            </w14:solidFill>
          </w14:textFill>
        </w:rPr>
      </w:pPr>
      <w:r>
        <w:rPr>
          <w:rFonts w:hint="eastAsia" w:ascii="宋体" w:hAnsi="宋体" w:eastAsia="宋体" w:cs="宋体"/>
          <w:b/>
          <w:bCs/>
          <w:color w:val="000000" w:themeColor="text1"/>
          <w:spacing w:val="-12"/>
          <w:sz w:val="28"/>
          <w:szCs w:val="28"/>
          <w14:textFill>
            <w14:solidFill>
              <w14:schemeClr w14:val="tx1"/>
            </w14:solidFill>
          </w14:textFill>
        </w:rPr>
        <w:t>国咨协［202</w:t>
      </w:r>
      <w:r>
        <w:rPr>
          <w:rFonts w:hint="eastAsia" w:ascii="宋体" w:hAnsi="宋体" w:eastAsia="宋体" w:cs="宋体"/>
          <w:b/>
          <w:bCs/>
          <w:color w:val="000000" w:themeColor="text1"/>
          <w:spacing w:val="-12"/>
          <w:sz w:val="28"/>
          <w:szCs w:val="28"/>
          <w:lang w:val="en-US" w:eastAsia="zh-CN"/>
          <w14:textFill>
            <w14:solidFill>
              <w14:schemeClr w14:val="tx1"/>
            </w14:solidFill>
          </w14:textFill>
        </w:rPr>
        <w:t>3</w:t>
      </w:r>
      <w:r>
        <w:rPr>
          <w:rFonts w:hint="eastAsia" w:ascii="宋体" w:hAnsi="宋体" w:eastAsia="宋体" w:cs="宋体"/>
          <w:b/>
          <w:bCs/>
          <w:color w:val="000000" w:themeColor="text1"/>
          <w:spacing w:val="-12"/>
          <w:sz w:val="28"/>
          <w:szCs w:val="28"/>
          <w14:textFill>
            <w14:solidFill>
              <w14:schemeClr w14:val="tx1"/>
            </w14:solidFill>
          </w14:textFill>
        </w:rPr>
        <w:t>］</w:t>
      </w:r>
      <w:r>
        <w:rPr>
          <w:rFonts w:hint="eastAsia" w:ascii="宋体" w:hAnsi="宋体" w:cs="宋体"/>
          <w:b/>
          <w:bCs/>
          <w:color w:val="000000" w:themeColor="text1"/>
          <w:spacing w:val="-12"/>
          <w:sz w:val="28"/>
          <w:szCs w:val="28"/>
          <w:lang w:val="en-US" w:eastAsia="zh-CN"/>
          <w14:textFill>
            <w14:solidFill>
              <w14:schemeClr w14:val="tx1"/>
            </w14:solidFill>
          </w14:textFill>
        </w:rPr>
        <w:t>087</w:t>
      </w:r>
      <w:r>
        <w:rPr>
          <w:rFonts w:hint="eastAsia" w:ascii="宋体" w:hAnsi="宋体" w:eastAsia="宋体" w:cs="宋体"/>
          <w:b/>
          <w:bCs/>
          <w:color w:val="000000" w:themeColor="text1"/>
          <w:spacing w:val="-12"/>
          <w:sz w:val="28"/>
          <w:szCs w:val="28"/>
          <w14:textFill>
            <w14:solidFill>
              <w14:schemeClr w14:val="tx1"/>
            </w14:solidFill>
          </w14:textFill>
        </w:rPr>
        <w:t>号</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b/>
          <w:bCs/>
          <w:sz w:val="28"/>
          <w:szCs w:val="28"/>
          <w:lang w:val="en-US" w:eastAsia="zh-CN"/>
        </w:rPr>
      </w:pPr>
      <w:r>
        <w:rPr>
          <w:rFonts w:hint="eastAsia" w:ascii="仿宋" w:hAnsi="仿宋" w:eastAsia="仿宋" w:cs="仿宋"/>
          <w:b/>
          <w:kern w:val="0"/>
          <w:sz w:val="28"/>
          <w:szCs w:val="28"/>
        </w:rPr>
        <w:t>各有关单位：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截止4月30日，9家建筑央企2022年度报告已全部披露。报告显示，9家企业2022完成新签合同额15.56万亿元，2023年计划完成新签合同额16.52万亿元，据中国建筑业协会《2022年建筑业发展统计分析》纰漏，2022年我国建筑行业</w:t>
      </w:r>
      <w:r>
        <w:rPr>
          <w:rFonts w:hint="default" w:ascii="仿宋" w:hAnsi="仿宋" w:eastAsia="仿宋" w:cs="宋体"/>
          <w:kern w:val="0"/>
          <w:sz w:val="28"/>
          <w:szCs w:val="28"/>
          <w:shd w:val="clear"/>
          <w:lang w:val="en-US" w:eastAsia="zh-CN" w:bidi="ar-SA"/>
        </w:rPr>
        <w:t>新签合同额</w:t>
      </w:r>
      <w:r>
        <w:rPr>
          <w:rFonts w:hint="eastAsia" w:ascii="仿宋" w:hAnsi="仿宋" w:eastAsia="仿宋" w:cs="宋体"/>
          <w:kern w:val="0"/>
          <w:sz w:val="28"/>
          <w:szCs w:val="28"/>
          <w:shd w:val="clear"/>
          <w:lang w:val="en-US" w:eastAsia="zh-CN" w:bidi="ar-SA"/>
        </w:rPr>
        <w:t>为</w:t>
      </w:r>
      <w:r>
        <w:rPr>
          <w:rFonts w:hint="default" w:ascii="仿宋" w:hAnsi="仿宋" w:eastAsia="仿宋" w:cs="宋体"/>
          <w:kern w:val="0"/>
          <w:sz w:val="28"/>
          <w:szCs w:val="28"/>
          <w:shd w:val="clear"/>
          <w:lang w:val="en-US" w:eastAsia="zh-CN" w:bidi="ar-SA"/>
        </w:rPr>
        <w:t>366481.35 亿元</w:t>
      </w:r>
      <w:r>
        <w:rPr>
          <w:rFonts w:hint="eastAsia" w:ascii="仿宋" w:hAnsi="仿宋" w:eastAsia="仿宋" w:cs="宋体"/>
          <w:kern w:val="0"/>
          <w:sz w:val="28"/>
          <w:szCs w:val="28"/>
          <w:shd w:val="clear"/>
          <w:lang w:val="en-US" w:eastAsia="zh-CN" w:bidi="ar-SA"/>
        </w:rPr>
        <w:t>，可以推测，9家建筑央企与各省级建工、建投企业在新签合同的占比中会超过60%。2023年随着央企的“突飞猛进”这一占比仍会增大。截至2022年底，全国共有建筑业企业143621家，从新签合同占比可以看出目前的现状是国有及国有控股建筑业企业把控了大部分的资源、项目，且相关企业数量仍在不断增长，民营中小建筑业企业生存愈加困难。</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随着房地产行业下行对建筑业的强烈冲击，以及建筑央企不断下沉拓展市场，地方国企和民企面临的竞争压力会逐步增大，当前已经出现了承接不到项目、现金流危机、人员流失等诸多问题。为助力地方国企和民企解决当前企业遇到的问题，能够拥抱变化寻求转型突破，特定于2023年10月在北京市举办“行业困境下建筑企业求“破局</w:t>
      </w:r>
      <w:r>
        <w:rPr>
          <w:rFonts w:hint="default" w:ascii="仿宋" w:hAnsi="仿宋" w:eastAsia="仿宋" w:cs="宋体"/>
          <w:kern w:val="0"/>
          <w:sz w:val="28"/>
          <w:szCs w:val="28"/>
          <w:shd w:val="clear"/>
          <w:lang w:val="en-US" w:eastAsia="zh-CN" w:bidi="ar-SA"/>
        </w:rPr>
        <w:t>”</w:t>
      </w:r>
      <w:r>
        <w:rPr>
          <w:rFonts w:hint="eastAsia" w:ascii="仿宋" w:hAnsi="仿宋" w:eastAsia="仿宋" w:cs="宋体"/>
          <w:kern w:val="0"/>
          <w:sz w:val="28"/>
          <w:szCs w:val="28"/>
          <w:shd w:val="clear"/>
          <w:lang w:val="en-US" w:eastAsia="zh-CN" w:bidi="ar-SA"/>
        </w:rPr>
        <w:t>谋“发展”研讨暨政府、央企项目合作推介”会议。培训结束后颁发中国国际工程咨询协会培训结业证书，请各单位积极组织本单位及下属单位相关人员参加。本次会议将会邀请2地政府领导进行地区重点项目推介，2家建筑央企公司进行重点区域、重点项目及在跟进项目的合作推介。现将有关事项通知如下：</w:t>
      </w:r>
    </w:p>
    <w:p>
      <w:pPr>
        <w:pStyle w:val="1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b/>
          <w:bCs/>
          <w:kern w:val="0"/>
          <w:sz w:val="28"/>
          <w:szCs w:val="28"/>
          <w:shd w:val="clear"/>
          <w:lang w:val="en-US" w:eastAsia="zh-CN" w:bidi="ar-SA"/>
        </w:rPr>
        <w:t>一、培训内容（第一天 9:00——17:00）</w:t>
      </w:r>
      <w:r>
        <w:rPr>
          <w:rFonts w:hint="eastAsia" w:ascii="仿宋" w:hAnsi="仿宋" w:eastAsia="仿宋" w:cs="宋体"/>
          <w:b/>
          <w:bCs/>
          <w:kern w:val="0"/>
          <w:sz w:val="28"/>
          <w:szCs w:val="28"/>
          <w:shd w:val="clear"/>
          <w:lang w:val="en-US" w:eastAsia="zh-CN" w:bidi="ar-SA"/>
        </w:rPr>
        <w:br w:type="textWrapping"/>
      </w:r>
      <w:r>
        <w:rPr>
          <w:rFonts w:hint="eastAsia" w:ascii="仿宋" w:hAnsi="仿宋" w:eastAsia="仿宋" w:cs="宋体"/>
          <w:kern w:val="0"/>
          <w:sz w:val="28"/>
          <w:szCs w:val="28"/>
          <w:shd w:val="clear"/>
          <w:lang w:val="en-US" w:eastAsia="zh-CN" w:bidi="ar-SA"/>
        </w:rPr>
        <w:t>（一）宏观环境——当前建筑企业面临的挑战和机遇</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1.当前建筑业发展的阶段特征以及九大改变；</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2.各类业主高负债、高杠杆使建筑企业经营风险不断攀升的挑战；</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3.央企不断下沉市场，地方国企和民企的机会在哪里？</w:t>
      </w:r>
      <w:r>
        <w:rPr>
          <w:rFonts w:hint="eastAsia" w:ascii="仿宋" w:hAnsi="仿宋" w:eastAsia="仿宋" w:cs="宋体"/>
          <w:kern w:val="0"/>
          <w:sz w:val="28"/>
          <w:szCs w:val="28"/>
          <w:shd w:val="clear"/>
          <w:lang w:val="en-US" w:eastAsia="zh-CN" w:bidi="ar-SA"/>
        </w:rPr>
        <w:br w:type="textWrapping"/>
      </w:r>
      <w:r>
        <w:rPr>
          <w:rFonts w:hint="eastAsia" w:ascii="仿宋" w:hAnsi="仿宋" w:eastAsia="仿宋" w:cs="宋体"/>
          <w:kern w:val="0"/>
          <w:sz w:val="28"/>
          <w:szCs w:val="28"/>
          <w:shd w:val="clear"/>
          <w:lang w:val="en-US" w:eastAsia="zh-CN" w:bidi="ar-SA"/>
        </w:rPr>
        <w:t>4.商业模式向“投建营”全产业链一体化发展延伸的应对；</w:t>
      </w:r>
    </w:p>
    <w:p>
      <w:pPr>
        <w:keepNext w:val="0"/>
        <w:keepLines w:val="0"/>
        <w:pageBreakBefore w:val="0"/>
        <w:widowControl/>
        <w:numPr>
          <w:ilvl w:val="0"/>
          <w:numId w:val="0"/>
        </w:numPr>
        <w:kinsoku/>
        <w:wordWrap/>
        <w:overflowPunct/>
        <w:topLinePunct w:val="0"/>
        <w:autoSpaceDE w:val="0"/>
        <w:autoSpaceDN w:val="0"/>
        <w:bidi w:val="0"/>
        <w:adjustRightInd w:val="0"/>
        <w:spacing w:line="240" w:lineRule="auto"/>
        <w:jc w:val="left"/>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5.《中共中央 国务院关于促进民营经济发展壮大的意见》展望。</w:t>
      </w:r>
      <w:r>
        <w:rPr>
          <w:rFonts w:hint="eastAsia" w:ascii="仿宋" w:hAnsi="仿宋" w:eastAsia="仿宋" w:cs="宋体"/>
          <w:kern w:val="0"/>
          <w:sz w:val="28"/>
          <w:szCs w:val="28"/>
          <w:shd w:val="clear"/>
          <w:lang w:val="en-US" w:eastAsia="zh-CN" w:bidi="ar-SA"/>
        </w:rPr>
        <w:br w:type="textWrapping"/>
      </w:r>
      <w:r>
        <w:rPr>
          <w:rFonts w:hint="eastAsia" w:ascii="仿宋" w:hAnsi="仿宋" w:eastAsia="仿宋" w:cs="宋体"/>
          <w:kern w:val="0"/>
          <w:sz w:val="28"/>
          <w:szCs w:val="28"/>
          <w:shd w:val="clear"/>
          <w:lang w:val="en-US" w:eastAsia="zh-CN" w:bidi="ar-SA"/>
        </w:rPr>
        <w:t>（二）“打转型战”——有效把握机遇的资源配置与积累</w:t>
      </w:r>
      <w:r>
        <w:rPr>
          <w:rFonts w:hint="eastAsia" w:ascii="仿宋" w:hAnsi="仿宋" w:eastAsia="仿宋" w:cs="宋体"/>
          <w:kern w:val="0"/>
          <w:sz w:val="28"/>
          <w:szCs w:val="28"/>
          <w:shd w:val="clear"/>
          <w:lang w:val="en-US" w:eastAsia="zh-CN" w:bidi="ar-SA"/>
        </w:rPr>
        <w:br w:type="textWrapping"/>
      </w:r>
      <w:r>
        <w:rPr>
          <w:rFonts w:hint="eastAsia" w:ascii="仿宋" w:hAnsi="仿宋" w:eastAsia="仿宋" w:cs="宋体"/>
          <w:kern w:val="0"/>
          <w:sz w:val="28"/>
          <w:szCs w:val="28"/>
          <w:shd w:val="clear"/>
          <w:lang w:val="en-US" w:eastAsia="zh-CN" w:bidi="ar-SA"/>
        </w:rPr>
        <w:t>1.当前建筑行业破局的三个关键问题；</w:t>
      </w:r>
    </w:p>
    <w:p>
      <w:pPr>
        <w:pStyle w:val="1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2.如何盘点规划自身资金、人员、物料、设备、实体组织五类资源；</w:t>
      </w:r>
    </w:p>
    <w:p>
      <w:pPr>
        <w:pStyle w:val="1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3.围绕“专精特新”选定方向并拟定专项的资源配置计划；</w:t>
      </w:r>
    </w:p>
    <w:p>
      <w:pPr>
        <w:pStyle w:val="1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4.如何整合产业链、供应链与生态链。</w:t>
      </w:r>
      <w:r>
        <w:rPr>
          <w:rFonts w:hint="eastAsia" w:ascii="仿宋" w:hAnsi="仿宋" w:eastAsia="仿宋" w:cs="宋体"/>
          <w:kern w:val="0"/>
          <w:sz w:val="28"/>
          <w:szCs w:val="28"/>
          <w:shd w:val="clear"/>
          <w:lang w:val="en-US" w:eastAsia="zh-CN" w:bidi="ar-SA"/>
        </w:rPr>
        <w:br w:type="textWrapping"/>
      </w:r>
      <w:r>
        <w:rPr>
          <w:rFonts w:hint="eastAsia" w:ascii="仿宋" w:hAnsi="仿宋" w:eastAsia="仿宋" w:cs="宋体"/>
          <w:kern w:val="0"/>
          <w:sz w:val="28"/>
          <w:szCs w:val="28"/>
          <w:shd w:val="clear"/>
          <w:lang w:val="en-US" w:eastAsia="zh-CN" w:bidi="ar-SA"/>
        </w:rPr>
        <w:t>（三）“项目为王”——国家重点投资建设方向、领域</w:t>
      </w:r>
      <w:r>
        <w:rPr>
          <w:rFonts w:hint="eastAsia" w:ascii="仿宋" w:hAnsi="仿宋" w:eastAsia="仿宋" w:cs="宋体"/>
          <w:kern w:val="0"/>
          <w:sz w:val="28"/>
          <w:szCs w:val="28"/>
          <w:shd w:val="clear"/>
          <w:lang w:val="en-US" w:eastAsia="zh-CN" w:bidi="ar-SA"/>
        </w:rPr>
        <w:br w:type="textWrapping"/>
      </w:r>
      <w:r>
        <w:rPr>
          <w:rFonts w:hint="eastAsia" w:ascii="仿宋" w:hAnsi="仿宋" w:eastAsia="仿宋" w:cs="宋体"/>
          <w:kern w:val="0"/>
          <w:sz w:val="28"/>
          <w:szCs w:val="28"/>
          <w:shd w:val="clear"/>
          <w:lang w:val="en-US" w:eastAsia="zh-CN" w:bidi="ar-SA"/>
        </w:rPr>
        <w:t>1.乡村振兴与粮食安全的国家战略方向；</w:t>
      </w:r>
    </w:p>
    <w:p>
      <w:pPr>
        <w:pStyle w:val="1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2.新基建与新能源，明确纳入专项债支持领域；</w:t>
      </w:r>
      <w:r>
        <w:rPr>
          <w:rFonts w:hint="eastAsia" w:ascii="仿宋" w:hAnsi="仿宋" w:eastAsia="仿宋" w:cs="宋体"/>
          <w:kern w:val="0"/>
          <w:sz w:val="28"/>
          <w:szCs w:val="28"/>
          <w:shd w:val="clear"/>
          <w:lang w:val="en-US" w:eastAsia="zh-CN" w:bidi="ar-SA"/>
        </w:rPr>
        <w:br w:type="textWrapping"/>
      </w:r>
      <w:r>
        <w:rPr>
          <w:rFonts w:hint="eastAsia" w:ascii="仿宋" w:hAnsi="仿宋" w:eastAsia="仿宋" w:cs="宋体"/>
          <w:kern w:val="0"/>
          <w:sz w:val="28"/>
          <w:szCs w:val="28"/>
          <w:shd w:val="clear"/>
          <w:lang w:val="en-US" w:eastAsia="zh-CN" w:bidi="ar-SA"/>
        </w:rPr>
        <w:t>3.水利（水运）重大项目应开尽开、能开尽开；</w:t>
      </w:r>
      <w:r>
        <w:rPr>
          <w:rFonts w:hint="eastAsia" w:ascii="仿宋" w:hAnsi="仿宋" w:eastAsia="仿宋" w:cs="宋体"/>
          <w:kern w:val="0"/>
          <w:sz w:val="28"/>
          <w:szCs w:val="28"/>
          <w:shd w:val="clear"/>
          <w:lang w:val="en-US" w:eastAsia="zh-CN" w:bidi="ar-SA"/>
        </w:rPr>
        <w:br w:type="textWrapping"/>
      </w:r>
      <w:r>
        <w:rPr>
          <w:rFonts w:hint="eastAsia" w:ascii="仿宋" w:hAnsi="仿宋" w:eastAsia="仿宋" w:cs="宋体"/>
          <w:kern w:val="0"/>
          <w:sz w:val="28"/>
          <w:szCs w:val="28"/>
          <w:shd w:val="clear"/>
          <w:lang w:val="en-US" w:eastAsia="zh-CN" w:bidi="ar-SA"/>
        </w:rPr>
        <w:t>4.生态环保领域项目+EOD“绿水青山就是金山银山”；</w:t>
      </w:r>
      <w:r>
        <w:rPr>
          <w:rFonts w:hint="eastAsia" w:ascii="仿宋" w:hAnsi="仿宋" w:eastAsia="仿宋" w:cs="宋体"/>
          <w:kern w:val="0"/>
          <w:sz w:val="28"/>
          <w:szCs w:val="28"/>
          <w:shd w:val="clear"/>
          <w:lang w:val="en-US" w:eastAsia="zh-CN" w:bidi="ar-SA"/>
        </w:rPr>
        <w:br w:type="textWrapping"/>
      </w:r>
      <w:r>
        <w:rPr>
          <w:rFonts w:hint="eastAsia" w:ascii="仿宋" w:hAnsi="仿宋" w:eastAsia="仿宋" w:cs="宋体"/>
          <w:kern w:val="0"/>
          <w:sz w:val="28"/>
          <w:szCs w:val="28"/>
          <w:shd w:val="clear"/>
          <w:lang w:val="en-US" w:eastAsia="zh-CN" w:bidi="ar-SA"/>
        </w:rPr>
        <w:t>5.关注十四五时期国家重点建设的核心区域。</w:t>
      </w:r>
      <w:r>
        <w:rPr>
          <w:rFonts w:hint="eastAsia" w:ascii="仿宋" w:hAnsi="仿宋" w:eastAsia="仿宋" w:cs="宋体"/>
          <w:kern w:val="0"/>
          <w:sz w:val="28"/>
          <w:szCs w:val="28"/>
          <w:shd w:val="clear"/>
          <w:lang w:val="en-US" w:eastAsia="zh-CN" w:bidi="ar-SA"/>
        </w:rPr>
        <w:br w:type="textWrapping"/>
      </w:r>
      <w:r>
        <w:rPr>
          <w:rFonts w:hint="eastAsia" w:ascii="仿宋" w:hAnsi="仿宋" w:eastAsia="仿宋" w:cs="宋体"/>
          <w:kern w:val="0"/>
          <w:sz w:val="28"/>
          <w:szCs w:val="28"/>
          <w:shd w:val="clear"/>
          <w:lang w:val="en-US" w:eastAsia="zh-CN" w:bidi="ar-SA"/>
        </w:rPr>
        <w:t>（四）自“我”突破——“破局”转型策略</w:t>
      </w:r>
      <w:r>
        <w:rPr>
          <w:rFonts w:hint="eastAsia" w:ascii="仿宋" w:hAnsi="仿宋" w:eastAsia="仿宋" w:cs="宋体"/>
          <w:kern w:val="0"/>
          <w:sz w:val="28"/>
          <w:szCs w:val="28"/>
          <w:shd w:val="clear"/>
          <w:lang w:val="en-US" w:eastAsia="zh-CN" w:bidi="ar-SA"/>
        </w:rPr>
        <w:br w:type="textWrapping"/>
      </w:r>
      <w:r>
        <w:rPr>
          <w:rFonts w:hint="eastAsia" w:ascii="仿宋" w:hAnsi="仿宋" w:eastAsia="仿宋" w:cs="宋体"/>
          <w:kern w:val="0"/>
          <w:sz w:val="28"/>
          <w:szCs w:val="28"/>
          <w:shd w:val="clear"/>
          <w:lang w:val="en-US" w:eastAsia="zh-CN" w:bidi="ar-SA"/>
        </w:rPr>
        <w:t>1.知“取舍”，制定契合的企业战略方向及3年发展规划；</w:t>
      </w:r>
    </w:p>
    <w:p>
      <w:pPr>
        <w:pStyle w:val="1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2.拥抱“专精特新”，靶定新发展方向，做业务结构调整；</w:t>
      </w:r>
    </w:p>
    <w:p>
      <w:pPr>
        <w:pStyle w:val="1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3.紧盯投资方向，转化甲乙方思维，帮政府策划项目再接项目；</w:t>
      </w:r>
    </w:p>
    <w:p>
      <w:pPr>
        <w:pStyle w:val="1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4.助力建筑业工程企业获取项目的辅助利器——产业导入；</w:t>
      </w:r>
    </w:p>
    <w:p>
      <w:pPr>
        <w:pStyle w:val="1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4.转型成功典型案例分析</w:t>
      </w:r>
      <w:r>
        <w:rPr>
          <w:rFonts w:hint="eastAsia" w:ascii="仿宋" w:hAnsi="仿宋" w:eastAsia="仿宋" w:cs="宋体"/>
          <w:kern w:val="0"/>
          <w:sz w:val="28"/>
          <w:szCs w:val="28"/>
          <w:shd w:val="clear"/>
          <w:lang w:val="en-US" w:eastAsia="zh-CN" w:bidi="ar-SA"/>
        </w:rPr>
        <w:br w:type="textWrapping"/>
      </w:r>
      <w:r>
        <w:rPr>
          <w:rFonts w:hint="eastAsia" w:ascii="仿宋" w:hAnsi="仿宋" w:eastAsia="仿宋" w:cs="宋体"/>
          <w:kern w:val="0"/>
          <w:sz w:val="28"/>
          <w:szCs w:val="28"/>
          <w:shd w:val="clear"/>
          <w:lang w:val="en-US" w:eastAsia="zh-CN" w:bidi="ar-SA"/>
        </w:rPr>
        <w:br w:type="textWrapping"/>
      </w:r>
      <w:r>
        <w:rPr>
          <w:rFonts w:hint="eastAsia" w:ascii="仿宋" w:hAnsi="仿宋" w:eastAsia="仿宋" w:cs="宋体"/>
          <w:b/>
          <w:bCs/>
          <w:kern w:val="0"/>
          <w:sz w:val="28"/>
          <w:szCs w:val="28"/>
          <w:shd w:val="clear"/>
          <w:lang w:val="en-US" w:eastAsia="zh-CN" w:bidi="ar-SA"/>
        </w:rPr>
        <w:t>二、研讨内容（第一天18:30——22:00）</w:t>
      </w:r>
      <w:r>
        <w:rPr>
          <w:rFonts w:hint="eastAsia" w:ascii="仿宋" w:hAnsi="仿宋" w:eastAsia="仿宋" w:cs="宋体"/>
          <w:b/>
          <w:bCs/>
          <w:kern w:val="0"/>
          <w:sz w:val="28"/>
          <w:szCs w:val="28"/>
          <w:shd w:val="clear"/>
          <w:lang w:val="en-US" w:eastAsia="zh-CN" w:bidi="ar-SA"/>
        </w:rPr>
        <w:br w:type="textWrapping"/>
      </w:r>
      <w:r>
        <w:rPr>
          <w:rFonts w:hint="eastAsia" w:ascii="仿宋" w:hAnsi="仿宋" w:eastAsia="仿宋" w:cs="宋体"/>
          <w:kern w:val="0"/>
          <w:sz w:val="28"/>
          <w:szCs w:val="28"/>
          <w:shd w:val="clear"/>
          <w:lang w:val="en-US" w:eastAsia="zh-CN" w:bidi="ar-SA"/>
        </w:rPr>
        <w:t>（一）热点政策解读与跟踪，企业如何利用好政策？</w:t>
      </w:r>
    </w:p>
    <w:p>
      <w:pPr>
        <w:pStyle w:val="1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（二）“三人行必有我师”：优秀企业转型经验分享研讨。</w:t>
      </w:r>
      <w:r>
        <w:rPr>
          <w:rFonts w:hint="eastAsia" w:ascii="仿宋" w:hAnsi="仿宋" w:eastAsia="仿宋" w:cs="宋体"/>
          <w:kern w:val="0"/>
          <w:sz w:val="28"/>
          <w:szCs w:val="28"/>
          <w:shd w:val="clear"/>
          <w:lang w:val="en-US" w:eastAsia="zh-CN" w:bidi="ar-SA"/>
        </w:rPr>
        <w:br w:type="textWrapping"/>
      </w:r>
      <w:r>
        <w:rPr>
          <w:rFonts w:hint="eastAsia" w:ascii="仿宋" w:hAnsi="仿宋" w:eastAsia="仿宋" w:cs="宋体"/>
          <w:kern w:val="0"/>
          <w:sz w:val="28"/>
          <w:szCs w:val="28"/>
          <w:shd w:val="clear"/>
          <w:lang w:val="en-US" w:eastAsia="zh-CN" w:bidi="ar-SA"/>
        </w:rPr>
        <w:br w:type="textWrapping"/>
      </w:r>
      <w:r>
        <w:rPr>
          <w:rFonts w:hint="eastAsia" w:ascii="仿宋" w:hAnsi="仿宋" w:eastAsia="仿宋" w:cs="宋体"/>
          <w:b/>
          <w:bCs/>
          <w:kern w:val="0"/>
          <w:sz w:val="28"/>
          <w:szCs w:val="28"/>
          <w:shd w:val="clear"/>
          <w:lang w:val="en-US" w:eastAsia="zh-CN" w:bidi="ar-SA"/>
        </w:rPr>
        <w:t>三、拟邀项目推荐政府（第二天 9：00——12:00）</w:t>
      </w:r>
      <w:r>
        <w:rPr>
          <w:rFonts w:hint="eastAsia" w:ascii="仿宋" w:hAnsi="仿宋" w:eastAsia="仿宋" w:cs="宋体"/>
          <w:b/>
          <w:bCs/>
          <w:kern w:val="0"/>
          <w:sz w:val="28"/>
          <w:szCs w:val="28"/>
          <w:shd w:val="clear"/>
          <w:lang w:val="en-US" w:eastAsia="zh-CN" w:bidi="ar-SA"/>
        </w:rPr>
        <w:br w:type="textWrapping"/>
      </w:r>
      <w:r>
        <w:rPr>
          <w:rFonts w:hint="eastAsia" w:ascii="仿宋" w:hAnsi="仿宋" w:eastAsia="仿宋" w:cs="宋体"/>
          <w:kern w:val="0"/>
          <w:sz w:val="28"/>
          <w:szCs w:val="28"/>
          <w:shd w:val="clear"/>
          <w:lang w:val="en-US" w:eastAsia="zh-CN" w:bidi="ar-SA"/>
        </w:rPr>
        <w:t xml:space="preserve">河北省张家口市  湖北省监利市  内蒙古自治区赤峰市  </w:t>
      </w:r>
      <w:r>
        <w:rPr>
          <w:rFonts w:hint="eastAsia" w:ascii="仿宋" w:hAnsi="仿宋" w:eastAsia="仿宋" w:cs="宋体"/>
          <w:kern w:val="0"/>
          <w:sz w:val="28"/>
          <w:szCs w:val="28"/>
          <w:shd w:val="clear"/>
          <w:lang w:val="en-US" w:eastAsia="zh-CN" w:bidi="ar-SA"/>
        </w:rPr>
        <w:br w:type="textWrapping"/>
      </w:r>
      <w:r>
        <w:rPr>
          <w:rFonts w:hint="eastAsia" w:ascii="仿宋" w:hAnsi="仿宋" w:eastAsia="仿宋" w:cs="宋体"/>
          <w:kern w:val="0"/>
          <w:sz w:val="28"/>
          <w:szCs w:val="28"/>
          <w:shd w:val="clear"/>
          <w:lang w:val="en-US" w:eastAsia="zh-CN" w:bidi="ar-SA"/>
        </w:rPr>
        <w:t>河南省南阳市    青海省玉树市  安徽省亳州市</w:t>
      </w:r>
      <w:r>
        <w:rPr>
          <w:rFonts w:hint="eastAsia" w:ascii="仿宋" w:hAnsi="仿宋" w:eastAsia="仿宋" w:cs="宋体"/>
          <w:kern w:val="0"/>
          <w:sz w:val="28"/>
          <w:szCs w:val="28"/>
          <w:shd w:val="clear"/>
          <w:lang w:val="en-US" w:eastAsia="zh-CN" w:bidi="ar-SA"/>
        </w:rPr>
        <w:br w:type="textWrapping"/>
      </w:r>
      <w:r>
        <w:rPr>
          <w:rFonts w:hint="eastAsia" w:ascii="仿宋" w:hAnsi="仿宋" w:eastAsia="仿宋" w:cs="宋体"/>
          <w:kern w:val="0"/>
          <w:sz w:val="28"/>
          <w:szCs w:val="28"/>
          <w:shd w:val="clear"/>
          <w:lang w:val="en-US" w:eastAsia="zh-CN" w:bidi="ar-SA"/>
        </w:rPr>
        <w:t>（以上地区六选二）</w:t>
      </w:r>
      <w:r>
        <w:rPr>
          <w:rFonts w:hint="eastAsia" w:ascii="仿宋" w:hAnsi="仿宋" w:eastAsia="仿宋" w:cs="宋体"/>
          <w:kern w:val="0"/>
          <w:sz w:val="28"/>
          <w:szCs w:val="28"/>
          <w:shd w:val="clear"/>
          <w:lang w:val="en-US" w:eastAsia="zh-CN" w:bidi="ar-SA"/>
        </w:rPr>
        <w:br w:type="textWrapping"/>
      </w:r>
    </w:p>
    <w:p>
      <w:pPr>
        <w:pStyle w:val="6"/>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b/>
          <w:bCs/>
          <w:kern w:val="0"/>
          <w:sz w:val="28"/>
          <w:szCs w:val="28"/>
          <w:shd w:val="clear"/>
          <w:lang w:val="en-US" w:eastAsia="zh-CN" w:bidi="ar-SA"/>
        </w:rPr>
        <w:t>四、拟邀央企建筑单位（第二天：14:00——17:00）</w:t>
      </w:r>
      <w:r>
        <w:rPr>
          <w:rFonts w:hint="eastAsia" w:ascii="仿宋" w:hAnsi="仿宋" w:eastAsia="仿宋" w:cs="宋体"/>
          <w:b/>
          <w:bCs/>
          <w:kern w:val="0"/>
          <w:sz w:val="28"/>
          <w:szCs w:val="28"/>
          <w:shd w:val="clear"/>
          <w:lang w:val="en-US" w:eastAsia="zh-CN" w:bidi="ar-SA"/>
        </w:rPr>
        <w:br w:type="textWrapping"/>
      </w:r>
      <w:r>
        <w:rPr>
          <w:rFonts w:hint="eastAsia" w:ascii="仿宋" w:hAnsi="仿宋" w:eastAsia="仿宋" w:cs="宋体"/>
          <w:kern w:val="0"/>
          <w:sz w:val="28"/>
          <w:szCs w:val="28"/>
          <w:shd w:val="clear"/>
          <w:lang w:val="en-US" w:eastAsia="zh-CN" w:bidi="ar-SA"/>
        </w:rPr>
        <w:t>中国水利水电第四工程局有限公司  中国能建葛洲坝生态环保公司</w:t>
      </w:r>
      <w:r>
        <w:rPr>
          <w:rFonts w:hint="eastAsia" w:ascii="仿宋" w:hAnsi="仿宋" w:eastAsia="仿宋" w:cs="宋体"/>
          <w:kern w:val="0"/>
          <w:sz w:val="28"/>
          <w:szCs w:val="28"/>
          <w:shd w:val="clear"/>
          <w:lang w:val="en-US" w:eastAsia="zh-CN" w:bidi="ar-SA"/>
        </w:rPr>
        <w:br w:type="textWrapping"/>
      </w:r>
      <w:r>
        <w:rPr>
          <w:rFonts w:hint="eastAsia" w:ascii="仿宋" w:hAnsi="仿宋" w:eastAsia="仿宋" w:cs="宋体"/>
          <w:kern w:val="0"/>
          <w:sz w:val="28"/>
          <w:szCs w:val="28"/>
          <w:shd w:val="clear"/>
          <w:lang w:val="en-US" w:eastAsia="zh-CN" w:bidi="ar-SA"/>
        </w:rPr>
        <w:t>中信建设有限责任公司  中建二局北京分公司  中电建路桥集团</w:t>
      </w:r>
      <w:r>
        <w:rPr>
          <w:rFonts w:hint="eastAsia" w:ascii="仿宋" w:hAnsi="仿宋" w:eastAsia="仿宋" w:cs="宋体"/>
          <w:kern w:val="0"/>
          <w:sz w:val="28"/>
          <w:szCs w:val="28"/>
          <w:shd w:val="clear"/>
          <w:lang w:val="en-US" w:eastAsia="zh-CN" w:bidi="ar-SA"/>
        </w:rPr>
        <w:br w:type="textWrapping"/>
      </w:r>
      <w:r>
        <w:rPr>
          <w:rFonts w:hint="eastAsia" w:ascii="仿宋" w:hAnsi="仿宋" w:eastAsia="仿宋" w:cs="宋体"/>
          <w:kern w:val="0"/>
          <w:sz w:val="28"/>
          <w:szCs w:val="28"/>
          <w:shd w:val="clear"/>
          <w:lang w:val="en-US" w:eastAsia="zh-CN" w:bidi="ar-SA"/>
        </w:rPr>
        <w:t>（以上企业五选二）</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157" w:beforeLines="50" w:after="0" w:line="240" w:lineRule="auto"/>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b/>
          <w:bCs/>
          <w:kern w:val="0"/>
          <w:sz w:val="28"/>
          <w:szCs w:val="28"/>
          <w:shd w:val="clear"/>
          <w:lang w:val="en-US" w:eastAsia="zh-CN" w:bidi="ar-SA"/>
        </w:rPr>
        <w:t>五、拟邀嘉宾</w:t>
      </w:r>
      <w:r>
        <w:rPr>
          <w:rFonts w:hint="eastAsia" w:ascii="仿宋" w:hAnsi="仿宋" w:eastAsia="仿宋" w:cs="宋体"/>
          <w:b/>
          <w:bCs/>
          <w:kern w:val="0"/>
          <w:sz w:val="28"/>
          <w:szCs w:val="28"/>
          <w:shd w:val="clear"/>
          <w:lang w:val="en-US" w:eastAsia="zh-CN" w:bidi="ar-SA"/>
        </w:rPr>
        <w:br w:type="textWrapping"/>
      </w:r>
      <w:r>
        <w:rPr>
          <w:rFonts w:hint="eastAsia" w:ascii="仿宋" w:hAnsi="仿宋" w:eastAsia="仿宋" w:cs="宋体"/>
          <w:kern w:val="0"/>
          <w:sz w:val="28"/>
          <w:szCs w:val="28"/>
          <w:shd w:val="clear"/>
          <w:lang w:val="en-US" w:eastAsia="zh-CN" w:bidi="ar-SA"/>
        </w:rPr>
        <w:t>1.培训研讨专家：</w:t>
      </w:r>
      <w:r>
        <w:rPr>
          <w:rFonts w:hint="eastAsia" w:ascii="仿宋" w:hAnsi="仿宋" w:eastAsia="仿宋" w:cs="宋体"/>
          <w:kern w:val="0"/>
          <w:sz w:val="28"/>
          <w:szCs w:val="28"/>
          <w:shd w:val="clear"/>
          <w:lang w:val="en-US" w:eastAsia="zh-CN" w:bidi="ar-SA"/>
        </w:rPr>
        <w:br w:type="textWrapping"/>
      </w:r>
      <w:r>
        <w:rPr>
          <w:rFonts w:hint="eastAsia" w:ascii="仿宋" w:hAnsi="仿宋" w:eastAsia="仿宋" w:cs="宋体"/>
          <w:b/>
          <w:bCs/>
          <w:kern w:val="0"/>
          <w:sz w:val="28"/>
          <w:szCs w:val="28"/>
          <w:shd w:val="clear"/>
          <w:lang w:val="en-US" w:eastAsia="zh-CN" w:bidi="ar-SA"/>
        </w:rPr>
        <w:t>欣老师</w:t>
      </w:r>
      <w:r>
        <w:rPr>
          <w:rFonts w:hint="eastAsia" w:ascii="仿宋" w:hAnsi="仿宋" w:eastAsia="仿宋" w:cs="宋体"/>
          <w:kern w:val="0"/>
          <w:sz w:val="28"/>
          <w:szCs w:val="28"/>
          <w:shd w:val="clear"/>
          <w:lang w:val="en-US" w:eastAsia="zh-CN" w:bidi="ar-SA"/>
        </w:rPr>
        <w:t>：任职于某央企（A+H股两地上市央企）市场开发部，高级经济师，毕业于北京大学经济学院。十多年来在市场一线从事项目全流程开发，具有丰富的民建、市政、工业类项目的实战开发经验。2009年至今先后在国内多个省市主导开发了近百个大型项目，负责项目商务谈判、风险识别、招投标及合同签署，曾经任该央企雄安新区片区开发负责人。</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157" w:beforeLines="50" w:after="0" w:line="240" w:lineRule="auto"/>
        <w:textAlignment w:val="auto"/>
        <w:rPr>
          <w:rFonts w:hint="default" w:ascii="仿宋" w:hAnsi="仿宋" w:eastAsia="仿宋" w:cs="宋体"/>
          <w:kern w:val="0"/>
          <w:sz w:val="28"/>
          <w:szCs w:val="28"/>
          <w:shd w:val="clear"/>
          <w:lang w:val="en-US" w:eastAsia="zh-CN" w:bidi="ar-SA"/>
        </w:rPr>
      </w:pPr>
      <w:r>
        <w:rPr>
          <w:rFonts w:hint="eastAsia" w:ascii="仿宋" w:hAnsi="仿宋" w:eastAsia="仿宋" w:cs="宋体"/>
          <w:b/>
          <w:bCs/>
          <w:kern w:val="0"/>
          <w:sz w:val="28"/>
          <w:szCs w:val="28"/>
          <w:shd w:val="clear"/>
          <w:lang w:val="en-US" w:eastAsia="zh-CN" w:bidi="ar-SA"/>
        </w:rPr>
        <w:t>霍老师</w:t>
      </w:r>
      <w:r>
        <w:rPr>
          <w:rFonts w:hint="eastAsia" w:ascii="仿宋" w:hAnsi="仿宋" w:eastAsia="仿宋" w:cs="宋体"/>
          <w:kern w:val="0"/>
          <w:sz w:val="28"/>
          <w:szCs w:val="28"/>
          <w:shd w:val="clear"/>
          <w:lang w:val="en-US" w:eastAsia="zh-CN" w:bidi="ar-SA"/>
        </w:rPr>
        <w:t>：工程师、高级讲师、投融资专家、PPP高级咨询顾问；中国投资协会农林与环境中心特聘专家；曾担任大型建筑施工国有企业市场部负责人，目前受聘多家建筑类央企及地方政府顾问。</w:t>
      </w:r>
      <w:r>
        <w:rPr>
          <w:rFonts w:hint="eastAsia" w:ascii="仿宋" w:hAnsi="仿宋" w:eastAsia="仿宋" w:cs="宋体"/>
          <w:kern w:val="0"/>
          <w:sz w:val="28"/>
          <w:szCs w:val="28"/>
          <w:shd w:val="clear"/>
          <w:lang w:val="en-US" w:eastAsia="zh-CN" w:bidi="ar-SA"/>
        </w:rPr>
        <w:br w:type="textWrapping"/>
      </w:r>
      <w:r>
        <w:rPr>
          <w:rFonts w:hint="eastAsia" w:ascii="仿宋" w:hAnsi="仿宋" w:eastAsia="仿宋" w:cs="宋体"/>
          <w:kern w:val="0"/>
          <w:sz w:val="28"/>
          <w:szCs w:val="28"/>
          <w:shd w:val="clear"/>
          <w:lang w:val="en-US" w:eastAsia="zh-CN" w:bidi="ar-SA"/>
        </w:rPr>
        <w:t>2.政府项目推介领导：常务副县长及以上领导</w:t>
      </w:r>
      <w:r>
        <w:rPr>
          <w:rFonts w:hint="eastAsia" w:ascii="仿宋" w:hAnsi="仿宋" w:eastAsia="仿宋" w:cs="宋体"/>
          <w:kern w:val="0"/>
          <w:sz w:val="28"/>
          <w:szCs w:val="28"/>
          <w:shd w:val="clear"/>
          <w:lang w:val="en-US" w:eastAsia="zh-CN" w:bidi="ar-SA"/>
        </w:rPr>
        <w:br w:type="textWrapping"/>
      </w:r>
      <w:r>
        <w:rPr>
          <w:rFonts w:hint="eastAsia" w:ascii="仿宋" w:hAnsi="仿宋" w:eastAsia="仿宋" w:cs="宋体"/>
          <w:kern w:val="0"/>
          <w:sz w:val="28"/>
          <w:szCs w:val="28"/>
          <w:shd w:val="clear"/>
          <w:lang w:val="en-US" w:eastAsia="zh-CN" w:bidi="ar-SA"/>
        </w:rPr>
        <w:t>3.央企项目推介合作领导：副总经理及以上领导</w:t>
      </w:r>
    </w:p>
    <w:p>
      <w:pPr>
        <w:pStyle w:val="5"/>
        <w:spacing w:line="240" w:lineRule="auto"/>
        <w:ind w:left="0" w:leftChars="0" w:firstLine="0" w:firstLineChars="0"/>
        <w:rPr>
          <w:rFonts w:hint="default" w:ascii="仿宋" w:hAnsi="仿宋" w:eastAsia="仿宋" w:cs="宋体"/>
          <w:b/>
          <w:bCs/>
          <w:kern w:val="0"/>
          <w:sz w:val="28"/>
          <w:szCs w:val="28"/>
          <w:shd w:val="clear"/>
          <w:lang w:val="en-US" w:eastAsia="zh-CN" w:bidi="ar-SA"/>
        </w:rPr>
      </w:pPr>
      <w:r>
        <w:rPr>
          <w:rFonts w:hint="eastAsia" w:ascii="仿宋" w:hAnsi="仿宋" w:eastAsia="仿宋" w:cs="宋体"/>
          <w:b/>
          <w:bCs/>
          <w:kern w:val="0"/>
          <w:sz w:val="28"/>
          <w:szCs w:val="28"/>
          <w:shd w:val="clear"/>
          <w:lang w:val="en-US" w:eastAsia="zh-CN" w:bidi="ar-SA"/>
        </w:rPr>
        <w:t>五、培训对象</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1. 地方国企、民营建筑企业董事长、总经理或战略部、市场部等负责人；</w:t>
      </w:r>
      <w:r>
        <w:rPr>
          <w:rFonts w:hint="eastAsia" w:ascii="仿宋" w:hAnsi="仿宋" w:eastAsia="仿宋" w:cs="宋体"/>
          <w:kern w:val="0"/>
          <w:sz w:val="28"/>
          <w:szCs w:val="28"/>
          <w:shd w:val="clear"/>
          <w:lang w:val="en-US" w:eastAsia="zh-CN" w:bidi="ar-SA"/>
        </w:rPr>
        <w:br w:type="textWrapping"/>
      </w:r>
      <w:r>
        <w:rPr>
          <w:rFonts w:hint="eastAsia" w:ascii="仿宋" w:hAnsi="仿宋" w:eastAsia="仿宋" w:cs="宋体"/>
          <w:kern w:val="0"/>
          <w:sz w:val="28"/>
          <w:szCs w:val="28"/>
          <w:shd w:val="clear"/>
          <w:lang w:val="en-US" w:eastAsia="zh-CN" w:bidi="ar-SA"/>
        </w:rPr>
        <w:t>2. 围绕工程建设上下游勘察设计单位、工程咨询单位、项目管理公司负责人；</w:t>
      </w:r>
    </w:p>
    <w:p>
      <w:pPr>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宋体"/>
          <w:b/>
          <w:bCs/>
          <w:kern w:val="0"/>
          <w:sz w:val="28"/>
          <w:szCs w:val="28"/>
          <w:shd w:val="clear"/>
          <w:lang w:val="en-US" w:eastAsia="zh-CN" w:bidi="ar-SA"/>
        </w:rPr>
      </w:pPr>
      <w:r>
        <w:rPr>
          <w:rFonts w:hint="eastAsia" w:ascii="仿宋" w:hAnsi="仿宋" w:eastAsia="仿宋" w:cs="宋体"/>
          <w:b/>
          <w:bCs/>
          <w:kern w:val="0"/>
          <w:sz w:val="28"/>
          <w:szCs w:val="28"/>
          <w:shd w:val="clear"/>
          <w:lang w:val="en-US" w:eastAsia="zh-CN" w:bidi="ar-SA"/>
        </w:rPr>
        <w:t>六、时间地点</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56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2023年10月13日—10月16日    北京市 （13日全天报到）</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rPr>
          <w:rFonts w:hint="eastAsia" w:ascii="仿宋" w:hAnsi="仿宋" w:eastAsia="仿宋" w:cs="宋体"/>
          <w:b/>
          <w:bCs/>
          <w:kern w:val="0"/>
          <w:sz w:val="28"/>
          <w:szCs w:val="28"/>
          <w:shd w:val="clear"/>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rPr>
          <w:rFonts w:hint="eastAsia" w:ascii="仿宋" w:hAnsi="仿宋" w:eastAsia="仿宋" w:cs="宋体"/>
          <w:b/>
          <w:bCs/>
          <w:kern w:val="0"/>
          <w:sz w:val="28"/>
          <w:szCs w:val="28"/>
          <w:shd w:val="clear"/>
          <w:lang w:val="en-US" w:eastAsia="zh-CN" w:bidi="ar-SA"/>
        </w:rPr>
      </w:pPr>
      <w:r>
        <w:rPr>
          <w:rFonts w:hint="eastAsia" w:ascii="仿宋" w:hAnsi="仿宋" w:eastAsia="仿宋" w:cs="宋体"/>
          <w:b/>
          <w:bCs/>
          <w:kern w:val="0"/>
          <w:sz w:val="28"/>
          <w:szCs w:val="28"/>
          <w:shd w:val="clear"/>
          <w:lang w:val="en-US" w:eastAsia="zh-CN" w:bidi="ar-SA"/>
        </w:rPr>
        <w:t>七、收费标准</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A.3600元/人（含培训、资料、电子课件、场地及培训期间午餐），住宿统一安排，费用自理。</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B.5600元/人（含培训、资料、电子课件、场地、证书及培训期间午餐），住宿统一安排，费用自理。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宋体"/>
          <w:b/>
          <w:bCs/>
          <w:kern w:val="0"/>
          <w:sz w:val="28"/>
          <w:szCs w:val="28"/>
          <w:shd w:val="clear"/>
          <w:lang w:val="en-US" w:eastAsia="zh-CN" w:bidi="ar-SA"/>
        </w:rPr>
      </w:pPr>
      <w:r>
        <w:rPr>
          <w:rFonts w:hint="eastAsia" w:ascii="仿宋" w:hAnsi="仿宋" w:eastAsia="仿宋" w:cs="宋体"/>
          <w:b/>
          <w:bCs/>
          <w:kern w:val="0"/>
          <w:sz w:val="28"/>
          <w:szCs w:val="28"/>
          <w:shd w:val="clear"/>
          <w:lang w:val="en-US" w:eastAsia="zh-CN" w:bidi="ar-SA"/>
        </w:rPr>
        <w:t>八、课程权益</w:t>
      </w:r>
    </w:p>
    <w:p>
      <w:pPr>
        <w:pStyle w:val="2"/>
        <w:keepNext w:val="0"/>
        <w:keepLines w:val="0"/>
        <w:pageBreakBefore w:val="0"/>
        <w:kinsoku/>
        <w:wordWrap/>
        <w:overflowPunct/>
        <w:topLinePunct w:val="0"/>
        <w:autoSpaceDE/>
        <w:autoSpaceDN/>
        <w:bidi w:val="0"/>
        <w:adjustRightInd/>
        <w:snapToGrid/>
        <w:spacing w:line="240" w:lineRule="auto"/>
        <w:ind w:left="0" w:leftChars="0" w:firstLine="56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1.本培训班常年举办，本人全年免费复训一次，只交资料费300元即可；</w:t>
      </w:r>
    </w:p>
    <w:p>
      <w:pPr>
        <w:pStyle w:val="2"/>
        <w:keepNext w:val="0"/>
        <w:keepLines w:val="0"/>
        <w:pageBreakBefore w:val="0"/>
        <w:kinsoku/>
        <w:wordWrap/>
        <w:overflowPunct/>
        <w:topLinePunct w:val="0"/>
        <w:autoSpaceDE/>
        <w:autoSpaceDN/>
        <w:bidi w:val="0"/>
        <w:adjustRightInd/>
        <w:snapToGrid/>
        <w:spacing w:line="240" w:lineRule="auto"/>
        <w:ind w:left="0" w:leftChars="0" w:firstLine="56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 xml:space="preserve">2.推送各类行业政策新闻及专家解读相关资讯信息； </w:t>
      </w:r>
    </w:p>
    <w:p>
      <w:pPr>
        <w:pStyle w:val="2"/>
        <w:keepNext w:val="0"/>
        <w:keepLines w:val="0"/>
        <w:pageBreakBefore w:val="0"/>
        <w:kinsoku/>
        <w:wordWrap/>
        <w:overflowPunct/>
        <w:topLinePunct w:val="0"/>
        <w:autoSpaceDE/>
        <w:autoSpaceDN/>
        <w:bidi w:val="0"/>
        <w:adjustRightInd/>
        <w:snapToGrid/>
        <w:spacing w:line="240" w:lineRule="auto"/>
        <w:ind w:left="0" w:leftChars="0" w:firstLine="56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 xml:space="preserve">3.享有最新优质项目推送权益； </w:t>
      </w:r>
    </w:p>
    <w:p>
      <w:pPr>
        <w:keepNext w:val="0"/>
        <w:keepLines w:val="0"/>
        <w:pageBreakBefore w:val="0"/>
        <w:widowControl w:val="0"/>
        <w:kinsoku/>
        <w:wordWrap/>
        <w:overflowPunct/>
        <w:topLinePunct w:val="0"/>
        <w:bidi w:val="0"/>
        <w:snapToGrid/>
        <w:spacing w:line="240" w:lineRule="auto"/>
        <w:ind w:firstLine="560" w:firstLineChars="200"/>
        <w:textAlignment w:val="auto"/>
        <w:rPr>
          <w:rFonts w:hint="default"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培训结束后，经考核合格，由我会颁发《工程总承包项目经理》、《合同经理》或《设计经理》证书，需提供申报表、二寸蓝底免冠彩色照片、身份证复印件、学历证书复印件等电子版材料。</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八、联系方式</w:t>
      </w:r>
    </w:p>
    <w:p>
      <w:pPr>
        <w:pStyle w:val="2"/>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 xml:space="preserve">报名负责人：聂红军 主任18211071700（微信）   </w:t>
      </w:r>
    </w:p>
    <w:p>
      <w:pPr>
        <w:pStyle w:val="2"/>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 xml:space="preserve">电  话：13141289128        邮    箱：zqgphwz@126.com  </w:t>
      </w:r>
    </w:p>
    <w:p>
      <w:pPr>
        <w:pStyle w:val="2"/>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qq咨询：3177524020        网    址：http://www.zqgpchina.cn</w:t>
      </w:r>
    </w:p>
    <w:p>
      <w:pPr>
        <w:pStyle w:val="2"/>
        <w:rPr>
          <w:rFonts w:hint="eastAsia" w:ascii="仿宋" w:hAnsi="仿宋" w:eastAsia="仿宋" w:cs="宋体"/>
          <w:kern w:val="0"/>
          <w:sz w:val="28"/>
          <w:szCs w:val="28"/>
          <w:shd w:val="clear"/>
          <w:lang w:val="en-US" w:eastAsia="zh-CN" w:bidi="ar-SA"/>
        </w:rPr>
      </w:pPr>
    </w:p>
    <w:p>
      <w:pPr>
        <w:pStyle w:val="2"/>
        <w:rPr>
          <w:rFonts w:hint="eastAsia" w:ascii="仿宋" w:hAnsi="仿宋" w:eastAsia="仿宋" w:cs="宋体"/>
          <w:kern w:val="0"/>
          <w:sz w:val="28"/>
          <w:szCs w:val="28"/>
          <w:shd w:val="clear"/>
          <w:lang w:val="en-US" w:eastAsia="zh-CN" w:bidi="ar-SA"/>
        </w:rPr>
      </w:pPr>
    </w:p>
    <w:p>
      <w:pPr>
        <w:pStyle w:val="2"/>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drawing>
          <wp:anchor distT="0" distB="0" distL="114300" distR="114300" simplePos="0" relativeHeight="251664384" behindDoc="1" locked="0" layoutInCell="1" allowOverlap="1">
            <wp:simplePos x="0" y="0"/>
            <wp:positionH relativeFrom="column">
              <wp:posOffset>3451860</wp:posOffset>
            </wp:positionH>
            <wp:positionV relativeFrom="paragraph">
              <wp:posOffset>389890</wp:posOffset>
            </wp:positionV>
            <wp:extent cx="1452245" cy="1442720"/>
            <wp:effectExtent l="0" t="0" r="635" b="1905"/>
            <wp:wrapNone/>
            <wp:docPr id="10"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中国国际工程咨询协会（无背景）"/>
                    <pic:cNvPicPr>
                      <a:picLocks noChangeAspect="1" noChangeArrowheads="1"/>
                    </pic:cNvPicPr>
                  </pic:nvPicPr>
                  <pic:blipFill>
                    <a:blip r:embed="rId4">
                      <a:lum bright="22000"/>
                    </a:blip>
                    <a:srcRect/>
                    <a:stretch>
                      <a:fillRect/>
                    </a:stretch>
                  </pic:blipFill>
                  <pic:spPr>
                    <a:xfrm>
                      <a:off x="0" y="0"/>
                      <a:ext cx="1452245" cy="1442720"/>
                    </a:xfrm>
                    <a:prstGeom prst="rect">
                      <a:avLst/>
                    </a:prstGeom>
                    <a:noFill/>
                    <a:ln w="9525">
                      <a:noFill/>
                      <a:miter lim="800000"/>
                      <a:headEnd/>
                      <a:tailEnd/>
                    </a:ln>
                  </pic:spPr>
                </pic:pic>
              </a:graphicData>
            </a:graphic>
          </wp:anchor>
        </w:drawing>
      </w:r>
    </w:p>
    <w:p>
      <w:pPr>
        <w:pStyle w:val="2"/>
        <w:ind w:left="0" w:leftChars="0" w:firstLine="0" w:firstLineChars="0"/>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drawing>
          <wp:anchor distT="0" distB="0" distL="114300" distR="114300" simplePos="0" relativeHeight="251663360" behindDoc="1" locked="0" layoutInCell="1" allowOverlap="1">
            <wp:simplePos x="0" y="0"/>
            <wp:positionH relativeFrom="column">
              <wp:posOffset>2343150</wp:posOffset>
            </wp:positionH>
            <wp:positionV relativeFrom="paragraph">
              <wp:posOffset>8577580</wp:posOffset>
            </wp:positionV>
            <wp:extent cx="1451610" cy="1443355"/>
            <wp:effectExtent l="0" t="0" r="1270" b="1270"/>
            <wp:wrapNone/>
            <wp:docPr id="7"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中国国际工程咨询协会（无背景）"/>
                    <pic:cNvPicPr>
                      <a:picLocks noChangeAspect="1"/>
                    </pic:cNvPicPr>
                  </pic:nvPicPr>
                  <pic:blipFill>
                    <a:blip r:embed="rId5">
                      <a:lum bright="22000"/>
                    </a:blip>
                    <a:stretch>
                      <a:fillRect/>
                    </a:stretch>
                  </pic:blipFill>
                  <pic:spPr>
                    <a:xfrm>
                      <a:off x="0" y="0"/>
                      <a:ext cx="1451610" cy="1443355"/>
                    </a:xfrm>
                    <a:prstGeom prst="rect">
                      <a:avLst/>
                    </a:prstGeom>
                    <a:noFill/>
                    <a:ln>
                      <a:noFill/>
                    </a:ln>
                  </pic:spPr>
                </pic:pic>
              </a:graphicData>
            </a:graphic>
          </wp:anchor>
        </w:drawing>
      </w:r>
    </w:p>
    <w:p>
      <w:pPr>
        <w:pStyle w:val="2"/>
        <w:ind w:firstLine="5040" w:firstLineChars="1800"/>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中</w:t>
      </w:r>
      <w:r>
        <w:rPr>
          <w:rFonts w:hint="eastAsia" w:ascii="仿宋" w:hAnsi="仿宋" w:eastAsia="仿宋" w:cs="宋体"/>
          <w:kern w:val="0"/>
          <w:sz w:val="28"/>
          <w:szCs w:val="28"/>
          <w:shd w:val="clear"/>
          <w:lang w:val="en-US" w:eastAsia="zh-CN" w:bidi="ar-SA"/>
        </w:rPr>
        <w:drawing>
          <wp:anchor distT="0" distB="0" distL="114300" distR="114300" simplePos="0" relativeHeight="251662336" behindDoc="1" locked="0" layoutInCell="1" allowOverlap="1">
            <wp:simplePos x="0" y="0"/>
            <wp:positionH relativeFrom="column">
              <wp:posOffset>4513580</wp:posOffset>
            </wp:positionH>
            <wp:positionV relativeFrom="paragraph">
              <wp:posOffset>8467090</wp:posOffset>
            </wp:positionV>
            <wp:extent cx="1451610" cy="1443355"/>
            <wp:effectExtent l="0" t="0" r="1270" b="1270"/>
            <wp:wrapNone/>
            <wp:docPr id="6"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中国国际工程咨询协会（无背景）"/>
                    <pic:cNvPicPr>
                      <a:picLocks noChangeAspect="1"/>
                    </pic:cNvPicPr>
                  </pic:nvPicPr>
                  <pic:blipFill>
                    <a:blip r:embed="rId5">
                      <a:lum bright="22000"/>
                    </a:blip>
                    <a:stretch>
                      <a:fillRect/>
                    </a:stretch>
                  </pic:blipFill>
                  <pic:spPr>
                    <a:xfrm>
                      <a:off x="0" y="0"/>
                      <a:ext cx="1451610" cy="1443355"/>
                    </a:xfrm>
                    <a:prstGeom prst="rect">
                      <a:avLst/>
                    </a:prstGeom>
                    <a:noFill/>
                    <a:ln>
                      <a:noFill/>
                    </a:ln>
                  </pic:spPr>
                </pic:pic>
              </a:graphicData>
            </a:graphic>
          </wp:anchor>
        </w:drawing>
      </w:r>
      <w:r>
        <w:rPr>
          <w:rFonts w:hint="eastAsia" w:ascii="仿宋" w:hAnsi="仿宋" w:eastAsia="仿宋" w:cs="宋体"/>
          <w:kern w:val="0"/>
          <w:sz w:val="28"/>
          <w:szCs w:val="28"/>
          <w:shd w:val="clear"/>
          <w:lang w:val="en-US" w:eastAsia="zh-CN" w:bidi="ar-SA"/>
        </w:rPr>
        <w:t>国国际</w:t>
      </w:r>
      <w:r>
        <w:rPr>
          <w:rFonts w:hint="eastAsia" w:ascii="仿宋" w:hAnsi="仿宋" w:eastAsia="仿宋" w:cs="宋体"/>
          <w:kern w:val="0"/>
          <w:sz w:val="28"/>
          <w:szCs w:val="28"/>
          <w:shd w:val="clear"/>
          <w:lang w:val="en-US" w:eastAsia="zh-CN" w:bidi="ar-SA"/>
        </w:rPr>
        <w:drawing>
          <wp:anchor distT="0" distB="0" distL="114300" distR="114300" simplePos="0" relativeHeight="251660288" behindDoc="1" locked="0" layoutInCell="1" allowOverlap="1">
            <wp:simplePos x="0" y="0"/>
            <wp:positionH relativeFrom="column">
              <wp:posOffset>4361180</wp:posOffset>
            </wp:positionH>
            <wp:positionV relativeFrom="paragraph">
              <wp:posOffset>8314690</wp:posOffset>
            </wp:positionV>
            <wp:extent cx="1451610" cy="1443355"/>
            <wp:effectExtent l="0" t="0" r="1270" b="1270"/>
            <wp:wrapNone/>
            <wp:docPr id="4"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中国国际工程咨询协会（无背景）"/>
                    <pic:cNvPicPr>
                      <a:picLocks noChangeAspect="1"/>
                    </pic:cNvPicPr>
                  </pic:nvPicPr>
                  <pic:blipFill>
                    <a:blip r:embed="rId5">
                      <a:lum bright="22000"/>
                    </a:blip>
                    <a:stretch>
                      <a:fillRect/>
                    </a:stretch>
                  </pic:blipFill>
                  <pic:spPr>
                    <a:xfrm>
                      <a:off x="0" y="0"/>
                      <a:ext cx="1451610" cy="1443355"/>
                    </a:xfrm>
                    <a:prstGeom prst="rect">
                      <a:avLst/>
                    </a:prstGeom>
                    <a:noFill/>
                    <a:ln>
                      <a:noFill/>
                    </a:ln>
                  </pic:spPr>
                </pic:pic>
              </a:graphicData>
            </a:graphic>
          </wp:anchor>
        </w:drawing>
      </w:r>
      <w:r>
        <w:rPr>
          <w:rFonts w:hint="eastAsia" w:ascii="仿宋" w:hAnsi="仿宋" w:eastAsia="仿宋" w:cs="宋体"/>
          <w:kern w:val="0"/>
          <w:sz w:val="28"/>
          <w:szCs w:val="28"/>
          <w:shd w:val="clear"/>
          <w:lang w:val="en-US" w:eastAsia="zh-CN" w:bidi="ar-SA"/>
        </w:rPr>
        <w:t>工</w:t>
      </w:r>
      <w:r>
        <w:rPr>
          <w:rFonts w:hint="eastAsia" w:ascii="仿宋" w:hAnsi="仿宋" w:eastAsia="仿宋" w:cs="宋体"/>
          <w:kern w:val="0"/>
          <w:sz w:val="28"/>
          <w:szCs w:val="28"/>
          <w:shd w:val="clear"/>
          <w:lang w:val="en-US" w:eastAsia="zh-CN" w:bidi="ar-SA"/>
        </w:rPr>
        <w:drawing>
          <wp:anchor distT="0" distB="0" distL="114300" distR="114300" simplePos="0" relativeHeight="251659264" behindDoc="1" locked="0" layoutInCell="1" allowOverlap="1">
            <wp:simplePos x="0" y="0"/>
            <wp:positionH relativeFrom="column">
              <wp:posOffset>4208780</wp:posOffset>
            </wp:positionH>
            <wp:positionV relativeFrom="paragraph">
              <wp:posOffset>8162290</wp:posOffset>
            </wp:positionV>
            <wp:extent cx="1451610" cy="1443355"/>
            <wp:effectExtent l="0" t="0" r="1270" b="1270"/>
            <wp:wrapNone/>
            <wp:docPr id="3"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中国国际工程咨询协会（无背景）"/>
                    <pic:cNvPicPr>
                      <a:picLocks noChangeAspect="1"/>
                    </pic:cNvPicPr>
                  </pic:nvPicPr>
                  <pic:blipFill>
                    <a:blip r:embed="rId5">
                      <a:lum bright="22000"/>
                    </a:blip>
                    <a:stretch>
                      <a:fillRect/>
                    </a:stretch>
                  </pic:blipFill>
                  <pic:spPr>
                    <a:xfrm>
                      <a:off x="0" y="0"/>
                      <a:ext cx="1451610" cy="1443355"/>
                    </a:xfrm>
                    <a:prstGeom prst="rect">
                      <a:avLst/>
                    </a:prstGeom>
                    <a:noFill/>
                    <a:ln>
                      <a:noFill/>
                    </a:ln>
                  </pic:spPr>
                </pic:pic>
              </a:graphicData>
            </a:graphic>
          </wp:anchor>
        </w:drawing>
      </w:r>
      <w:r>
        <w:rPr>
          <w:rFonts w:hint="eastAsia" w:ascii="仿宋" w:hAnsi="仿宋" w:eastAsia="仿宋" w:cs="宋体"/>
          <w:kern w:val="0"/>
          <w:sz w:val="28"/>
          <w:szCs w:val="28"/>
          <w:shd w:val="clear"/>
          <w:lang w:val="en-US" w:eastAsia="zh-CN" w:bidi="ar-SA"/>
        </w:rPr>
        <w:t>程咨询协会</w:t>
      </w:r>
    </w:p>
    <w:p>
      <w:pPr>
        <w:pStyle w:val="2"/>
        <w:ind w:firstLine="5040" w:firstLineChars="1800"/>
        <w:rPr>
          <w:rFonts w:hint="default"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二0二三年</w:t>
      </w:r>
      <w:r>
        <w:rPr>
          <w:rFonts w:hint="default" w:ascii="仿宋" w:hAnsi="仿宋" w:eastAsia="仿宋" w:cs="宋体"/>
          <w:kern w:val="0"/>
          <w:sz w:val="28"/>
          <w:szCs w:val="28"/>
          <w:shd w:val="clear"/>
          <w:lang w:val="en-US" w:eastAsia="zh-CN" w:bidi="ar-SA"/>
        </w:rPr>
        <w:drawing>
          <wp:anchor distT="0" distB="0" distL="114300" distR="114300" simplePos="0" relativeHeight="251661312" behindDoc="1" locked="0" layoutInCell="1" allowOverlap="1">
            <wp:simplePos x="0" y="0"/>
            <wp:positionH relativeFrom="column">
              <wp:posOffset>4208780</wp:posOffset>
            </wp:positionH>
            <wp:positionV relativeFrom="paragraph">
              <wp:posOffset>8162290</wp:posOffset>
            </wp:positionV>
            <wp:extent cx="1451610" cy="1443355"/>
            <wp:effectExtent l="0" t="0" r="1270" b="1270"/>
            <wp:wrapNone/>
            <wp:docPr id="5"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中国国际工程咨询协会（无背景）"/>
                    <pic:cNvPicPr>
                      <a:picLocks noChangeAspect="1"/>
                    </pic:cNvPicPr>
                  </pic:nvPicPr>
                  <pic:blipFill>
                    <a:blip r:embed="rId5">
                      <a:lum bright="22000"/>
                    </a:blip>
                    <a:stretch>
                      <a:fillRect/>
                    </a:stretch>
                  </pic:blipFill>
                  <pic:spPr>
                    <a:xfrm>
                      <a:off x="0" y="0"/>
                      <a:ext cx="1451610" cy="1443355"/>
                    </a:xfrm>
                    <a:prstGeom prst="rect">
                      <a:avLst/>
                    </a:prstGeom>
                    <a:noFill/>
                    <a:ln>
                      <a:noFill/>
                    </a:ln>
                  </pic:spPr>
                </pic:pic>
              </a:graphicData>
            </a:graphic>
          </wp:anchor>
        </w:drawing>
      </w:r>
      <w:r>
        <w:rPr>
          <w:rFonts w:hint="eastAsia" w:hAnsi="仿宋" w:cs="宋体"/>
          <w:kern w:val="0"/>
          <w:sz w:val="28"/>
          <w:szCs w:val="28"/>
          <w:shd w:val="clear"/>
          <w:lang w:val="en-US" w:eastAsia="zh-CN" w:bidi="ar-SA"/>
        </w:rPr>
        <w:t>八</w:t>
      </w:r>
      <w:r>
        <w:rPr>
          <w:rFonts w:hint="eastAsia" w:ascii="仿宋" w:hAnsi="仿宋" w:eastAsia="仿宋" w:cs="宋体"/>
          <w:kern w:val="0"/>
          <w:sz w:val="28"/>
          <w:szCs w:val="28"/>
          <w:shd w:val="clear"/>
          <w:lang w:val="en-US" w:eastAsia="zh-CN" w:bidi="ar-SA"/>
        </w:rPr>
        <w:t>月</w:t>
      </w:r>
      <w:r>
        <w:rPr>
          <w:rFonts w:hint="eastAsia" w:hAnsi="仿宋" w:cs="宋体"/>
          <w:kern w:val="0"/>
          <w:sz w:val="28"/>
          <w:szCs w:val="28"/>
          <w:shd w:val="clear"/>
          <w:lang w:val="en-US" w:eastAsia="zh-CN" w:bidi="ar-SA"/>
        </w:rPr>
        <w:t>二十</w:t>
      </w:r>
      <w:r>
        <w:rPr>
          <w:rFonts w:hint="eastAsia" w:ascii="仿宋" w:hAnsi="仿宋" w:eastAsia="仿宋" w:cs="宋体"/>
          <w:kern w:val="0"/>
          <w:sz w:val="28"/>
          <w:szCs w:val="28"/>
          <w:shd w:val="clear"/>
          <w:lang w:val="en-US" w:eastAsia="zh-CN" w:bidi="ar-SA"/>
        </w:rPr>
        <w:t>日</w:t>
      </w:r>
    </w:p>
    <w:p>
      <w:pPr>
        <w:pStyle w:val="2"/>
        <w:ind w:left="0" w:leftChars="0" w:firstLine="0" w:firstLineChars="0"/>
        <w:rPr>
          <w:rFonts w:hint="eastAsia" w:ascii="仿宋" w:hAnsi="仿宋" w:eastAsia="仿宋" w:cs="仿宋"/>
          <w:b/>
          <w:bCs w:val="0"/>
          <w:color w:val="000000" w:themeColor="text1"/>
          <w:sz w:val="28"/>
          <w:szCs w:val="28"/>
          <w:lang w:eastAsia="zh-CN"/>
          <w14:textFill>
            <w14:solidFill>
              <w14:schemeClr w14:val="tx1"/>
            </w14:solidFill>
          </w14:textFill>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20" w:lineRule="exact"/>
        <w:textAlignment w:val="auto"/>
        <w:rPr>
          <w:rFonts w:hint="default"/>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20" w:lineRule="exact"/>
        <w:textAlignment w:val="auto"/>
        <w:rPr>
          <w:rFonts w:hint="default"/>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20" w:lineRule="exact"/>
        <w:textAlignment w:val="auto"/>
        <w:rPr>
          <w:rFonts w:hint="default"/>
          <w:lang w:val="en-US" w:eastAsia="zh-CN"/>
        </w:rPr>
      </w:pPr>
    </w:p>
    <w:p>
      <w:pPr>
        <w:pStyle w:val="5"/>
        <w:ind w:left="0" w:leftChars="0" w:firstLine="0" w:firstLineChars="0"/>
        <w:rPr>
          <w:rFonts w:hint="default"/>
          <w:lang w:val="en-US" w:eastAsia="zh-CN"/>
        </w:rPr>
      </w:pPr>
      <w:r>
        <w:rPr>
          <w:rFonts w:hint="eastAsia"/>
          <w:lang w:val="en-US" w:eastAsia="zh-CN"/>
        </w:rPr>
        <w:t>附件：</w:t>
      </w:r>
    </w:p>
    <w:p>
      <w:pPr>
        <w:jc w:val="center"/>
        <w:rPr>
          <w:rFonts w:hint="eastAsia" w:ascii="仿宋" w:hAnsi="仿宋" w:eastAsia="仿宋" w:cs="仿宋"/>
          <w:b/>
          <w:bCs/>
          <w:color w:val="000000" w:themeColor="text1"/>
          <w:kern w:val="0"/>
          <w:sz w:val="32"/>
          <w:szCs w:val="32"/>
          <w:shd w:val="clear" w:color="000000" w:fill="auto"/>
          <w:lang w:val="en-US" w:eastAsia="zh-CN"/>
          <w14:textFill>
            <w14:solidFill>
              <w14:schemeClr w14:val="tx1"/>
            </w14:solidFill>
          </w14:textFill>
        </w:rPr>
      </w:pPr>
      <w:r>
        <w:rPr>
          <w:rFonts w:hint="eastAsia" w:ascii="仿宋" w:hAnsi="仿宋" w:eastAsia="仿宋" w:cs="仿宋"/>
          <w:b/>
          <w:bCs/>
          <w:kern w:val="0"/>
          <w:sz w:val="36"/>
          <w:szCs w:val="36"/>
          <w:shd w:val="clear" w:color="auto" w:fill="FFFFFF"/>
        </w:rPr>
        <w:t>举办行业困境下建筑企业求“破局</w:t>
      </w:r>
      <w:r>
        <w:rPr>
          <w:rFonts w:hint="eastAsia" w:ascii="仿宋" w:hAnsi="仿宋" w:eastAsia="仿宋" w:cs="仿宋"/>
          <w:b/>
          <w:bCs/>
          <w:kern w:val="0"/>
          <w:sz w:val="36"/>
          <w:szCs w:val="36"/>
          <w:shd w:val="clear" w:color="auto" w:fill="FFFFFF"/>
          <w:lang w:eastAsia="zh-CN"/>
        </w:rPr>
        <w:t>”</w:t>
      </w:r>
      <w:r>
        <w:rPr>
          <w:rFonts w:hint="eastAsia" w:ascii="仿宋" w:hAnsi="仿宋" w:eastAsia="仿宋" w:cs="仿宋"/>
          <w:b/>
          <w:bCs/>
          <w:kern w:val="0"/>
          <w:sz w:val="36"/>
          <w:szCs w:val="36"/>
          <w:shd w:val="clear" w:color="auto" w:fill="FFFFFF"/>
        </w:rPr>
        <w:t>谋“发展”</w:t>
      </w:r>
      <w:r>
        <w:rPr>
          <w:rFonts w:hint="eastAsia" w:ascii="仿宋" w:hAnsi="仿宋" w:eastAsia="仿宋" w:cs="仿宋"/>
          <w:b/>
          <w:bCs/>
          <w:kern w:val="0"/>
          <w:sz w:val="36"/>
          <w:szCs w:val="36"/>
          <w:shd w:val="clear" w:color="auto" w:fill="FFFFFF"/>
          <w:lang w:val="en-US" w:eastAsia="zh-CN"/>
        </w:rPr>
        <w:t>研讨</w:t>
      </w:r>
      <w:r>
        <w:rPr>
          <w:rFonts w:hint="eastAsia" w:ascii="仿宋" w:hAnsi="仿宋" w:eastAsia="仿宋" w:cs="仿宋"/>
          <w:b/>
          <w:bCs/>
          <w:kern w:val="0"/>
          <w:sz w:val="36"/>
          <w:szCs w:val="36"/>
          <w:shd w:val="clear" w:color="auto" w:fill="FFFFFF"/>
        </w:rPr>
        <w:t>暨政府、央企项目合作推介</w:t>
      </w:r>
      <w:r>
        <w:rPr>
          <w:rFonts w:hint="eastAsia" w:ascii="仿宋" w:hAnsi="仿宋" w:eastAsia="仿宋" w:cs="仿宋"/>
          <w:b/>
          <w:bCs/>
          <w:kern w:val="0"/>
          <w:sz w:val="36"/>
          <w:szCs w:val="36"/>
          <w:shd w:val="clear" w:color="auto" w:fill="FFFFFF"/>
          <w:lang w:val="en-US" w:eastAsia="zh-CN"/>
        </w:rPr>
        <w:t>会议</w:t>
      </w:r>
      <w:r>
        <w:rPr>
          <w:rFonts w:hint="eastAsia" w:ascii="仿宋" w:hAnsi="仿宋" w:eastAsia="仿宋" w:cs="仿宋"/>
          <w:b/>
          <w:bCs/>
          <w:color w:val="000000" w:themeColor="text1"/>
          <w:kern w:val="0"/>
          <w:sz w:val="32"/>
          <w:szCs w:val="32"/>
          <w:shd w:val="clear" w:color="000000" w:fill="auto"/>
          <w:lang w:val="en-US" w:eastAsia="zh-CN"/>
          <w14:textFill>
            <w14:solidFill>
              <w14:schemeClr w14:val="tx1"/>
            </w14:solidFill>
          </w14:textFill>
        </w:rPr>
        <w:t>报名表</w:t>
      </w:r>
    </w:p>
    <w:tbl>
      <w:tblPr>
        <w:tblStyle w:val="9"/>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职    务</w:t>
            </w:r>
          </w:p>
        </w:tc>
        <w:tc>
          <w:tcPr>
            <w:tcW w:w="4060"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手    机</w:t>
            </w:r>
          </w:p>
        </w:tc>
        <w:tc>
          <w:tcPr>
            <w:tcW w:w="2147"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参训人员</w:t>
            </w:r>
          </w:p>
        </w:tc>
        <w:tc>
          <w:tcPr>
            <w:tcW w:w="854"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性别</w:t>
            </w:r>
          </w:p>
        </w:tc>
        <w:tc>
          <w:tcPr>
            <w:tcW w:w="1293"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住宿标准</w:t>
            </w:r>
          </w:p>
        </w:tc>
        <w:tc>
          <w:tcPr>
            <w:tcW w:w="8159" w:type="dxa"/>
            <w:gridSpan w:val="5"/>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单住□      合住</w:t>
            </w:r>
            <w:r>
              <w:rPr>
                <w:rFonts w:hint="eastAsia" w:ascii="仿宋" w:hAnsi="仿宋" w:eastAsia="仿宋" w:cs="仿宋"/>
                <w:bCs/>
                <w:color w:val="000000" w:themeColor="text1"/>
                <w:sz w:val="28"/>
                <w:szCs w:val="28"/>
                <w:lang w:eastAsia="zh-CN"/>
                <w14:textFill>
                  <w14:solidFill>
                    <w14:schemeClr w14:val="tx1"/>
                  </w14:solidFill>
                </w14:textFill>
              </w:rPr>
              <w:t>□</w:t>
            </w:r>
            <w:r>
              <w:rPr>
                <w:rFonts w:ascii="仿宋" w:hAnsi="仿宋" w:eastAsia="仿宋" w:cs="仿宋"/>
                <w:bCs/>
                <w:color w:val="000000" w:themeColor="text1"/>
                <w:sz w:val="28"/>
                <w:szCs w:val="28"/>
                <w14:textFill>
                  <w14:solidFill>
                    <w14:schemeClr w14:val="tx1"/>
                  </w14:solidFill>
                </w14:textFill>
              </w:rPr>
              <w:t xml:space="preserve">     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证书申报</w:t>
            </w:r>
          </w:p>
        </w:tc>
        <w:tc>
          <w:tcPr>
            <w:tcW w:w="8159" w:type="dxa"/>
            <w:gridSpan w:val="5"/>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《工程总包项目经理》</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《合同经理》</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14:textFill>
                  <w14:solidFill>
                    <w14:schemeClr w14:val="tx1"/>
                  </w14:solidFill>
                </w14:textFill>
              </w:rPr>
              <w:t xml:space="preserve"> </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《设计经理》</w:t>
            </w:r>
            <w:r>
              <w:rPr>
                <w:rFonts w:hint="eastAsia" w:ascii="仿宋" w:hAnsi="仿宋" w:eastAsia="仿宋" w:cs="仿宋"/>
                <w:bCs/>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付款方式</w:t>
            </w:r>
          </w:p>
        </w:tc>
        <w:tc>
          <w:tcPr>
            <w:tcW w:w="4099" w:type="dxa"/>
            <w:gridSpan w:val="3"/>
            <w:vAlign w:val="center"/>
          </w:tcPr>
          <w:p>
            <w:pPr>
              <w:tabs>
                <w:tab w:val="left" w:pos="567"/>
                <w:tab w:val="left" w:pos="709"/>
              </w:tabs>
              <w:spacing w:line="300" w:lineRule="exact"/>
              <w:jc w:val="both"/>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转账</w:t>
            </w:r>
            <w:r>
              <w:rPr>
                <w:rFonts w:hint="eastAsia" w:ascii="仿宋" w:hAnsi="仿宋" w:eastAsia="仿宋" w:cs="仿宋"/>
                <w:bCs/>
                <w:color w:val="000000" w:themeColor="text1"/>
                <w:sz w:val="28"/>
                <w:szCs w:val="28"/>
                <w:lang w:eastAsia="zh-CN"/>
                <w14:textFill>
                  <w14:solidFill>
                    <w14:schemeClr w14:val="tx1"/>
                  </w14:solidFill>
                </w14:textFill>
              </w:rPr>
              <w:t>□</w:t>
            </w:r>
            <w:r>
              <w:rPr>
                <w:rFonts w:ascii="仿宋" w:hAnsi="仿宋" w:eastAsia="仿宋" w:cs="仿宋"/>
                <w:bCs/>
                <w:color w:val="000000" w:themeColor="text1"/>
                <w:sz w:val="28"/>
                <w:szCs w:val="28"/>
                <w14:textFill>
                  <w14:solidFill>
                    <w14:schemeClr w14:val="tx1"/>
                  </w14:solidFill>
                </w14:textFill>
              </w:rPr>
              <w:t xml:space="preserve">      现场□</w:t>
            </w:r>
          </w:p>
        </w:tc>
        <w:tc>
          <w:tcPr>
            <w:tcW w:w="1896"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收款信息</w:t>
            </w:r>
          </w:p>
        </w:tc>
        <w:tc>
          <w:tcPr>
            <w:tcW w:w="8159" w:type="dxa"/>
            <w:gridSpan w:val="5"/>
            <w:vAlign w:val="center"/>
          </w:tcPr>
          <w:p>
            <w:pPr>
              <w:tabs>
                <w:tab w:val="left" w:pos="567"/>
                <w:tab w:val="left" w:pos="709"/>
              </w:tabs>
              <w:spacing w:line="300" w:lineRule="exact"/>
              <w:jc w:val="both"/>
              <w:textAlignment w:val="baseline"/>
              <w:outlineLvl w:val="0"/>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开户名称：北京</w:t>
            </w:r>
            <w:r>
              <w:rPr>
                <w:rFonts w:hint="eastAsia" w:ascii="仿宋" w:hAnsi="仿宋" w:eastAsia="仿宋" w:cs="仿宋"/>
                <w:bCs/>
                <w:color w:val="000000" w:themeColor="text1"/>
                <w:sz w:val="28"/>
                <w:szCs w:val="28"/>
                <w:lang w:eastAsia="zh-CN"/>
                <w14:textFill>
                  <w14:solidFill>
                    <w14:schemeClr w14:val="tx1"/>
                  </w14:solidFill>
                </w14:textFill>
              </w:rPr>
              <w:t>中科领航教育咨询有限公司</w:t>
            </w:r>
          </w:p>
          <w:p>
            <w:pPr>
              <w:tabs>
                <w:tab w:val="left" w:pos="567"/>
                <w:tab w:val="left" w:pos="709"/>
              </w:tabs>
              <w:spacing w:line="300" w:lineRule="exact"/>
              <w:jc w:val="both"/>
              <w:textAlignment w:val="baseline"/>
              <w:outlineLvl w:val="0"/>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开 户 行：中国工商银行股份有限公司北京半壁店支行</w:t>
            </w:r>
          </w:p>
          <w:p>
            <w:pPr>
              <w:tabs>
                <w:tab w:val="left" w:pos="567"/>
                <w:tab w:val="left" w:pos="709"/>
              </w:tabs>
              <w:spacing w:line="300" w:lineRule="exact"/>
              <w:jc w:val="both"/>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账    号：02002470092000</w:t>
            </w:r>
            <w:r>
              <w:rPr>
                <w:rFonts w:hint="eastAsia" w:ascii="仿宋" w:hAnsi="仿宋" w:eastAsia="仿宋" w:cs="仿宋"/>
                <w:bCs/>
                <w:color w:val="000000" w:themeColor="text1"/>
                <w:sz w:val="28"/>
                <w:szCs w:val="28"/>
                <w:lang w:val="en-US" w:eastAsia="zh-CN"/>
                <w14:textFill>
                  <w14:solidFill>
                    <w14:schemeClr w14:val="tx1"/>
                  </w14:solidFill>
                </w14:textFill>
              </w:rPr>
              <w:t>76612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本</w:t>
            </w:r>
            <w:r>
              <w:rPr>
                <w:rFonts w:ascii="仿宋" w:hAnsi="仿宋" w:eastAsia="仿宋" w:cs="仿宋"/>
                <w:bCs/>
                <w:color w:val="000000" w:themeColor="text1"/>
                <w:sz w:val="28"/>
                <w:szCs w:val="28"/>
                <w14:textFill>
                  <w14:solidFill>
                    <w14:schemeClr w14:val="tx1"/>
                  </w14:solidFill>
                </w14:textFill>
              </w:rPr>
              <w:t>课程可</w:t>
            </w:r>
            <w:r>
              <w:rPr>
                <w:rFonts w:hint="eastAsia" w:ascii="仿宋" w:hAnsi="仿宋" w:eastAsia="仿宋" w:cs="仿宋"/>
                <w:bCs/>
                <w:color w:val="000000" w:themeColor="text1"/>
                <w:sz w:val="28"/>
                <w:szCs w:val="28"/>
                <w:lang w:val="en-US" w:eastAsia="zh-CN"/>
                <w14:textFill>
                  <w14:solidFill>
                    <w14:schemeClr w14:val="tx1"/>
                  </w14:solidFill>
                </w14:textFill>
              </w:rPr>
              <w:t>根</w:t>
            </w:r>
            <w:r>
              <w:rPr>
                <w:rFonts w:ascii="仿宋" w:hAnsi="仿宋" w:eastAsia="仿宋" w:cs="仿宋"/>
                <w:bCs/>
                <w:color w:val="000000" w:themeColor="text1"/>
                <w:sz w:val="28"/>
                <w:szCs w:val="28"/>
                <w14:textFill>
                  <w14:solidFill>
                    <w14:schemeClr w14:val="tx1"/>
                  </w14:solidFill>
                </w14:textFill>
              </w:rPr>
              <w:t>据</w:t>
            </w:r>
            <w:r>
              <w:rPr>
                <w:rFonts w:hint="eastAsia" w:ascii="仿宋" w:hAnsi="仿宋" w:eastAsia="仿宋" w:cs="仿宋"/>
                <w:bCs/>
                <w:color w:val="000000" w:themeColor="text1"/>
                <w:sz w:val="28"/>
                <w:szCs w:val="28"/>
                <w:lang w:val="en-US" w:eastAsia="zh-CN"/>
                <w14:textFill>
                  <w14:solidFill>
                    <w14:schemeClr w14:val="tx1"/>
                  </w14:solidFill>
                </w14:textFill>
              </w:rPr>
              <w:t>单位实际</w:t>
            </w:r>
            <w:r>
              <w:rPr>
                <w:rFonts w:ascii="仿宋" w:hAnsi="仿宋" w:eastAsia="仿宋" w:cs="仿宋"/>
                <w:bCs/>
                <w:color w:val="000000" w:themeColor="text1"/>
                <w:sz w:val="28"/>
                <w:szCs w:val="28"/>
                <w14:textFill>
                  <w14:solidFill>
                    <w14:schemeClr w14:val="tx1"/>
                  </w14:solidFill>
                </w14:textFill>
              </w:rPr>
              <w:t>需</w:t>
            </w:r>
          </w:p>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求</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提供</w:t>
            </w:r>
            <w:r>
              <w:rPr>
                <w:rFonts w:ascii="仿宋" w:hAnsi="仿宋" w:eastAsia="仿宋" w:cs="仿宋"/>
                <w:bCs/>
                <w:color w:val="000000" w:themeColor="text1"/>
                <w:sz w:val="28"/>
                <w:szCs w:val="28"/>
                <w14:textFill>
                  <w14:solidFill>
                    <w14:schemeClr w14:val="tx1"/>
                  </w14:solidFill>
                </w14:textFill>
              </w:rPr>
              <w:t>内部培训</w:t>
            </w:r>
            <w:r>
              <w:rPr>
                <w:rFonts w:hint="eastAsia" w:ascii="仿宋" w:hAnsi="仿宋" w:eastAsia="仿宋" w:cs="仿宋"/>
                <w:bCs/>
                <w:color w:val="000000" w:themeColor="text1"/>
                <w:sz w:val="28"/>
                <w:szCs w:val="28"/>
                <w:lang w:eastAsia="zh-CN"/>
                <w14:textFill>
                  <w14:solidFill>
                    <w14:schemeClr w14:val="tx1"/>
                  </w14:solidFill>
                </w14:textFill>
              </w:rPr>
              <w:t>。</w:t>
            </w:r>
          </w:p>
        </w:tc>
        <w:tc>
          <w:tcPr>
            <w:tcW w:w="4060" w:type="dxa"/>
            <w:gridSpan w:val="2"/>
            <w:vAlign w:val="center"/>
          </w:tcPr>
          <w:p>
            <w:pPr>
              <w:tabs>
                <w:tab w:val="left" w:pos="567"/>
                <w:tab w:val="left" w:pos="709"/>
              </w:tabs>
              <w:spacing w:line="300" w:lineRule="exact"/>
              <w:ind w:firstLine="280" w:firstLineChars="1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参加</w:t>
            </w:r>
            <w:r>
              <w:rPr>
                <w:rFonts w:ascii="仿宋" w:hAnsi="仿宋" w:eastAsia="仿宋" w:cs="仿宋"/>
                <w:bCs/>
                <w:color w:val="000000" w:themeColor="text1"/>
                <w:sz w:val="28"/>
                <w:szCs w:val="28"/>
                <w14:textFill>
                  <w14:solidFill>
                    <w14:schemeClr w14:val="tx1"/>
                  </w14:solidFill>
                </w14:textFill>
              </w:rPr>
              <w:t>单位</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盖章</w:t>
            </w:r>
            <w:r>
              <w:rPr>
                <w:rFonts w:hint="eastAsia" w:ascii="仿宋" w:hAnsi="仿宋" w:eastAsia="仿宋" w:cs="仿宋"/>
                <w:bCs/>
                <w:color w:val="000000" w:themeColor="text1"/>
                <w:sz w:val="28"/>
                <w:szCs w:val="28"/>
                <w:lang w:eastAsia="zh-CN"/>
                <w14:textFill>
                  <w14:solidFill>
                    <w14:schemeClr w14:val="tx1"/>
                  </w14:solidFill>
                </w14:textFill>
              </w:rPr>
              <w:t>）</w:t>
            </w:r>
          </w:p>
          <w:p>
            <w:pPr>
              <w:pStyle w:val="2"/>
              <w:rPr>
                <w:rFonts w:hint="default"/>
              </w:rPr>
            </w:pPr>
            <w:bookmarkStart w:id="0" w:name="_GoBack"/>
            <w:bookmarkEnd w:id="0"/>
          </w:p>
          <w:p>
            <w:pPr>
              <w:tabs>
                <w:tab w:val="left" w:pos="567"/>
                <w:tab w:val="left" w:pos="709"/>
              </w:tabs>
              <w:spacing w:line="300" w:lineRule="exact"/>
              <w:ind w:firstLine="280" w:firstLineChars="100"/>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202</w:t>
            </w:r>
            <w:r>
              <w:rPr>
                <w:rFonts w:hint="eastAsia" w:ascii="仿宋" w:hAnsi="仿宋" w:eastAsia="仿宋" w:cs="仿宋"/>
                <w:bCs/>
                <w:color w:val="000000" w:themeColor="text1"/>
                <w:sz w:val="28"/>
                <w:szCs w:val="28"/>
                <w:lang w:val="en-US" w:eastAsia="zh-CN"/>
                <w14:textFill>
                  <w14:solidFill>
                    <w14:schemeClr w14:val="tx1"/>
                  </w14:solidFill>
                </w14:textFill>
              </w:rPr>
              <w:t>3</w:t>
            </w:r>
            <w:r>
              <w:rPr>
                <w:rFonts w:ascii="仿宋" w:hAnsi="仿宋" w:eastAsia="仿宋" w:cs="仿宋"/>
                <w:bCs/>
                <w:color w:val="000000" w:themeColor="text1"/>
                <w:sz w:val="28"/>
                <w:szCs w:val="28"/>
                <w14:textFill>
                  <w14:solidFill>
                    <w14:schemeClr w14:val="tx1"/>
                  </w14:solidFill>
                </w14:textFill>
              </w:rPr>
              <w:t>年  月  日</w:t>
            </w:r>
          </w:p>
        </w:tc>
      </w:tr>
    </w:tbl>
    <w:p>
      <w:pPr>
        <w:spacing w:line="440" w:lineRule="exact"/>
        <w:ind w:right="-147" w:rightChars="-70"/>
        <w:rPr>
          <w:rFonts w:hint="default"/>
          <w:b/>
          <w:bCs/>
          <w:lang w:val="en-US" w:eastAsia="zh-CN"/>
        </w:rPr>
      </w:pPr>
      <w:r>
        <w:rPr>
          <w:rFonts w:hint="eastAsia" w:ascii="仿宋" w:hAnsi="仿宋" w:eastAsia="仿宋" w:cs="仿宋"/>
          <w:b/>
          <w:bCs/>
          <w:color w:val="000000" w:themeColor="text1"/>
          <w:kern w:val="0"/>
          <w:sz w:val="32"/>
          <w:szCs w:val="32"/>
          <w:shd w:val="clear" w:color="000000" w:fill="auto"/>
          <w:lang w:val="en-US" w:eastAsia="zh-CN" w:bidi="ar-SA"/>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-205740</wp:posOffset>
                </wp:positionH>
                <wp:positionV relativeFrom="paragraph">
                  <wp:posOffset>6737350</wp:posOffset>
                </wp:positionV>
                <wp:extent cx="6248400" cy="1028700"/>
                <wp:effectExtent l="4445" t="4445" r="14605" b="14605"/>
                <wp:wrapNone/>
                <wp:docPr id="9" name="文本框 9"/>
                <wp:cNvGraphicFramePr/>
                <a:graphic xmlns:a="http://schemas.openxmlformats.org/drawingml/2006/main">
                  <a:graphicData uri="http://schemas.microsoft.com/office/word/2010/wordprocessingShape">
                    <wps:wsp>
                      <wps:cNvSpPr txBox="1"/>
                      <wps:spPr>
                        <a:xfrm>
                          <a:off x="0" y="0"/>
                          <a:ext cx="6248400" cy="10287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snapToGrid/>
                              <w:spacing w:line="40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 xml:space="preserve">报名负责人：聂红军 主任18211071700（微信）   </w:t>
                            </w:r>
                          </w:p>
                          <w:p>
                            <w:pPr>
                              <w:keepNext w:val="0"/>
                              <w:keepLines w:val="0"/>
                              <w:pageBreakBefore w:val="0"/>
                              <w:widowControl w:val="0"/>
                              <w:kinsoku/>
                              <w:wordWrap/>
                              <w:overflowPunct/>
                              <w:topLinePunct w:val="0"/>
                              <w:bidi w:val="0"/>
                              <w:adjustRightInd/>
                              <w:snapToGrid/>
                              <w:spacing w:line="40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 xml:space="preserve">电  话：13141289128        邮    箱：zqgphwz@126.com  </w:t>
                            </w:r>
                          </w:p>
                          <w:p>
                            <w:pPr>
                              <w:keepNext w:val="0"/>
                              <w:keepLines w:val="0"/>
                              <w:pageBreakBefore w:val="0"/>
                              <w:widowControl w:val="0"/>
                              <w:kinsoku/>
                              <w:wordWrap/>
                              <w:overflowPunct/>
                              <w:topLinePunct w:val="0"/>
                              <w:bidi w:val="0"/>
                              <w:adjustRightInd/>
                              <w:snapToGrid/>
                              <w:spacing w:line="40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qq咨询：3177524020        网    址：http://www.zqgpchina.cn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2pt;margin-top:530.5pt;height:81pt;width:492pt;z-index:251665408;mso-width-relative:page;mso-height-relative:page;" fillcolor="#FFFFFF [3201]" filled="t" stroked="t" coordsize="21600,21600" o:gfxdata="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CaByO2AAA&#10;AA0BAAAPAAAAAAAAAAEAIAAAACIAAABkcnMvZG93bnJldi54bWxQSwECFAAUAAAACACHTuJAfGmQ&#10;r1cCAAC4BAAADgAAAAAAAAABACAAAAAnAQAAZHJzL2Uyb0RvYy54bWxQSwUGAAAAAAYABgBZAQAA&#10;8A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bidi w:val="0"/>
                        <w:adjustRightInd/>
                        <w:snapToGrid/>
                        <w:spacing w:line="40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 xml:space="preserve">报名负责人：聂红军 主任18211071700（微信）   </w:t>
                      </w:r>
                    </w:p>
                    <w:p>
                      <w:pPr>
                        <w:keepNext w:val="0"/>
                        <w:keepLines w:val="0"/>
                        <w:pageBreakBefore w:val="0"/>
                        <w:widowControl w:val="0"/>
                        <w:kinsoku/>
                        <w:wordWrap/>
                        <w:overflowPunct/>
                        <w:topLinePunct w:val="0"/>
                        <w:bidi w:val="0"/>
                        <w:adjustRightInd/>
                        <w:snapToGrid/>
                        <w:spacing w:line="40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 xml:space="preserve">电  话：13141289128        邮    箱：zqgphwz@126.com  </w:t>
                      </w:r>
                    </w:p>
                    <w:p>
                      <w:pPr>
                        <w:keepNext w:val="0"/>
                        <w:keepLines w:val="0"/>
                        <w:pageBreakBefore w:val="0"/>
                        <w:widowControl w:val="0"/>
                        <w:kinsoku/>
                        <w:wordWrap/>
                        <w:overflowPunct/>
                        <w:topLinePunct w:val="0"/>
                        <w:bidi w:val="0"/>
                        <w:adjustRightInd/>
                        <w:snapToGrid/>
                        <w:spacing w:line="40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qq咨询：3177524020        网    址：http://www.zqgpchina.cn</w:t>
                      </w:r>
                    </w:p>
                  </w:txbxContent>
                </v:textbox>
              </v:shape>
            </w:pict>
          </mc:Fallback>
        </mc:AlternateContent>
      </w: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MWM5NTU3NmQwMzYzZGY2NjUyMjZkNDUzMDVhNDkifQ=="/>
  </w:docVars>
  <w:rsids>
    <w:rsidRoot w:val="00000000"/>
    <w:rsid w:val="0089189B"/>
    <w:rsid w:val="07106873"/>
    <w:rsid w:val="073F2CB4"/>
    <w:rsid w:val="079D5990"/>
    <w:rsid w:val="087370B9"/>
    <w:rsid w:val="089F7EAE"/>
    <w:rsid w:val="08C16076"/>
    <w:rsid w:val="0C452B1A"/>
    <w:rsid w:val="0CB63A18"/>
    <w:rsid w:val="0D95094D"/>
    <w:rsid w:val="0DA04EA0"/>
    <w:rsid w:val="0E5B4877"/>
    <w:rsid w:val="0E820056"/>
    <w:rsid w:val="13C407C9"/>
    <w:rsid w:val="14213E6D"/>
    <w:rsid w:val="149C7998"/>
    <w:rsid w:val="1558134F"/>
    <w:rsid w:val="15B22905"/>
    <w:rsid w:val="163360DA"/>
    <w:rsid w:val="16D90A2F"/>
    <w:rsid w:val="1807337A"/>
    <w:rsid w:val="18E216F1"/>
    <w:rsid w:val="1BF9747E"/>
    <w:rsid w:val="1CE123EB"/>
    <w:rsid w:val="1E8C282B"/>
    <w:rsid w:val="1F1F71FB"/>
    <w:rsid w:val="200776B4"/>
    <w:rsid w:val="205253AE"/>
    <w:rsid w:val="20A7394C"/>
    <w:rsid w:val="20EE7CED"/>
    <w:rsid w:val="21080BAC"/>
    <w:rsid w:val="21172C1F"/>
    <w:rsid w:val="218E2416"/>
    <w:rsid w:val="219C0FD7"/>
    <w:rsid w:val="2245341D"/>
    <w:rsid w:val="23701FBA"/>
    <w:rsid w:val="23DC5E21"/>
    <w:rsid w:val="24651B54"/>
    <w:rsid w:val="2540611D"/>
    <w:rsid w:val="25551BC9"/>
    <w:rsid w:val="260307BD"/>
    <w:rsid w:val="260D24A3"/>
    <w:rsid w:val="270A69E3"/>
    <w:rsid w:val="295D104C"/>
    <w:rsid w:val="2973552E"/>
    <w:rsid w:val="29FF23F0"/>
    <w:rsid w:val="2EA94D33"/>
    <w:rsid w:val="300F6E18"/>
    <w:rsid w:val="315E0057"/>
    <w:rsid w:val="32333292"/>
    <w:rsid w:val="323A4620"/>
    <w:rsid w:val="341B222F"/>
    <w:rsid w:val="36C070BE"/>
    <w:rsid w:val="385775AE"/>
    <w:rsid w:val="38C2711D"/>
    <w:rsid w:val="39776AEB"/>
    <w:rsid w:val="3A2A31CC"/>
    <w:rsid w:val="3B090939"/>
    <w:rsid w:val="3B163750"/>
    <w:rsid w:val="3C553E04"/>
    <w:rsid w:val="3CCD42E3"/>
    <w:rsid w:val="3CF47AC1"/>
    <w:rsid w:val="3DF34B56"/>
    <w:rsid w:val="3EC84D62"/>
    <w:rsid w:val="3ED656D0"/>
    <w:rsid w:val="3EDB2CE7"/>
    <w:rsid w:val="3F850EA5"/>
    <w:rsid w:val="407F76A2"/>
    <w:rsid w:val="418D4040"/>
    <w:rsid w:val="43144A19"/>
    <w:rsid w:val="44136A7F"/>
    <w:rsid w:val="45464C32"/>
    <w:rsid w:val="47FE35A2"/>
    <w:rsid w:val="49E15E6A"/>
    <w:rsid w:val="4A143551"/>
    <w:rsid w:val="4A78588E"/>
    <w:rsid w:val="4A896B10"/>
    <w:rsid w:val="51E27A91"/>
    <w:rsid w:val="52BE745C"/>
    <w:rsid w:val="53F561A1"/>
    <w:rsid w:val="559A7000"/>
    <w:rsid w:val="56A417B8"/>
    <w:rsid w:val="576F459D"/>
    <w:rsid w:val="580746F5"/>
    <w:rsid w:val="58A1479C"/>
    <w:rsid w:val="58FE78A6"/>
    <w:rsid w:val="592D018B"/>
    <w:rsid w:val="599B6EA3"/>
    <w:rsid w:val="59DB7BE7"/>
    <w:rsid w:val="5D4E3598"/>
    <w:rsid w:val="5E27164D"/>
    <w:rsid w:val="5F125E59"/>
    <w:rsid w:val="5F333424"/>
    <w:rsid w:val="5FCA6734"/>
    <w:rsid w:val="60A52CFD"/>
    <w:rsid w:val="60E5183A"/>
    <w:rsid w:val="6311467A"/>
    <w:rsid w:val="63D924E1"/>
    <w:rsid w:val="643028DD"/>
    <w:rsid w:val="64D37E39"/>
    <w:rsid w:val="67D363A2"/>
    <w:rsid w:val="68AF296B"/>
    <w:rsid w:val="69B95123"/>
    <w:rsid w:val="6A440E91"/>
    <w:rsid w:val="6B1940CB"/>
    <w:rsid w:val="6B2F7D93"/>
    <w:rsid w:val="6B9D4CFC"/>
    <w:rsid w:val="6C494E84"/>
    <w:rsid w:val="6F255735"/>
    <w:rsid w:val="6F4F27B2"/>
    <w:rsid w:val="70E86AD4"/>
    <w:rsid w:val="72B31A01"/>
    <w:rsid w:val="73AD3F4B"/>
    <w:rsid w:val="73D239B1"/>
    <w:rsid w:val="74C01A5C"/>
    <w:rsid w:val="753D30AC"/>
    <w:rsid w:val="757271FA"/>
    <w:rsid w:val="75F220E9"/>
    <w:rsid w:val="768F5B89"/>
    <w:rsid w:val="7AA8546C"/>
    <w:rsid w:val="7B1623D5"/>
    <w:rsid w:val="7B803CF3"/>
    <w:rsid w:val="7B825CBD"/>
    <w:rsid w:val="7B9672CC"/>
    <w:rsid w:val="7BBC2F7D"/>
    <w:rsid w:val="7CB41EA6"/>
    <w:rsid w:val="7F182BC0"/>
    <w:rsid w:val="7F433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widowControl w:val="0"/>
      <w:tabs>
        <w:tab w:val="left" w:pos="-1440"/>
      </w:tabs>
      <w:spacing w:after="0" w:line="360" w:lineRule="auto"/>
      <w:ind w:left="176" w:leftChars="0" w:firstLine="420" w:firstLineChars="200"/>
    </w:pPr>
    <w:rPr>
      <w:rFonts w:ascii="仿宋" w:hAnsi="Times New Roman" w:eastAsia="仿宋" w:cs="Times New Roman"/>
      <w:kern w:val="2"/>
      <w:sz w:val="24"/>
      <w:szCs w:val="24"/>
      <w:shd w:val="clear" w:color="auto" w:fill="auto"/>
    </w:rPr>
  </w:style>
  <w:style w:type="paragraph" w:styleId="3">
    <w:name w:val="Body Text Indent"/>
    <w:basedOn w:val="1"/>
    <w:next w:val="4"/>
    <w:qFormat/>
    <w:uiPriority w:val="0"/>
    <w:pPr>
      <w:spacing w:after="120"/>
      <w:ind w:left="420" w:leftChars="200"/>
    </w:pPr>
    <w:rPr>
      <w:rFonts w:ascii="Times New Roman" w:hAnsi="Times New Roman" w:eastAsia="宋体" w:cs="Times New Roman"/>
    </w:rPr>
  </w:style>
  <w:style w:type="paragraph" w:styleId="4">
    <w:name w:val="header"/>
    <w:basedOn w:val="1"/>
    <w:semiHidden/>
    <w:qFormat/>
    <w:uiPriority w:val="0"/>
    <w:pPr>
      <w:pBdr>
        <w:bottom w:val="single" w:color="auto" w:sz="6" w:space="1"/>
      </w:pBdr>
      <w:tabs>
        <w:tab w:val="center" w:pos="4153"/>
        <w:tab w:val="right" w:pos="8306"/>
      </w:tabs>
      <w:snapToGrid w:val="0"/>
      <w:jc w:val="center"/>
    </w:pPr>
    <w:rPr>
      <w:kern w:val="0"/>
      <w:sz w:val="18"/>
      <w:szCs w:val="18"/>
    </w:rPr>
  </w:style>
  <w:style w:type="paragraph" w:styleId="5">
    <w:name w:val="Normal Indent"/>
    <w:basedOn w:val="1"/>
    <w:qFormat/>
    <w:uiPriority w:val="0"/>
    <w:pPr>
      <w:ind w:firstLine="420" w:firstLineChars="200"/>
    </w:pPr>
    <w:rPr>
      <w:rFonts w:ascii="Times New Roman" w:hAnsi="Times New Roman" w:eastAsia="方正仿宋_GB2312" w:cs="Times New Roman"/>
      <w:sz w:val="28"/>
    </w:rPr>
  </w:style>
  <w:style w:type="paragraph" w:styleId="6">
    <w:name w:val="Body Text"/>
    <w:basedOn w:val="1"/>
    <w:next w:val="5"/>
    <w:qFormat/>
    <w:uiPriority w:val="0"/>
    <w:pPr>
      <w:spacing w:after="120" w:afterLines="0"/>
    </w:pPr>
  </w:style>
  <w:style w:type="paragraph" w:styleId="7">
    <w:name w:val="footer"/>
    <w:basedOn w:val="1"/>
    <w:qFormat/>
    <w:uiPriority w:val="99"/>
    <w:pPr>
      <w:tabs>
        <w:tab w:val="center" w:pos="4153"/>
        <w:tab w:val="right" w:pos="8306"/>
      </w:tabs>
      <w:snapToGrid w:val="0"/>
      <w:jc w:val="left"/>
    </w:pPr>
    <w:rPr>
      <w:kern w:val="0"/>
      <w:sz w:val="18"/>
      <w:szCs w:val="18"/>
    </w:rPr>
  </w:style>
  <w:style w:type="paragraph" w:styleId="8">
    <w:name w:val="Normal (Web)"/>
    <w:basedOn w:val="1"/>
    <w:qFormat/>
    <w:uiPriority w:val="0"/>
    <w:pPr>
      <w:widowControl w:val="0"/>
    </w:pPr>
    <w:rPr>
      <w:rFonts w:ascii="Calibri" w:hAnsi="Calibri" w:eastAsia="宋体" w:cs="Times New Roman"/>
      <w:kern w:val="2"/>
      <w:sz w:val="24"/>
      <w:szCs w:val="24"/>
      <w:shd w:val="clear" w:color="auto" w:fill="auto"/>
    </w:rPr>
  </w:style>
  <w:style w:type="character" w:styleId="11">
    <w:name w:val="Strong"/>
    <w:basedOn w:val="10"/>
    <w:qFormat/>
    <w:uiPriority w:val="99"/>
    <w:rPr>
      <w:b/>
      <w:bCs/>
    </w:rPr>
  </w:style>
  <w:style w:type="character" w:styleId="12">
    <w:name w:val="Hyperlink"/>
    <w:basedOn w:val="10"/>
    <w:qFormat/>
    <w:uiPriority w:val="0"/>
    <w:rPr>
      <w:color w:val="0000FF"/>
      <w:u w:val="single"/>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2312</Words>
  <Characters>2613</Characters>
  <Lines>0</Lines>
  <Paragraphs>0</Paragraphs>
  <TotalTime>30</TotalTime>
  <ScaleCrop>false</ScaleCrop>
  <LinksUpToDate>false</LinksUpToDate>
  <CharactersWithSpaces>2835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2023-07-20T07:12:00Z</dcterms:created>
  <dc:creator>xuetian</dc:creator>
  <cp:lastModifiedBy>聂红军</cp:lastModifiedBy>
  <dcterms:modified xsi:type="dcterms:W3CDTF">2023-08-25T02:33:45Z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ED53EAFE2D4143BC894C25EF96E14C6C_13</vt:lpwstr>
  </property>
</Properties>
</file>