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jc w:val="distribute"/>
        <w:textAlignment w:val="auto"/>
        <w:rPr>
          <w:rFonts w:hint="eastAsia" w:ascii="宋体" w:hAnsi="宋体" w:eastAsia="宋体" w:cs="宋体"/>
          <w:b/>
          <w:bCs/>
          <w:color w:val="FF0000"/>
          <w:kern w:val="44"/>
          <w:sz w:val="72"/>
          <w:szCs w:val="72"/>
          <w:lang w:val="en-US" w:eastAsia="zh-CN" w:bidi="ar"/>
        </w:rPr>
      </w:pPr>
      <w:r>
        <w:rPr>
          <w:rFonts w:hint="eastAsia" w:ascii="宋体" w:hAnsi="宋体" w:eastAsia="宋体" w:cs="宋体"/>
          <w:b/>
          <w:bCs/>
          <w:color w:val="FF0000"/>
          <w:kern w:val="44"/>
          <w:sz w:val="72"/>
          <w:szCs w:val="72"/>
          <w:lang w:val="en-US" w:eastAsia="zh-CN" w:bidi="ar"/>
        </w:rPr>
        <w:t>中 国 公 文 写 作 网</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400" w:firstLineChars="1800"/>
        <w:jc w:val="both"/>
        <w:textAlignment w:val="auto"/>
        <w:rPr>
          <w:rFonts w:ascii="Cambria" w:hAnsi="Cambria"/>
          <w:sz w:val="26"/>
          <w:szCs w:val="26"/>
        </w:rPr>
      </w:pPr>
      <w:r>
        <w:rPr>
          <w:rFonts w:hint="eastAsia" w:ascii="宋体" w:hAnsi="宋体" w:cs="宋体"/>
          <w:sz w:val="30"/>
          <w:szCs w:val="30"/>
          <w:lang w:val="en-US" w:eastAsia="zh-CN"/>
        </w:rPr>
        <w:t>中公培</w:t>
      </w:r>
      <w:r>
        <w:rPr>
          <w:rFonts w:hint="eastAsia" w:ascii="宋体" w:hAnsi="宋体" w:cs="宋体"/>
          <w:sz w:val="30"/>
          <w:szCs w:val="30"/>
        </w:rPr>
        <w:t>[202</w:t>
      </w:r>
      <w:r>
        <w:rPr>
          <w:rFonts w:hint="eastAsia" w:ascii="宋体" w:hAnsi="宋体" w:cs="宋体"/>
          <w:sz w:val="30"/>
          <w:szCs w:val="30"/>
          <w:lang w:val="en-US" w:eastAsia="zh-CN"/>
        </w:rPr>
        <w:t>3</w:t>
      </w:r>
      <w:r>
        <w:rPr>
          <w:rFonts w:hint="eastAsia" w:ascii="宋体" w:hAnsi="宋体" w:cs="宋体"/>
          <w:sz w:val="30"/>
          <w:szCs w:val="30"/>
        </w:rPr>
        <w:t>]</w:t>
      </w:r>
      <w:r>
        <w:rPr>
          <w:rFonts w:hint="eastAsia" w:ascii="宋体" w:hAnsi="宋体" w:cs="宋体"/>
          <w:sz w:val="30"/>
          <w:szCs w:val="30"/>
          <w:lang w:val="en-US" w:eastAsia="zh-CN"/>
        </w:rPr>
        <w:t>56</w:t>
      </w:r>
      <w:r>
        <w:rPr>
          <w:rFonts w:hint="eastAsia" w:ascii="宋体" w:hAnsi="宋体" w:cs="宋体"/>
          <w:sz w:val="30"/>
          <w:szCs w:val="30"/>
        </w:rPr>
        <w:t>号</w:t>
      </w:r>
    </w:p>
    <w:p>
      <w:pPr>
        <w:pStyle w:val="11"/>
        <w:spacing w:line="380" w:lineRule="exact"/>
        <w:jc w:val="both"/>
        <w:rPr>
          <w:rFonts w:hint="eastAsia" w:ascii="华文中宋" w:hAnsi="华文中宋" w:eastAsia="华文中宋"/>
        </w:rPr>
      </w:pPr>
      <w:r>
        <w:rPr>
          <w:rFonts w:ascii="宋体" w:hAnsi="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87630</wp:posOffset>
                </wp:positionV>
                <wp:extent cx="5619750" cy="19050"/>
                <wp:effectExtent l="0" t="19050" r="3810" b="2286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19750" cy="19050"/>
                        </a:xfrm>
                        <a:prstGeom prst="straightConnector1">
                          <a:avLst/>
                        </a:prstGeom>
                        <a:noFill/>
                        <a:ln w="38100">
                          <a:solidFill>
                            <a:srgbClr val="FF0000"/>
                          </a:solidFill>
                          <a:round/>
                        </a:ln>
                        <a:effectLst/>
                      </wps:spPr>
                      <wps:bodyPr/>
                    </wps:wsp>
                  </a:graphicData>
                </a:graphic>
              </wp:anchor>
            </w:drawing>
          </mc:Choice>
          <mc:Fallback>
            <w:pict>
              <v:shape id="_x0000_s1026" o:spid="_x0000_s1026" o:spt="32" type="#_x0000_t32" style="position:absolute;left:0pt;margin-left:-0.8pt;margin-top:6.9pt;height:1.5pt;width:442.5pt;z-index:251660288;mso-width-relative:page;mso-height-relative:page;" filled="f" stroked="t" coordsize="21600,21600" o:gfxdata="UEsDBAoAAAAAAIdO4kAAAAAAAAAAAAAAAAAEAAAAZHJzL1BLAwQUAAAACACHTuJAeEJDS9cAAAAI&#10;AQAADwAAAGRycy9kb3ducmV2LnhtbE2PzU7DMBCE70i8g7VI3FonTRVZIU4PIBBckNpygNs2NkmE&#10;vY5ipz88PcsJjjszmv2m3py9E0c7xSGQhnyZgbDUBjNQp+Ft/7hQIGJCMugCWQ0XG2HTXF/VWJlw&#10;oq097lInuIRihRr6lMZKytj21mNchtESe59h8pj4nDppJjxxuXdylWWl9DgQf+hxtPe9bb92s9fw&#10;/EJrt30fPy5z8frwHdQT+v1K69ubPLsDkew5/YXhF5/RoWGmQ5jJROE0LPKSk6wXvIB9pYo1iAML&#10;pQLZ1PL/gOYHUEsDBBQAAAAIAIdO4kCf9/ixAAIAANEDAAAOAAAAZHJzL2Uyb0RvYy54bWytU8Fy&#10;0zAQvTPDP2h0J7bbaWk9cXpIJlwKZKblAxRZtjVIWo2kxMlP8APMcAJOwKl3vgbaz+hKTgItlx7w&#10;QSPt7nu7+3Y9vthoRdbCeQmmosUop0QYDrU0bUXfXc9fnFHiAzM1U2BERbfC04vJ82fj3pbiCDpQ&#10;tXAESYwve1vRLgRbZpnnndDMj8AKg84GnGYBn67Nasd6ZNcqO8rz06wHV1sHXHiP1tngpDtG9xRC&#10;aBrJxQz4SgsTBlYnFAvYku+k9XSSqm0awcPbpvEiEFVR7DSkE5PgfRnPbDJmZeuY7STflcCeUsKj&#10;njSTBpMeqGYsMLJy8h8qLbkDD00YcdDZ0EhSBLso8kfaXHXMitQLSu3tQXT//2j5m/XCEVlX9JgS&#10;wzQO/Pbjze8PX25/fP/1+ebu56d4//aVHEepeutLREzNwsVm+cZc2Uvg7z0xMO2YaUUq+XprkaeI&#10;iOwBJD68xYTL/jXUGMNWAZJum8bpSImKkE0az/YwHrEJhKPx5LQ4f3mCk+PoK85zvMYMrNyDrfPh&#10;lQBN4qWiPjgm2y5MwRhcBHBFSsXWlz4MwD0gZjYwl0qhnZXKkB4FOSvyPCE8KFlHb3R61y6nypE1&#10;w5Waz3P8dmU8CHOwMvWQRZmIE2kbd6n3QgySLqHeLlwMjnacdOpqt5Vxlf5+p6g/f+Lk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hCQ0vXAAAACAEAAA8AAAAAAAAAAQAgAAAAIgAAAGRycy9kb3du&#10;cmV2LnhtbFBLAQIUABQAAAAIAIdO4kCf9/ixAAIAANEDAAAOAAAAAAAAAAEAIAAAACYBAABkcnMv&#10;ZTJvRG9jLnhtbFBLBQYAAAAABgAGAFkBAACYBQAAAAA=&#10;">
                <v:fill on="f" focussize="0,0"/>
                <v:stroke weight="3pt" color="#FF0000" joinstyle="round"/>
                <v:imagedata o:title=""/>
                <o:lock v:ext="edit" aspectratio="f"/>
              </v:shape>
            </w:pict>
          </mc:Fallback>
        </mc:AlternateConten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cs="黑体" w:asciiTheme="minorEastAsia" w:hAnsiTheme="minorEastAsia"/>
          <w:b/>
          <w:bCs/>
          <w:sz w:val="32"/>
          <w:szCs w:val="32"/>
          <w:highlight w:val="none"/>
          <w:lang w:val="en-US" w:eastAsia="zh-CN"/>
        </w:rPr>
        <w:t>关于举办“企事业单位</w:t>
      </w:r>
      <w:r>
        <w:rPr>
          <w:rFonts w:hint="eastAsia" w:cs="黑体" w:asciiTheme="minorEastAsia" w:hAnsiTheme="minorEastAsia"/>
          <w:b/>
          <w:bCs/>
          <w:sz w:val="32"/>
          <w:szCs w:val="32"/>
          <w:highlight w:val="none"/>
          <w:lang w:val="en-US" w:eastAsia="zh-CN"/>
        </w:rPr>
        <w:fldChar w:fldCharType="begin"/>
      </w:r>
      <w:r>
        <w:rPr>
          <w:rFonts w:hint="eastAsia" w:cs="黑体" w:asciiTheme="minorEastAsia" w:hAnsiTheme="minorEastAsia"/>
          <w:b/>
          <w:bCs/>
          <w:sz w:val="32"/>
          <w:szCs w:val="32"/>
          <w:highlight w:val="none"/>
          <w:lang w:val="en-US" w:eastAsia="zh-CN"/>
        </w:rPr>
        <w:instrText xml:space="preserve"> HYPERLINK "http://www.chinadsjs.com/?c=articles&amp;a=show&amp;id=1274" </w:instrText>
      </w:r>
      <w:r>
        <w:rPr>
          <w:rFonts w:hint="eastAsia" w:cs="黑体" w:asciiTheme="minorEastAsia" w:hAnsiTheme="minorEastAsia"/>
          <w:b/>
          <w:bCs/>
          <w:sz w:val="32"/>
          <w:szCs w:val="32"/>
          <w:highlight w:val="none"/>
          <w:lang w:val="en-US" w:eastAsia="zh-CN"/>
        </w:rPr>
        <w:fldChar w:fldCharType="separate"/>
      </w:r>
      <w:r>
        <w:rPr>
          <w:rFonts w:hint="eastAsia" w:cs="黑体" w:asciiTheme="minorEastAsia" w:hAnsiTheme="minorEastAsia"/>
          <w:b/>
          <w:bCs/>
          <w:sz w:val="32"/>
          <w:szCs w:val="32"/>
          <w:highlight w:val="none"/>
          <w:lang w:val="en-US" w:eastAsia="zh-CN"/>
        </w:rPr>
        <w:t>公文写作处理</w:t>
      </w:r>
      <w:r>
        <w:rPr>
          <w:rFonts w:hint="eastAsia" w:cs="黑体" w:asciiTheme="minorEastAsia" w:hAnsiTheme="minorEastAsia"/>
          <w:b/>
          <w:bCs/>
          <w:sz w:val="32"/>
          <w:szCs w:val="32"/>
          <w:highlight w:val="none"/>
          <w:lang w:val="en-US" w:eastAsia="zh-CN"/>
        </w:rPr>
        <w:fldChar w:fldCharType="end"/>
      </w:r>
      <w:r>
        <w:rPr>
          <w:rFonts w:hint="eastAsia" w:cs="黑体" w:asciiTheme="minorEastAsia" w:hAnsiTheme="minorEastAsia"/>
          <w:b/>
          <w:bCs/>
          <w:sz w:val="32"/>
          <w:szCs w:val="32"/>
          <w:highlight w:val="none"/>
          <w:lang w:val="en-US" w:eastAsia="zh-CN"/>
        </w:rPr>
        <w:t>与应用暨综合行政管理能力提升”高级研修班的通知</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各相关单位：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323"/>
        <w:jc w:val="left"/>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公文是党政机关、企事业单位处理日常工作的重要工具，也是一项长远的基础性工作。在全面贯彻落实党的二十大精神的开局之年，对各企事业单位的行政办公室与党委办公室管理水平提出了新的和更高的要求，同时对各办公室工作人员的专业素质与技能也提出了新的更高的要求。</w:t>
      </w:r>
    </w:p>
    <w:p>
      <w:pPr>
        <w:spacing w:line="500" w:lineRule="exact"/>
        <w:ind w:right="-17" w:rightChars="-8" w:firstLine="280"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室作为一个集管理、服务、组织与协调等多种职能于一身的综合部门，是各单位提升管理效能、保障信息畅通、加快工作运转、协调内外关系的重要枢纽。公文写作与处理能力是办公室人员必备的工作技能，为提高各级党政机关和企事业单位的公文管理水平，提升广大办公室人员的公文写作与处理能力，提升办公室人员的综合管理素养，</w:t>
      </w:r>
      <w:r>
        <w:rPr>
          <w:rFonts w:hint="eastAsia" w:ascii="仿宋_GB2312" w:hAnsi="宋体" w:eastAsia="仿宋_GB2312" w:cs="宋体"/>
          <w:color w:val="000000"/>
          <w:kern w:val="0"/>
          <w:sz w:val="28"/>
          <w:szCs w:val="28"/>
          <w:lang w:val="en-US" w:eastAsia="zh-CN"/>
        </w:rPr>
        <w:t>决定</w:t>
      </w:r>
      <w:r>
        <w:rPr>
          <w:rFonts w:hint="eastAsia" w:ascii="仿宋_GB2312" w:hAnsi="宋体" w:eastAsia="仿宋_GB2312" w:cs="宋体"/>
          <w:color w:val="000000"/>
          <w:kern w:val="0"/>
          <w:sz w:val="28"/>
          <w:szCs w:val="28"/>
        </w:rPr>
        <w:t>举办“</w:t>
      </w:r>
      <w:r>
        <w:rPr>
          <w:rFonts w:hint="eastAsia" w:ascii="仿宋_GB2312" w:hAnsi="宋体" w:eastAsia="仿宋_GB2312" w:cs="宋体"/>
          <w:color w:val="000000"/>
          <w:kern w:val="0"/>
          <w:sz w:val="28"/>
          <w:szCs w:val="28"/>
          <w:lang w:val="en-US" w:eastAsia="zh-CN"/>
        </w:rPr>
        <w:t>企事业单位</w:t>
      </w:r>
      <w:r>
        <w:rPr>
          <w:rFonts w:hint="eastAsia" w:ascii="仿宋_GB2312" w:hAnsi="宋体" w:eastAsia="仿宋_GB2312" w:cs="宋体"/>
          <w:color w:val="000000"/>
          <w:kern w:val="0"/>
          <w:sz w:val="28"/>
          <w:szCs w:val="28"/>
          <w:lang w:val="en-US" w:eastAsia="zh-CN"/>
        </w:rPr>
        <w:fldChar w:fldCharType="begin"/>
      </w:r>
      <w:r>
        <w:rPr>
          <w:rFonts w:hint="eastAsia" w:ascii="仿宋_GB2312" w:hAnsi="宋体" w:eastAsia="仿宋_GB2312" w:cs="宋体"/>
          <w:color w:val="000000"/>
          <w:kern w:val="0"/>
          <w:sz w:val="28"/>
          <w:szCs w:val="28"/>
          <w:lang w:val="en-US" w:eastAsia="zh-CN"/>
        </w:rPr>
        <w:instrText xml:space="preserve"> HYPERLINK "http://www.chinadsjs.com/?c=articles&amp;a=show&amp;id=1274" </w:instrText>
      </w:r>
      <w:r>
        <w:rPr>
          <w:rFonts w:hint="eastAsia" w:ascii="仿宋_GB2312" w:hAnsi="宋体" w:eastAsia="仿宋_GB2312" w:cs="宋体"/>
          <w:color w:val="000000"/>
          <w:kern w:val="0"/>
          <w:sz w:val="28"/>
          <w:szCs w:val="28"/>
          <w:lang w:val="en-US" w:eastAsia="zh-CN"/>
        </w:rPr>
        <w:fldChar w:fldCharType="separate"/>
      </w:r>
      <w:r>
        <w:rPr>
          <w:rFonts w:hint="eastAsia" w:ascii="仿宋_GB2312" w:hAnsi="宋体" w:eastAsia="仿宋_GB2312" w:cs="宋体"/>
          <w:color w:val="000000"/>
          <w:kern w:val="0"/>
          <w:sz w:val="28"/>
          <w:szCs w:val="28"/>
          <w:lang w:val="en-US" w:eastAsia="zh-CN"/>
        </w:rPr>
        <w:t>公文写作处理</w:t>
      </w:r>
      <w:r>
        <w:rPr>
          <w:rFonts w:hint="eastAsia" w:ascii="仿宋_GB2312" w:hAnsi="宋体" w:eastAsia="仿宋_GB2312" w:cs="宋体"/>
          <w:color w:val="000000"/>
          <w:kern w:val="0"/>
          <w:sz w:val="28"/>
          <w:szCs w:val="28"/>
          <w:lang w:val="en-US" w:eastAsia="zh-CN"/>
        </w:rPr>
        <w:fldChar w:fldCharType="end"/>
      </w:r>
      <w:r>
        <w:rPr>
          <w:rFonts w:hint="eastAsia" w:ascii="仿宋_GB2312" w:hAnsi="宋体" w:eastAsia="仿宋_GB2312" w:cs="宋体"/>
          <w:color w:val="000000"/>
          <w:kern w:val="0"/>
          <w:sz w:val="28"/>
          <w:szCs w:val="28"/>
          <w:lang w:val="en-US" w:eastAsia="zh-CN"/>
        </w:rPr>
        <w:t>与应用暨综合行政管理能力提升”</w:t>
      </w:r>
      <w:r>
        <w:rPr>
          <w:rFonts w:hint="eastAsia" w:ascii="仿宋_GB2312" w:hAnsi="宋体" w:eastAsia="仿宋_GB2312" w:cs="宋体"/>
          <w:color w:val="000000"/>
          <w:kern w:val="0"/>
          <w:sz w:val="28"/>
          <w:szCs w:val="28"/>
        </w:rPr>
        <w:t>高级研修班</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具体事宜由</w:t>
      </w:r>
      <w:r>
        <w:rPr>
          <w:rFonts w:hint="eastAsia" w:ascii="仿宋" w:hAnsi="仿宋" w:eastAsia="仿宋" w:cs="仿宋"/>
          <w:color w:val="000000"/>
          <w:kern w:val="2"/>
          <w:sz w:val="28"/>
          <w:szCs w:val="28"/>
        </w:rPr>
        <w:t>北京中建科信科技服务有限公司</w:t>
      </w:r>
      <w:r>
        <w:rPr>
          <w:rFonts w:hint="eastAsia" w:ascii="仿宋_GB2312" w:hAnsi="宋体" w:eastAsia="仿宋_GB2312" w:cs="宋体"/>
          <w:color w:val="000000"/>
          <w:kern w:val="0"/>
          <w:sz w:val="28"/>
          <w:szCs w:val="28"/>
          <w:lang w:val="en-US" w:eastAsia="zh-CN"/>
        </w:rPr>
        <w:t>承办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请相关单位根据情况组织选派相关人员参加培训。现将具体通知如下：</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附件1：培训内容</w:t>
      </w:r>
      <w:r>
        <w:rPr>
          <w:rFonts w:ascii="仿宋_GB2312" w:hAnsi="宋体" w:eastAsia="仿宋_GB2312" w:cs="宋体"/>
          <w:color w:val="000000"/>
          <w:kern w:val="0"/>
          <w:sz w:val="28"/>
          <w:szCs w:val="28"/>
        </w:rPr>
        <w:tab/>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r>
        <w:rPr>
          <w:rFonts w:hint="eastAsia" w:ascii="仿宋_GB2312" w:hAnsi="宋体" w:eastAsia="仿宋_GB2312" w:cs="宋体"/>
          <w:color w:val="000000"/>
          <w:kern w:val="0"/>
          <w:sz w:val="28"/>
          <w:szCs w:val="28"/>
          <w:lang w:val="en-US" w:eastAsia="zh-CN"/>
        </w:rPr>
        <w:drawing>
          <wp:anchor distT="0" distB="0" distL="114300" distR="114300" simplePos="0" relativeHeight="251662336" behindDoc="1" locked="0" layoutInCell="1" allowOverlap="1">
            <wp:simplePos x="0" y="0"/>
            <wp:positionH relativeFrom="column">
              <wp:posOffset>2990215</wp:posOffset>
            </wp:positionH>
            <wp:positionV relativeFrom="paragraph">
              <wp:posOffset>8255</wp:posOffset>
            </wp:positionV>
            <wp:extent cx="1596390" cy="1624965"/>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5"/>
                    <a:stretch>
                      <a:fillRect/>
                    </a:stretch>
                  </pic:blipFill>
                  <pic:spPr>
                    <a:xfrm>
                      <a:off x="0" y="0"/>
                      <a:ext cx="1596390" cy="1624965"/>
                    </a:xfrm>
                    <a:prstGeom prst="rect">
                      <a:avLst/>
                    </a:prstGeom>
                  </pic:spPr>
                </pic:pic>
              </a:graphicData>
            </a:graphic>
          </wp:anchor>
        </w:drawing>
      </w:r>
      <w:r>
        <w:rPr>
          <w:rFonts w:hint="eastAsia" w:ascii="仿宋_GB2312" w:hAnsi="宋体" w:eastAsia="仿宋_GB2312" w:cs="宋体"/>
          <w:color w:val="000000"/>
          <w:kern w:val="0"/>
          <w:sz w:val="28"/>
          <w:szCs w:val="28"/>
        </w:rPr>
        <w:t>附件2：报名回执表</w:t>
      </w: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5763260</wp:posOffset>
            </wp:positionV>
            <wp:extent cx="2353945" cy="1800860"/>
            <wp:effectExtent l="451485" t="287020" r="452755" b="292735"/>
            <wp:wrapNone/>
            <wp:docPr id="1" name="图片 6" descr="154553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45536493(1)"/>
                    <pic:cNvPicPr>
                      <a:picLocks noChangeAspect="1"/>
                    </pic:cNvPicPr>
                  </pic:nvPicPr>
                  <pic:blipFill>
                    <a:blip r:embed="rId6">
                      <a:lum bright="34000"/>
                    </a:blip>
                    <a:stretch>
                      <a:fillRect/>
                    </a:stretch>
                  </pic:blipFill>
                  <pic:spPr>
                    <a:xfrm rot="-3695715">
                      <a:off x="0" y="0"/>
                      <a:ext cx="2353945" cy="18008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4819" w:firstLineChars="1500"/>
        <w:textAlignment w:val="baseline"/>
        <w:rPr>
          <w:rFonts w:hint="default" w:ascii="仿宋_GB2312" w:hAnsi="宋体" w:eastAsia="仿宋_GB2312" w:cs="宋体"/>
          <w:color w:val="000000"/>
          <w:kern w:val="0"/>
          <w:sz w:val="28"/>
          <w:szCs w:val="28"/>
          <w:lang w:val="en-US" w:eastAsia="zh-CN"/>
        </w:rPr>
      </w:pPr>
      <w:r>
        <w:rPr>
          <w:rFonts w:hint="eastAsia" w:eastAsia="宋体" w:cs="黑体" w:asciiTheme="minorEastAsia" w:hAnsiTheme="minorEastAsia"/>
          <w:b/>
          <w:bCs/>
          <w:sz w:val="32"/>
          <w:szCs w:val="32"/>
          <w:highlight w:val="none"/>
          <w:lang w:val="en-US" w:eastAsia="zh-CN"/>
        </w:rPr>
        <w:t>中国公文写作网</w:t>
      </w:r>
      <w:r>
        <w:rPr>
          <w:rFonts w:hint="eastAsia" w:ascii="仿宋_GB2312" w:hAnsi="宋体" w:eastAsia="仿宋_GB2312" w:cs="宋体"/>
          <w:color w:val="000000"/>
          <w:kern w:val="0"/>
          <w:sz w:val="28"/>
          <w:szCs w:val="28"/>
          <w:lang w:val="en-US" w:eastAsia="zh-CN"/>
        </w:rPr>
        <w:t xml:space="preserve">                   </w: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ascii="仿宋_GB2312" w:hAnsi="宋体" w:eastAsia="仿宋_GB2312" w:cs="宋体"/>
          <w:color w:val="000000"/>
          <w:kern w:val="0"/>
          <w:sz w:val="28"/>
          <w:szCs w:val="28"/>
          <w:lang w:val="en-US" w:eastAsia="zh-CN"/>
        </w:rPr>
        <w:t xml:space="preserve">  </w:t>
      </w:r>
      <w:r>
        <w:rPr>
          <w:rFonts w:hint="eastAsia" w:eastAsia="宋体" w:cs="黑体" w:asciiTheme="minorEastAsia" w:hAnsiTheme="minorEastAsia"/>
          <w:b/>
          <w:bCs/>
          <w:sz w:val="32"/>
          <w:szCs w:val="32"/>
          <w:highlight w:val="none"/>
          <w:lang w:val="en-US" w:eastAsia="zh-CN"/>
        </w:rPr>
        <w:t xml:space="preserve"> </w:t>
      </w:r>
      <w:r>
        <w:rPr>
          <w:rFonts w:hint="eastAsia" w:cs="黑体" w:asciiTheme="minorEastAsia" w:hAnsiTheme="minorEastAsia"/>
          <w:b/>
          <w:bCs/>
          <w:sz w:val="32"/>
          <w:szCs w:val="32"/>
          <w:highlight w:val="none"/>
          <w:lang w:val="en-US" w:eastAsia="zh-CN"/>
        </w:rPr>
        <w:t xml:space="preserve">                </w:t>
      </w:r>
      <w:r>
        <w:rPr>
          <w:rFonts w:hint="eastAsia" w:eastAsia="宋体" w:cs="黑体" w:asciiTheme="minorEastAsia" w:hAnsiTheme="minorEastAsia"/>
          <w:b/>
          <w:bCs/>
          <w:sz w:val="32"/>
          <w:szCs w:val="32"/>
          <w:highlight w:val="none"/>
          <w:lang w:val="en-US" w:eastAsia="zh-CN"/>
        </w:rPr>
        <w:t>2023年8月14日</w:t>
      </w:r>
      <w:r>
        <w:rPr>
          <w:rFonts w:hint="eastAsia" w:cs="黑体" w:asciiTheme="minorEastAsia" w:hAnsiTheme="minorEastAsia"/>
          <w:b/>
          <w:bCs/>
          <w:sz w:val="32"/>
          <w:szCs w:val="32"/>
          <w:highlight w:val="none"/>
          <w:lang w:val="en-US" w:eastAsia="zh-CN"/>
        </w:rPr>
        <w:t xml:space="preserve">                </w:t>
      </w:r>
    </w:p>
    <w:p>
      <w:pPr>
        <w:spacing w:line="500" w:lineRule="exact"/>
        <w:ind w:right="-17" w:rightChars="-8" w:firstLine="964" w:firstLineChars="300"/>
        <w:jc w:val="left"/>
        <w:rPr>
          <w:rFonts w:hint="eastAsia" w:cs="黑体" w:asciiTheme="minorEastAsia" w:hAnsiTheme="minorEastAsia"/>
          <w:b/>
          <w:bCs/>
          <w:sz w:val="32"/>
          <w:szCs w:val="32"/>
          <w:highlight w:val="none"/>
          <w:lang w:val="en-US" w:eastAsia="zh-CN"/>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附件1：</w:t>
      </w:r>
    </w:p>
    <w:p>
      <w:pPr>
        <w:keepNext w:val="0"/>
        <w:keepLines w:val="0"/>
        <w:pageBreakBefore w:val="0"/>
        <w:kinsoku/>
        <w:wordWrap/>
        <w:overflowPunct/>
        <w:topLinePunct w:val="0"/>
        <w:autoSpaceDE/>
        <w:autoSpaceDN/>
        <w:bidi w:val="0"/>
        <w:snapToGrid/>
        <w:spacing w:line="480" w:lineRule="exact"/>
        <w:ind w:right="0" w:rightChars="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一、培训内容</w:t>
      </w:r>
    </w:p>
    <w:p>
      <w:pPr>
        <w:keepNext w:val="0"/>
        <w:keepLines w:val="0"/>
        <w:pageBreakBefore w:val="0"/>
        <w:kinsoku/>
        <w:wordWrap/>
        <w:overflowPunct/>
        <w:topLinePunct w:val="0"/>
        <w:autoSpaceDE/>
        <w:autoSpaceDN/>
        <w:bidi w:val="0"/>
        <w:adjustRightInd w:val="0"/>
        <w:snapToGrid/>
        <w:spacing w:line="480" w:lineRule="exact"/>
        <w:ind w:left="0" w:right="0" w:rightChars="0" w:firstLine="562" w:firstLineChars="200"/>
        <w:contextualSpacing/>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en-US" w:eastAsia="zh-CN"/>
        </w:rPr>
        <w:t>公文写作政策水平与文风</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1.具备较高的思想政策水平，是写好公文的先决条件。</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2.提高思想政策水平方法和途径</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3.优良文风的基本要求</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4.怎样改进文风</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 xml:space="preserve">5.文风方面存在的问题 </w:t>
      </w:r>
    </w:p>
    <w:p>
      <w:pPr>
        <w:keepNext w:val="0"/>
        <w:keepLines w:val="0"/>
        <w:pageBreakBefore w:val="0"/>
        <w:kinsoku/>
        <w:wordWrap/>
        <w:overflowPunct/>
        <w:topLinePunct w:val="0"/>
        <w:autoSpaceDE/>
        <w:autoSpaceDN/>
        <w:bidi w:val="0"/>
        <w:adjustRightInd w:val="0"/>
        <w:snapToGrid/>
        <w:spacing w:line="480" w:lineRule="exact"/>
        <w:ind w:left="0" w:right="0" w:rightChars="0" w:firstLine="562" w:firstLineChars="200"/>
        <w:contextualSpacing/>
        <w:rPr>
          <w:rFonts w:hint="eastAsia" w:ascii="仿宋" w:hAnsi="仿宋" w:eastAsia="仿宋" w:cs="仿宋"/>
          <w:kern w:val="36"/>
          <w:sz w:val="28"/>
          <w:szCs w:val="28"/>
          <w:lang w:val="en-US" w:eastAsia="zh-CN"/>
        </w:rPr>
      </w:pPr>
      <w:r>
        <w:rPr>
          <w:rFonts w:hint="eastAsia" w:ascii="仿宋" w:hAnsi="仿宋" w:eastAsia="仿宋" w:cs="仿宋"/>
          <w:b/>
          <w:bCs/>
          <w:kern w:val="36"/>
          <w:sz w:val="28"/>
          <w:szCs w:val="28"/>
          <w:lang w:val="en-US" w:eastAsia="zh-CN"/>
        </w:rPr>
        <w:t>（二）公文写作与处理释疑解惑30题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1.印发性、转发性通知标题中，被印发和转发的文件带不带书名号？同时它们是以附件形式存在还是属于正文？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2.公文写作讲不讲“灵感开发”？怎样正确看待公文写作中的“灵感开发”？</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3.“预备通知”“紧急通知”“会议通知”“联合通知”“任免通知”等为什么是错误的？</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4.公文写作中涉及的“有关”和“相关”有什么区别？“国家一级演员”“国家公务员”等的表述为什么不对？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5.怎样正确使用公文文种？</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6.单位拟制了一份工作方案，主要领导已经签了字，需要提交党委常委会讨论通过，成文日期如何确定？</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7.是否所有公文都要有签发人？是否所有公文都要由主要负责人签发？</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8.通知、意见、批复等文种，什么时候采用通用格式？什么时候采用信函格式？</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9.起草领导讲话稿需要注意把握的4个“关键之点”是什么？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10.“快速成文”的技巧有哪些？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11.为什么“三”的哲学是公文处理过程中一条基本规律？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12.机要文件处理过程中“四个一”安全保密法是什么？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13.公文文种选用的基本依据是什么？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14.党政工青妇可以联合行文吗？</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15.信函格式是否为平行文的专用格式？</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16.公文拟制过程中什么时候使用“大红头”？什么时候使用“小红头”？</w:t>
      </w:r>
    </w:p>
    <w:p>
      <w:pPr>
        <w:keepNext w:val="0"/>
        <w:keepLines w:val="0"/>
        <w:pageBreakBefore w:val="0"/>
        <w:widowControl/>
        <w:kinsoku/>
        <w:wordWrap/>
        <w:overflowPunct/>
        <w:topLinePunct w:val="0"/>
        <w:autoSpaceDE/>
        <w:autoSpaceDN/>
        <w:bidi w:val="0"/>
        <w:adjustRightInd w:val="0"/>
        <w:spacing w:line="480" w:lineRule="exact"/>
        <w:ind w:leftChars="100" w:right="210" w:rightChars="100" w:firstLine="281" w:firstLineChars="100"/>
        <w:contextualSpacing/>
        <w:rPr>
          <w:rFonts w:ascii="楷体" w:hAnsi="楷体" w:eastAsia="楷体" w:cs="宋体"/>
          <w:b/>
          <w:bCs/>
          <w:color w:val="000000"/>
          <w:sz w:val="32"/>
          <w:szCs w:val="32"/>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（三）《党政机关公文处理工作条例》和《党政机关公文格式》解读运用及公文处理重点环节分析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1.《党政机关公文处理工作条例》和《党政机关公文格式》重点</w:t>
      </w:r>
      <w:r>
        <w:rPr>
          <w:rFonts w:hint="eastAsia" w:ascii="仿宋" w:hAnsi="仿宋" w:eastAsia="仿宋" w:cs="仿宋"/>
          <w:kern w:val="36"/>
          <w:sz w:val="28"/>
          <w:szCs w:val="28"/>
          <w:lang w:val="en-US"/>
        </w:rPr>
        <w:t>解读</w:t>
      </w:r>
      <w:r>
        <w:rPr>
          <w:rFonts w:hint="eastAsia" w:ascii="仿宋" w:hAnsi="仿宋" w:eastAsia="仿宋" w:cs="仿宋"/>
          <w:kern w:val="36"/>
          <w:sz w:val="28"/>
          <w:szCs w:val="28"/>
        </w:rPr>
        <w:t>与运用</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2.《党政机关公文处理工作条例》中规范性公文的甄定与价值分析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3.《党政机关公文处理工作条例》的应用难点分析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4.公文行文规则与排版规范</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5.公文处理工作的基本内容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6.《党政机关公文格式》的七大变化</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7.公文审核管理的内容和公文审核“硬伤”分析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8.单位办公室贯彻公文处理工作条例与公文格式的几点思考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四</w:t>
      </w:r>
      <w:r>
        <w:rPr>
          <w:rStyle w:val="14"/>
          <w:rFonts w:hint="eastAsia" w:ascii="仿宋" w:hAnsi="仿宋" w:eastAsia="仿宋" w:cs="仿宋"/>
          <w:i w:val="0"/>
          <w:iCs w:val="0"/>
          <w:caps w:val="0"/>
          <w:color w:val="333333"/>
          <w:spacing w:val="0"/>
          <w:sz w:val="28"/>
          <w:szCs w:val="28"/>
          <w:shd w:val="clear" w:fill="FFFFFF"/>
        </w:rPr>
        <w:t>）常用法定公文及日常事务文书写作技巧及案例分析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1.法定公文的种类及适用范围</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2.通知写作技巧及模板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3.报告写作技巧及模板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4.请示与批复写作技巧及模板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5.纪要写作技巧及模板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6.法定公文使用偏误及案例分析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7.计划和总结的写作技巧及模板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8.领导讲话稿的要求、写作技巧和范例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9.如何写出有亮点的年终总结和述职报告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五</w:t>
      </w:r>
      <w:r>
        <w:rPr>
          <w:rStyle w:val="14"/>
          <w:rFonts w:hint="eastAsia" w:ascii="仿宋" w:hAnsi="仿宋" w:eastAsia="仿宋" w:cs="仿宋"/>
          <w:i w:val="0"/>
          <w:iCs w:val="0"/>
          <w:caps w:val="0"/>
          <w:color w:val="333333"/>
          <w:spacing w:val="0"/>
          <w:sz w:val="28"/>
          <w:szCs w:val="28"/>
          <w:shd w:val="clear" w:fill="FFFFFF"/>
        </w:rPr>
        <w:t>）如何提升写作技能</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1.如何提升写作技能——从标题入手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2.如何写好文章的开篇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3.文章如何结尾，怎样拔高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4.如何写好公文的正文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5.如何克服写作畏难症，快速提高写作水平</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6.提升公文写作水平的“六字法”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7.常用文种范文案例分享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leftChars="0" w:right="0" w:rightChars="0" w:firstLine="562" w:firstLineChars="200"/>
        <w:jc w:val="left"/>
        <w:rPr>
          <w:rStyle w:val="14"/>
          <w:rFonts w:hint="eastAsia" w:ascii="仿宋" w:hAnsi="仿宋" w:eastAsia="仿宋" w:cs="仿宋"/>
          <w:i w:val="0"/>
          <w:iCs w:val="0"/>
          <w:caps w:val="0"/>
          <w:color w:val="333333"/>
          <w:spacing w:val="0"/>
          <w:sz w:val="28"/>
          <w:szCs w:val="28"/>
          <w:shd w:val="clear" w:fill="FFFFFF"/>
        </w:rPr>
      </w:pP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六</w:t>
      </w:r>
      <w:r>
        <w:rPr>
          <w:rStyle w:val="14"/>
          <w:rFonts w:hint="default" w:ascii="仿宋" w:hAnsi="仿宋" w:eastAsia="仿宋" w:cs="仿宋"/>
          <w:i w:val="0"/>
          <w:iCs w:val="0"/>
          <w:caps w:val="0"/>
          <w:color w:val="333333"/>
          <w:spacing w:val="0"/>
          <w:sz w:val="28"/>
          <w:szCs w:val="28"/>
          <w:shd w:val="clear" w:fill="FFFFFF"/>
        </w:rPr>
        <w:t>）企事业单位新闻宣传稿的写作技巧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1.新闻宣传稿在企业形象与品牌战略中的作用</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2.企业优秀新闻通讯员应具备的素质和能力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3.新闻宣传稿件写作基本要求和技巧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4.几种常见体裁新闻的具体写法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5.网络等媒体宣传类文稿的写作的注意事项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6.融媒体时代企业新闻报道与稿件写作案例分析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7.移动互联网时代企业信息宣传如何提升影响力</w:t>
      </w:r>
    </w:p>
    <w:p>
      <w:pPr>
        <w:keepNext w:val="0"/>
        <w:keepLines w:val="0"/>
        <w:pageBreakBefore w:val="0"/>
        <w:widowControl/>
        <w:kinsoku/>
        <w:wordWrap/>
        <w:overflowPunct/>
        <w:topLinePunct w:val="0"/>
        <w:autoSpaceDE/>
        <w:autoSpaceDN/>
        <w:bidi w:val="0"/>
        <w:adjustRightInd w:val="0"/>
        <w:spacing w:line="480" w:lineRule="exact"/>
        <w:ind w:leftChars="100" w:right="210" w:rightChars="100" w:firstLine="281" w:firstLineChars="100"/>
        <w:contextualSpacing/>
        <w:rPr>
          <w:rStyle w:val="14"/>
          <w:rFonts w:hint="default" w:ascii="仿宋" w:hAnsi="仿宋" w:eastAsia="仿宋" w:cs="仿宋"/>
          <w:i w:val="0"/>
          <w:iCs w:val="0"/>
          <w:caps w:val="0"/>
          <w:color w:val="333333"/>
          <w:spacing w:val="0"/>
          <w:kern w:val="0"/>
          <w:sz w:val="28"/>
          <w:szCs w:val="28"/>
          <w:shd w:val="clear" w:fill="FFFFFF"/>
          <w:lang w:val="en-US" w:eastAsia="zh-CN" w:bidi="ar"/>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（七）党建公文写作技巧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1.二十大精神与新时代的新要求</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2.基层党建文稿的主要类型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3.基层党建文稿常见问题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4.党建汇报类文稿写作技法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5.党建经验类文稿写作技法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6.党建新闻文稿的常见问题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八</w:t>
      </w:r>
      <w:r>
        <w:rPr>
          <w:rFonts w:hint="default" w:ascii="仿宋" w:hAnsi="仿宋" w:eastAsia="仿宋" w:cs="仿宋"/>
          <w:b/>
          <w:bCs/>
          <w:i w:val="0"/>
          <w:iCs w:val="0"/>
          <w:caps w:val="0"/>
          <w:color w:val="333333"/>
          <w:spacing w:val="0"/>
          <w:sz w:val="28"/>
          <w:szCs w:val="28"/>
          <w:shd w:val="clear" w:fill="FFFFFF"/>
        </w:rPr>
        <w:t>）办公室综合管理技能提升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1.新发展阶段办公室工作新特点与新趋势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2.新阶段办公室管理技能的新高度</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3.新阶段提高办公室综合管理水平的途径分析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4.新阶段办公室工作人员必备的素质与能力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5.怎样向上管理？</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6.办公室督查督办的新特点与高效督办艺术</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7.办公室软硬环境管理（物质环境与人际关系）</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8.办公室接待能力提升方法</w:t>
      </w:r>
    </w:p>
    <w:p>
      <w:pPr>
        <w:pStyle w:val="2"/>
        <w:rPr>
          <w:rFonts w:hint="default" w:eastAsia="仿宋"/>
          <w:lang w:val="en-US" w:eastAsia="zh-CN"/>
        </w:rPr>
      </w:pPr>
      <w:r>
        <w:rPr>
          <w:rFonts w:hint="eastAsia" w:hAnsi="仿宋" w:cs="仿宋"/>
          <w:kern w:val="36"/>
          <w:sz w:val="28"/>
          <w:szCs w:val="28"/>
          <w:lang w:val="en-US" w:eastAsia="zh-CN"/>
        </w:rPr>
        <w:t>9.会议管理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九</w:t>
      </w:r>
      <w:r>
        <w:rPr>
          <w:rFonts w:hint="default" w:ascii="仿宋" w:hAnsi="仿宋" w:eastAsia="仿宋" w:cs="仿宋"/>
          <w:b/>
          <w:bCs/>
          <w:i w:val="0"/>
          <w:iCs w:val="0"/>
          <w:caps w:val="0"/>
          <w:color w:val="333333"/>
          <w:spacing w:val="0"/>
          <w:sz w:val="28"/>
          <w:szCs w:val="28"/>
          <w:shd w:val="clear" w:fill="FFFFFF"/>
        </w:rPr>
        <w:t>）办公室有效沟通与团队建设</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1.职场识人术：沟通协调的前提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2.高效沟通是提升办公室管理工作效率的“法宝”</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3.组织沟通中表达、倾听、反馈的原则与技巧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4.如何与上司沟通，如何与同级沟通，如何与下属沟通</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5.办公室人员在沟通协调中常见问题分析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6.职场高效协调艺术及案例分析</w:t>
      </w:r>
    </w:p>
    <w:p>
      <w:pPr>
        <w:keepNext w:val="0"/>
        <w:keepLines w:val="0"/>
        <w:pageBreakBefore w:val="0"/>
        <w:kinsoku/>
        <w:wordWrap/>
        <w:overflowPunct/>
        <w:topLinePunct w:val="0"/>
        <w:autoSpaceDE/>
        <w:autoSpaceDN/>
        <w:bidi w:val="0"/>
        <w:adjustRightInd/>
        <w:spacing w:line="480" w:lineRule="exact"/>
        <w:textAlignment w:val="baseline"/>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二、</w:t>
      </w:r>
      <w:r>
        <w:rPr>
          <w:rFonts w:hint="eastAsia" w:ascii="仿宋_GB2312" w:hAnsi="宋体" w:eastAsia="仿宋_GB2312" w:cs="宋体"/>
          <w:b/>
          <w:color w:val="000000"/>
          <w:kern w:val="0"/>
          <w:sz w:val="28"/>
          <w:szCs w:val="28"/>
          <w:lang w:val="en-US" w:eastAsia="zh-CN"/>
        </w:rPr>
        <w:t>授课专家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拟邀请中国写作学会副会长、中国公文学研究所所长</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中国人事科学研究院、</w:t>
      </w:r>
      <w:r>
        <w:rPr>
          <w:rFonts w:hint="eastAsia" w:ascii="仿宋" w:hAnsi="仿宋" w:eastAsia="仿宋" w:cs="仿宋"/>
          <w:i w:val="0"/>
          <w:iCs w:val="0"/>
          <w:caps w:val="0"/>
          <w:color w:val="333333"/>
          <w:spacing w:val="0"/>
          <w:sz w:val="28"/>
          <w:szCs w:val="28"/>
          <w:shd w:val="clear" w:fill="FFFFFF"/>
        </w:rPr>
        <w:t>央企行政总监</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人事总监</w:t>
      </w:r>
      <w:r>
        <w:rPr>
          <w:rFonts w:hint="default" w:ascii="仿宋" w:hAnsi="仿宋" w:eastAsia="仿宋" w:cs="仿宋"/>
          <w:i w:val="0"/>
          <w:iCs w:val="0"/>
          <w:caps w:val="0"/>
          <w:color w:val="333333"/>
          <w:spacing w:val="0"/>
          <w:sz w:val="28"/>
          <w:szCs w:val="28"/>
          <w:shd w:val="clear" w:fill="FFFFFF"/>
        </w:rPr>
        <w:t>相关领导和专家进行授课</w:t>
      </w:r>
      <w:r>
        <w:rPr>
          <w:rFonts w:hint="eastAsia" w:ascii="仿宋" w:hAnsi="仿宋" w:eastAsia="仿宋" w:cs="仿宋"/>
          <w:i w:val="0"/>
          <w:iCs w:val="0"/>
          <w:caps w:val="0"/>
          <w:color w:val="333333"/>
          <w:spacing w:val="0"/>
          <w:sz w:val="28"/>
          <w:szCs w:val="28"/>
          <w:shd w:val="clear" w:fill="FFFFFF"/>
        </w:rPr>
        <w:t>，</w:t>
      </w:r>
      <w:r>
        <w:rPr>
          <w:rFonts w:hint="default" w:ascii="仿宋" w:hAnsi="仿宋" w:eastAsia="仿宋" w:cs="仿宋"/>
          <w:i w:val="0"/>
          <w:iCs w:val="0"/>
          <w:caps w:val="0"/>
          <w:color w:val="333333"/>
          <w:spacing w:val="0"/>
          <w:sz w:val="28"/>
          <w:szCs w:val="28"/>
          <w:shd w:val="clear" w:fill="FFFFFF"/>
        </w:rPr>
        <w:t>并组织交流与研讨。</w:t>
      </w:r>
    </w:p>
    <w:p>
      <w:pPr>
        <w:keepNext w:val="0"/>
        <w:keepLines w:val="0"/>
        <w:pageBreakBefore w:val="0"/>
        <w:kinsoku/>
        <w:wordWrap/>
        <w:overflowPunct/>
        <w:topLinePunct w:val="0"/>
        <w:autoSpaceDE/>
        <w:autoSpaceDN/>
        <w:bidi w:val="0"/>
        <w:adjustRightInd/>
        <w:spacing w:line="480" w:lineRule="exact"/>
        <w:textAlignment w:val="baseline"/>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bCs w:val="0"/>
          <w:color w:val="000000"/>
          <w:kern w:val="0"/>
          <w:sz w:val="28"/>
          <w:szCs w:val="28"/>
        </w:rPr>
        <w:t>三</w:t>
      </w:r>
      <w:r>
        <w:rPr>
          <w:rFonts w:hint="eastAsia" w:ascii="仿宋_GB2312" w:hAnsi="宋体" w:eastAsia="仿宋_GB2312" w:cs="宋体"/>
          <w:b/>
          <w:color w:val="000000"/>
          <w:kern w:val="0"/>
          <w:sz w:val="28"/>
          <w:szCs w:val="28"/>
        </w:rPr>
        <w:t>、</w:t>
      </w:r>
      <w:r>
        <w:rPr>
          <w:rFonts w:hint="eastAsia" w:ascii="仿宋_GB2312" w:hAnsi="宋体" w:eastAsia="仿宋_GB2312" w:cs="宋体"/>
          <w:b/>
          <w:color w:val="000000"/>
          <w:kern w:val="0"/>
          <w:sz w:val="28"/>
          <w:szCs w:val="28"/>
          <w:lang w:val="en-US" w:eastAsia="zh-CN"/>
        </w:rPr>
        <w:t>培训对象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各级省市国资委单位负责办公室管理工作的人员。企事业单位办公室主任、董秘、总经理工作部、</w:t>
      </w:r>
      <w:r>
        <w:rPr>
          <w:rFonts w:hint="eastAsia" w:ascii="仿宋" w:hAnsi="仿宋" w:eastAsia="仿宋" w:cs="仿宋"/>
          <w:i w:val="0"/>
          <w:iCs w:val="0"/>
          <w:caps w:val="0"/>
          <w:color w:val="333333"/>
          <w:spacing w:val="0"/>
          <w:sz w:val="28"/>
          <w:szCs w:val="28"/>
          <w:shd w:val="clear" w:fill="FFFFFF"/>
        </w:rPr>
        <w:t>人事部门</w:t>
      </w:r>
      <w:r>
        <w:rPr>
          <w:rFonts w:hint="default" w:ascii="仿宋" w:hAnsi="仿宋" w:eastAsia="仿宋" w:cs="仿宋"/>
          <w:i w:val="0"/>
          <w:iCs w:val="0"/>
          <w:caps w:val="0"/>
          <w:color w:val="333333"/>
          <w:spacing w:val="0"/>
          <w:sz w:val="28"/>
          <w:szCs w:val="28"/>
          <w:shd w:val="clear" w:fill="FFFFFF"/>
        </w:rPr>
        <w:t>、综合管理部、行政部、党群工作部、党委办公室、公司秘书、党办、人事</w:t>
      </w:r>
      <w:r>
        <w:rPr>
          <w:rFonts w:hint="eastAsia" w:ascii="仿宋" w:hAnsi="仿宋" w:eastAsia="仿宋" w:cs="仿宋"/>
          <w:i w:val="0"/>
          <w:iCs w:val="0"/>
          <w:caps w:val="0"/>
          <w:color w:val="333333"/>
          <w:spacing w:val="0"/>
          <w:sz w:val="28"/>
          <w:szCs w:val="28"/>
          <w:shd w:val="clear" w:fill="FFFFFF"/>
        </w:rPr>
        <w:t>经理</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党建、</w:t>
      </w:r>
      <w:r>
        <w:rPr>
          <w:rFonts w:hint="default" w:ascii="仿宋" w:hAnsi="仿宋" w:eastAsia="仿宋" w:cs="仿宋"/>
          <w:i w:val="0"/>
          <w:iCs w:val="0"/>
          <w:caps w:val="0"/>
          <w:color w:val="333333"/>
          <w:spacing w:val="0"/>
          <w:sz w:val="28"/>
          <w:szCs w:val="28"/>
          <w:shd w:val="clear" w:fill="FFFFFF"/>
        </w:rPr>
        <w:t>文书、</w:t>
      </w:r>
      <w:r>
        <w:rPr>
          <w:rFonts w:hint="eastAsia" w:ascii="仿宋" w:hAnsi="仿宋" w:eastAsia="仿宋" w:cs="仿宋"/>
          <w:i w:val="0"/>
          <w:iCs w:val="0"/>
          <w:caps w:val="0"/>
          <w:color w:val="333333"/>
          <w:spacing w:val="0"/>
          <w:sz w:val="28"/>
          <w:szCs w:val="28"/>
          <w:shd w:val="clear" w:fill="FFFFFF"/>
        </w:rPr>
        <w:t>工会办公室、</w:t>
      </w:r>
      <w:r>
        <w:rPr>
          <w:rFonts w:hint="eastAsia" w:ascii="仿宋" w:hAnsi="仿宋" w:eastAsia="仿宋" w:cs="仿宋"/>
          <w:i w:val="0"/>
          <w:iCs w:val="0"/>
          <w:caps w:val="0"/>
          <w:color w:val="333333"/>
          <w:spacing w:val="0"/>
          <w:sz w:val="28"/>
          <w:szCs w:val="28"/>
          <w:shd w:val="clear" w:fill="FFFFFF"/>
          <w:lang w:val="en-US" w:eastAsia="zh-CN"/>
        </w:rPr>
        <w:t>新闻媒体</w:t>
      </w:r>
      <w:r>
        <w:rPr>
          <w:rFonts w:hint="default" w:ascii="仿宋" w:hAnsi="仿宋" w:eastAsia="仿宋" w:cs="仿宋"/>
          <w:i w:val="0"/>
          <w:iCs w:val="0"/>
          <w:caps w:val="0"/>
          <w:color w:val="333333"/>
          <w:spacing w:val="0"/>
          <w:sz w:val="28"/>
          <w:szCs w:val="28"/>
          <w:shd w:val="clear" w:fill="FFFFFF"/>
        </w:rPr>
        <w:t>等有关工作人员。</w:t>
      </w:r>
    </w:p>
    <w:p>
      <w:pPr>
        <w:keepNext w:val="0"/>
        <w:keepLines w:val="0"/>
        <w:pageBreakBefore w:val="0"/>
        <w:kinsoku/>
        <w:wordWrap/>
        <w:overflowPunct/>
        <w:topLinePunct w:val="0"/>
        <w:autoSpaceDE/>
        <w:autoSpaceDN/>
        <w:bidi w:val="0"/>
        <w:adjustRightInd/>
        <w:spacing w:line="480" w:lineRule="exact"/>
        <w:textAlignment w:val="baseline"/>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w:t>
      </w:r>
      <w:r>
        <w:rPr>
          <w:rFonts w:ascii="仿宋_GB2312" w:hAnsi="宋体" w:eastAsia="仿宋_GB2312" w:cs="宋体"/>
          <w:b/>
          <w:color w:val="000000"/>
          <w:kern w:val="0"/>
          <w:sz w:val="28"/>
          <w:szCs w:val="28"/>
        </w:rPr>
        <w:t>培训时间及地点</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2023年09月18日—09月21日    乌鲁木齐市（18日全天报到）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2023年09月22日—09月25日    珠海市（22日全天报到）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2023年10月23日—10月26日    重庆市（23日全天报到）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2023年11月20日—11月23日    成都市（20日全天报到）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2023年12月18日—12月21日    哈尔滨市（18日全天报到）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2024年01月22日—01月25日    海口市（22日全天报到）</w:t>
      </w:r>
    </w:p>
    <w:p>
      <w:pPr>
        <w:keepNext w:val="0"/>
        <w:keepLines w:val="0"/>
        <w:pageBreakBefore w:val="0"/>
        <w:kinsoku/>
        <w:wordWrap/>
        <w:overflowPunct/>
        <w:topLinePunct w:val="0"/>
        <w:autoSpaceDE/>
        <w:autoSpaceDN/>
        <w:bidi w:val="0"/>
        <w:adjustRightInd/>
        <w:spacing w:line="480" w:lineRule="exact"/>
        <w:textAlignment w:val="baseline"/>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五、</w:t>
      </w:r>
      <w:r>
        <w:rPr>
          <w:rFonts w:hint="eastAsia" w:ascii="仿宋_GB2312" w:hAnsi="宋体" w:eastAsia="仿宋_GB2312" w:cs="宋体"/>
          <w:b/>
          <w:color w:val="000000"/>
          <w:kern w:val="0"/>
          <w:sz w:val="28"/>
          <w:szCs w:val="28"/>
          <w:lang w:val="en-US" w:eastAsia="zh-CN"/>
        </w:rPr>
        <w:t>培训费用：</w:t>
      </w:r>
    </w:p>
    <w:p>
      <w:pPr>
        <w:keepNext w:val="0"/>
        <w:keepLines w:val="0"/>
        <w:pageBreakBefore w:val="0"/>
        <w:widowControl w:val="0"/>
        <w:kinsoku/>
        <w:wordWrap/>
        <w:overflowPunct/>
        <w:topLinePunct w:val="0"/>
        <w:autoSpaceDE/>
        <w:autoSpaceDN/>
        <w:bidi w:val="0"/>
        <w:adjustRightInd w:val="0"/>
        <w:snapToGrid w:val="0"/>
        <w:spacing w:line="480" w:lineRule="exact"/>
        <w:ind w:firstLine="592" w:firstLineChars="200"/>
        <w:rPr>
          <w:rFonts w:hint="eastAsia" w:ascii="仿宋" w:hAnsi="仿宋" w:eastAsia="仿宋" w:cs="仿宋"/>
          <w:spacing w:val="8"/>
          <w:sz w:val="28"/>
          <w:szCs w:val="28"/>
        </w:rPr>
      </w:pPr>
      <w:r>
        <w:rPr>
          <w:rFonts w:hint="eastAsia" w:ascii="仿宋" w:hAnsi="仿宋" w:eastAsia="仿宋" w:cs="仿宋"/>
          <w:spacing w:val="8"/>
          <w:sz w:val="28"/>
          <w:szCs w:val="28"/>
          <w:lang w:val="en-US" w:eastAsia="zh-CN"/>
        </w:rPr>
        <w:t>A:</w:t>
      </w:r>
      <w:r>
        <w:rPr>
          <w:rFonts w:hint="eastAsia" w:ascii="仿宋" w:hAnsi="仿宋" w:eastAsia="仿宋" w:cs="仿宋"/>
          <w:spacing w:val="8"/>
          <w:sz w:val="28"/>
          <w:szCs w:val="28"/>
        </w:rPr>
        <w:t>3600元/人（含培训、资料、电子课件、场地及培训期间午餐），住宿统一安排，费用自理；</w:t>
      </w:r>
    </w:p>
    <w:p>
      <w:pPr>
        <w:keepNext w:val="0"/>
        <w:keepLines w:val="0"/>
        <w:pageBreakBefore w:val="0"/>
        <w:widowControl w:val="0"/>
        <w:kinsoku/>
        <w:wordWrap/>
        <w:overflowPunct/>
        <w:topLinePunct w:val="0"/>
        <w:autoSpaceDE/>
        <w:autoSpaceDN/>
        <w:bidi w:val="0"/>
        <w:snapToGrid w:val="0"/>
        <w:spacing w:line="460" w:lineRule="exact"/>
        <w:ind w:firstLine="600" w:firstLineChars="200"/>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rPr>
          <w:rFonts w:hint="eastAsia"/>
          <w:lang w:val="en-US" w:eastAsia="zh-CN"/>
        </w:rPr>
      </w:pPr>
      <w:bookmarkStart w:id="0" w:name="_GoBack"/>
      <w:bookmarkEnd w:id="0"/>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r>
        <w:rPr>
          <w:rFonts w:hint="eastAsia" w:eastAsia="仿宋" w:cs="黑体" w:asciiTheme="minorEastAsia" w:hAnsiTheme="minorEastAsia"/>
          <w:b/>
          <w:bCs/>
          <w:kern w:val="2"/>
          <w:sz w:val="32"/>
          <w:szCs w:val="32"/>
          <w:highlight w:val="none"/>
          <w:lang w:val="en-US" w:eastAsia="zh-CN" w:bidi="ar-SA"/>
        </w:rPr>
        <w:t>附件二：</w:t>
      </w:r>
    </w:p>
    <w:p>
      <w:pPr>
        <w:spacing w:line="500" w:lineRule="exact"/>
        <w:ind w:right="-17" w:rightChars="-8"/>
        <w:jc w:val="center"/>
        <w:rPr>
          <w:rFonts w:hint="eastAsia" w:eastAsia="仿宋" w:cs="黑体" w:asciiTheme="minorEastAsia" w:hAnsiTheme="minorEastAsia"/>
          <w:b/>
          <w:bCs/>
          <w:kern w:val="2"/>
          <w:sz w:val="30"/>
          <w:szCs w:val="30"/>
          <w:highlight w:val="none"/>
          <w:lang w:val="en-US" w:eastAsia="zh-CN" w:bidi="ar-SA"/>
        </w:rPr>
      </w:pPr>
      <w:r>
        <w:rPr>
          <w:rFonts w:hint="eastAsia" w:eastAsia="仿宋" w:cs="黑体" w:asciiTheme="minorEastAsia" w:hAnsiTheme="minorEastAsia"/>
          <w:b/>
          <w:bCs/>
          <w:kern w:val="2"/>
          <w:sz w:val="30"/>
          <w:szCs w:val="30"/>
          <w:highlight w:val="none"/>
          <w:lang w:val="en-US" w:eastAsia="zh-CN" w:bidi="ar-SA"/>
        </w:rPr>
        <w:t>“企事业单位</w:t>
      </w:r>
      <w:r>
        <w:rPr>
          <w:rFonts w:hint="eastAsia" w:eastAsia="仿宋" w:cs="黑体" w:asciiTheme="minorEastAsia" w:hAnsiTheme="minorEastAsia"/>
          <w:b/>
          <w:bCs/>
          <w:kern w:val="2"/>
          <w:sz w:val="30"/>
          <w:szCs w:val="30"/>
          <w:highlight w:val="none"/>
          <w:lang w:val="en-US" w:eastAsia="zh-CN" w:bidi="ar-SA"/>
        </w:rPr>
        <w:fldChar w:fldCharType="begin"/>
      </w:r>
      <w:r>
        <w:rPr>
          <w:rFonts w:hint="eastAsia" w:eastAsia="仿宋" w:cs="黑体" w:asciiTheme="minorEastAsia" w:hAnsiTheme="minorEastAsia"/>
          <w:b/>
          <w:bCs/>
          <w:kern w:val="2"/>
          <w:sz w:val="30"/>
          <w:szCs w:val="30"/>
          <w:highlight w:val="none"/>
          <w:lang w:val="en-US" w:eastAsia="zh-CN" w:bidi="ar-SA"/>
        </w:rPr>
        <w:instrText xml:space="preserve"> HYPERLINK "http://www.chinadsjs.com/?c=articles&amp;a=show&amp;id=1274" </w:instrText>
      </w:r>
      <w:r>
        <w:rPr>
          <w:rFonts w:hint="eastAsia" w:eastAsia="仿宋" w:cs="黑体" w:asciiTheme="minorEastAsia" w:hAnsiTheme="minorEastAsia"/>
          <w:b/>
          <w:bCs/>
          <w:kern w:val="2"/>
          <w:sz w:val="30"/>
          <w:szCs w:val="30"/>
          <w:highlight w:val="none"/>
          <w:lang w:val="en-US" w:eastAsia="zh-CN" w:bidi="ar-SA"/>
        </w:rPr>
        <w:fldChar w:fldCharType="separate"/>
      </w:r>
      <w:r>
        <w:rPr>
          <w:rFonts w:hint="eastAsia" w:eastAsia="仿宋" w:cs="黑体" w:asciiTheme="minorEastAsia" w:hAnsiTheme="minorEastAsia"/>
          <w:b/>
          <w:bCs/>
          <w:kern w:val="2"/>
          <w:sz w:val="30"/>
          <w:szCs w:val="30"/>
          <w:highlight w:val="none"/>
          <w:lang w:val="en-US" w:eastAsia="zh-CN" w:bidi="ar-SA"/>
        </w:rPr>
        <w:t>公文写作处理</w:t>
      </w:r>
      <w:r>
        <w:rPr>
          <w:rFonts w:hint="eastAsia" w:eastAsia="仿宋" w:cs="黑体" w:asciiTheme="minorEastAsia" w:hAnsiTheme="minorEastAsia"/>
          <w:b/>
          <w:bCs/>
          <w:kern w:val="2"/>
          <w:sz w:val="30"/>
          <w:szCs w:val="30"/>
          <w:highlight w:val="none"/>
          <w:lang w:val="en-US" w:eastAsia="zh-CN" w:bidi="ar-SA"/>
        </w:rPr>
        <w:fldChar w:fldCharType="end"/>
      </w:r>
      <w:r>
        <w:rPr>
          <w:rFonts w:hint="eastAsia" w:eastAsia="仿宋" w:cs="黑体" w:asciiTheme="minorEastAsia" w:hAnsiTheme="minorEastAsia"/>
          <w:b/>
          <w:bCs/>
          <w:kern w:val="2"/>
          <w:sz w:val="30"/>
          <w:szCs w:val="30"/>
          <w:highlight w:val="none"/>
          <w:lang w:val="en-US" w:eastAsia="zh-CN" w:bidi="ar-SA"/>
        </w:rPr>
        <w:t>与应用暨综合行政管理能力提升”高级研修班报名回执</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 账</w:t>
            </w:r>
            <w:r>
              <w:rPr>
                <w:rFonts w:hint="eastAsia" w:ascii="仿宋" w:hAnsi="仿宋" w:eastAsia="仿宋" w:cs="仿宋"/>
                <w:sz w:val="28"/>
                <w:szCs w:val="28"/>
              </w:rPr>
              <w:t>□</w:t>
            </w:r>
            <w:r>
              <w:rPr>
                <w:rFonts w:hint="eastAsia" w:ascii="仿宋" w:hAnsi="仿宋" w:eastAsia="仿宋" w:cs="仿宋"/>
                <w:bCs/>
                <w:color w:val="000000" w:themeColor="text1"/>
                <w:sz w:val="28"/>
                <w:szCs w:val="28"/>
                <w14:textFill>
                  <w14:solidFill>
                    <w14:schemeClr w14:val="tx1"/>
                  </w14:solidFill>
                </w14:textFill>
              </w:rPr>
              <w:t xml:space="preserve">      现场</w:t>
            </w:r>
            <w:r>
              <w:rPr>
                <w:rFonts w:hint="eastAsia" w:ascii="仿宋" w:hAnsi="仿宋" w:eastAsia="仿宋" w:cs="仿宋"/>
                <w:sz w:val="28"/>
                <w:szCs w:val="28"/>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户  名：北京中建科信科技服务有限公司</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开户行：中国工商银行股份有限公司北京公主坟支行</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rPr>
              <w:t>账  号：0200004609200585085</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ascii="仿宋" w:hAnsi="仿宋" w:eastAsia="仿宋" w:cs="仿宋"/>
                <w:bCs/>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1.此表可复制，*部分为必填项，汇总名单后发送至会务组；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2.因文件页数和格式需要，内容未按照公文格式排版，敬请谅解。</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 xml:space="preserve">3.报名负责人：聂红军 主任18211071700（微信）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 xml:space="preserve">电  话：13141289128        邮    箱：zqgphwz@126.com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qq咨询：3177524020        网    址：http://www.zqgpchina.cn</w:t>
      </w: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C2D01"/>
    <w:rsid w:val="00F45E68"/>
    <w:rsid w:val="00F81827"/>
    <w:rsid w:val="00FA6966"/>
    <w:rsid w:val="00FB5DD5"/>
    <w:rsid w:val="014D636F"/>
    <w:rsid w:val="016519C1"/>
    <w:rsid w:val="01B6046E"/>
    <w:rsid w:val="022B0E5C"/>
    <w:rsid w:val="02493090"/>
    <w:rsid w:val="02720839"/>
    <w:rsid w:val="02C40969"/>
    <w:rsid w:val="032A4C70"/>
    <w:rsid w:val="04A24CDA"/>
    <w:rsid w:val="04B30C95"/>
    <w:rsid w:val="04FD0162"/>
    <w:rsid w:val="05B66C8F"/>
    <w:rsid w:val="05E671B1"/>
    <w:rsid w:val="05E97064"/>
    <w:rsid w:val="0620235A"/>
    <w:rsid w:val="066F000D"/>
    <w:rsid w:val="07506C6F"/>
    <w:rsid w:val="07837BA3"/>
    <w:rsid w:val="097C01EF"/>
    <w:rsid w:val="0A2543E3"/>
    <w:rsid w:val="0A432ABB"/>
    <w:rsid w:val="0A8A693C"/>
    <w:rsid w:val="0B0B182B"/>
    <w:rsid w:val="0B4D6BC4"/>
    <w:rsid w:val="0B6E5916"/>
    <w:rsid w:val="0BC639A4"/>
    <w:rsid w:val="0C000C64"/>
    <w:rsid w:val="0C2B3807"/>
    <w:rsid w:val="0C896BC8"/>
    <w:rsid w:val="0CC954FA"/>
    <w:rsid w:val="0CF06F2A"/>
    <w:rsid w:val="0D093B48"/>
    <w:rsid w:val="0D0D4396"/>
    <w:rsid w:val="0D8C6527"/>
    <w:rsid w:val="0E6354DA"/>
    <w:rsid w:val="0E96765D"/>
    <w:rsid w:val="0EB977F0"/>
    <w:rsid w:val="0F051A87"/>
    <w:rsid w:val="0F67724C"/>
    <w:rsid w:val="0F7A6F7F"/>
    <w:rsid w:val="0FD77F2D"/>
    <w:rsid w:val="0FF46D31"/>
    <w:rsid w:val="100D394F"/>
    <w:rsid w:val="10953405"/>
    <w:rsid w:val="10A122E9"/>
    <w:rsid w:val="10AF4A06"/>
    <w:rsid w:val="13113756"/>
    <w:rsid w:val="138D2809"/>
    <w:rsid w:val="146401FE"/>
    <w:rsid w:val="14B940A6"/>
    <w:rsid w:val="153E27FD"/>
    <w:rsid w:val="157C478E"/>
    <w:rsid w:val="168406E3"/>
    <w:rsid w:val="16DE4297"/>
    <w:rsid w:val="17D22E4C"/>
    <w:rsid w:val="1820443C"/>
    <w:rsid w:val="18221F62"/>
    <w:rsid w:val="183879D7"/>
    <w:rsid w:val="192D6E10"/>
    <w:rsid w:val="192F4936"/>
    <w:rsid w:val="19467ED2"/>
    <w:rsid w:val="194D300E"/>
    <w:rsid w:val="19DB061A"/>
    <w:rsid w:val="1A187AC0"/>
    <w:rsid w:val="1A293A7B"/>
    <w:rsid w:val="1A82318C"/>
    <w:rsid w:val="1A9C249F"/>
    <w:rsid w:val="1AFD0A64"/>
    <w:rsid w:val="1B7C7BDB"/>
    <w:rsid w:val="1B8D003A"/>
    <w:rsid w:val="1BA333BA"/>
    <w:rsid w:val="1BC670A8"/>
    <w:rsid w:val="1C60574F"/>
    <w:rsid w:val="1D37200B"/>
    <w:rsid w:val="1DF237D3"/>
    <w:rsid w:val="1E65704C"/>
    <w:rsid w:val="1E8E4A76"/>
    <w:rsid w:val="1EA125EF"/>
    <w:rsid w:val="1EBA2EF4"/>
    <w:rsid w:val="1F882FF2"/>
    <w:rsid w:val="20FA3A7C"/>
    <w:rsid w:val="21182154"/>
    <w:rsid w:val="21AD6D40"/>
    <w:rsid w:val="21F04E7F"/>
    <w:rsid w:val="22122714"/>
    <w:rsid w:val="226002D5"/>
    <w:rsid w:val="22792235"/>
    <w:rsid w:val="228026A7"/>
    <w:rsid w:val="22C73E32"/>
    <w:rsid w:val="230479E7"/>
    <w:rsid w:val="23AB72AF"/>
    <w:rsid w:val="23BF71FF"/>
    <w:rsid w:val="24294678"/>
    <w:rsid w:val="24816262"/>
    <w:rsid w:val="24945F95"/>
    <w:rsid w:val="253F4153"/>
    <w:rsid w:val="25C65C73"/>
    <w:rsid w:val="262915C7"/>
    <w:rsid w:val="26431A21"/>
    <w:rsid w:val="26753BA5"/>
    <w:rsid w:val="26C1503C"/>
    <w:rsid w:val="270D0281"/>
    <w:rsid w:val="275D2FB6"/>
    <w:rsid w:val="28BC5ABB"/>
    <w:rsid w:val="28BE5CD7"/>
    <w:rsid w:val="28ED036A"/>
    <w:rsid w:val="298E38FB"/>
    <w:rsid w:val="299A404E"/>
    <w:rsid w:val="2A0E67EA"/>
    <w:rsid w:val="2A3F3F16"/>
    <w:rsid w:val="2A9211C9"/>
    <w:rsid w:val="2AF552B4"/>
    <w:rsid w:val="2B0D0850"/>
    <w:rsid w:val="2B312790"/>
    <w:rsid w:val="2B7E5CDC"/>
    <w:rsid w:val="2C077995"/>
    <w:rsid w:val="2C131E96"/>
    <w:rsid w:val="2C4E2ECE"/>
    <w:rsid w:val="2C5F6234"/>
    <w:rsid w:val="2D5C5ABE"/>
    <w:rsid w:val="2DBE4083"/>
    <w:rsid w:val="2DE57862"/>
    <w:rsid w:val="2E9A4AF0"/>
    <w:rsid w:val="2FB63264"/>
    <w:rsid w:val="2FE57FED"/>
    <w:rsid w:val="303348B4"/>
    <w:rsid w:val="303D1BD7"/>
    <w:rsid w:val="30986E0D"/>
    <w:rsid w:val="31376626"/>
    <w:rsid w:val="31815AF3"/>
    <w:rsid w:val="31C816DA"/>
    <w:rsid w:val="321B1AA4"/>
    <w:rsid w:val="3236068C"/>
    <w:rsid w:val="323A4620"/>
    <w:rsid w:val="336E20A7"/>
    <w:rsid w:val="33DD5030"/>
    <w:rsid w:val="34931DC5"/>
    <w:rsid w:val="34BB30CA"/>
    <w:rsid w:val="34CE1050"/>
    <w:rsid w:val="34E24AFB"/>
    <w:rsid w:val="356C3AA0"/>
    <w:rsid w:val="35C80195"/>
    <w:rsid w:val="35F03248"/>
    <w:rsid w:val="360B0081"/>
    <w:rsid w:val="363C023B"/>
    <w:rsid w:val="36FD250B"/>
    <w:rsid w:val="37B10EF9"/>
    <w:rsid w:val="3945216C"/>
    <w:rsid w:val="39D013C6"/>
    <w:rsid w:val="3B3140E6"/>
    <w:rsid w:val="3BC73560"/>
    <w:rsid w:val="3BF13876"/>
    <w:rsid w:val="3CE60F00"/>
    <w:rsid w:val="3D5F13DF"/>
    <w:rsid w:val="3E3D2DA2"/>
    <w:rsid w:val="3FC50231"/>
    <w:rsid w:val="3FC7269D"/>
    <w:rsid w:val="3FE23C01"/>
    <w:rsid w:val="400718BA"/>
    <w:rsid w:val="407D3798"/>
    <w:rsid w:val="408B4299"/>
    <w:rsid w:val="40C96B6F"/>
    <w:rsid w:val="410A1661"/>
    <w:rsid w:val="41656898"/>
    <w:rsid w:val="41A128FD"/>
    <w:rsid w:val="41D13F2D"/>
    <w:rsid w:val="423746D8"/>
    <w:rsid w:val="42EE0B0F"/>
    <w:rsid w:val="431762B8"/>
    <w:rsid w:val="4375218A"/>
    <w:rsid w:val="43E73EDC"/>
    <w:rsid w:val="43EC32A0"/>
    <w:rsid w:val="44022AC4"/>
    <w:rsid w:val="44191BBB"/>
    <w:rsid w:val="450D1720"/>
    <w:rsid w:val="45260A34"/>
    <w:rsid w:val="456450B8"/>
    <w:rsid w:val="45F20916"/>
    <w:rsid w:val="472B0583"/>
    <w:rsid w:val="47855EE6"/>
    <w:rsid w:val="47DE55F6"/>
    <w:rsid w:val="49746212"/>
    <w:rsid w:val="497D499A"/>
    <w:rsid w:val="4A2117CA"/>
    <w:rsid w:val="4AB12B4E"/>
    <w:rsid w:val="4AEF3676"/>
    <w:rsid w:val="4B3F0159"/>
    <w:rsid w:val="4B887D52"/>
    <w:rsid w:val="4BF05034"/>
    <w:rsid w:val="4C5365B2"/>
    <w:rsid w:val="4C5D7857"/>
    <w:rsid w:val="4C96024D"/>
    <w:rsid w:val="4CA677B2"/>
    <w:rsid w:val="4CDB2104"/>
    <w:rsid w:val="4D07739D"/>
    <w:rsid w:val="4D3F6B37"/>
    <w:rsid w:val="4D9D560B"/>
    <w:rsid w:val="4DAB7D28"/>
    <w:rsid w:val="4DB36BDD"/>
    <w:rsid w:val="4DC82688"/>
    <w:rsid w:val="4DEF40B9"/>
    <w:rsid w:val="4E1E3B97"/>
    <w:rsid w:val="4E543433"/>
    <w:rsid w:val="4E962786"/>
    <w:rsid w:val="4EE259CC"/>
    <w:rsid w:val="4F2E29BF"/>
    <w:rsid w:val="4F351F9F"/>
    <w:rsid w:val="4F42290E"/>
    <w:rsid w:val="4FF754A7"/>
    <w:rsid w:val="50243DC2"/>
    <w:rsid w:val="502F4C40"/>
    <w:rsid w:val="504D3319"/>
    <w:rsid w:val="50EF2622"/>
    <w:rsid w:val="512322CB"/>
    <w:rsid w:val="519A433C"/>
    <w:rsid w:val="52377DDC"/>
    <w:rsid w:val="527F3531"/>
    <w:rsid w:val="52A16CF0"/>
    <w:rsid w:val="530D6D8F"/>
    <w:rsid w:val="5334256E"/>
    <w:rsid w:val="535B3F9E"/>
    <w:rsid w:val="53D578AD"/>
    <w:rsid w:val="541505F1"/>
    <w:rsid w:val="542B3971"/>
    <w:rsid w:val="545509EE"/>
    <w:rsid w:val="54A86D6F"/>
    <w:rsid w:val="55290784"/>
    <w:rsid w:val="555D3FFE"/>
    <w:rsid w:val="56020701"/>
    <w:rsid w:val="560721BC"/>
    <w:rsid w:val="56496330"/>
    <w:rsid w:val="567D4990"/>
    <w:rsid w:val="568630E0"/>
    <w:rsid w:val="56B440F1"/>
    <w:rsid w:val="56C1236A"/>
    <w:rsid w:val="572F00FD"/>
    <w:rsid w:val="57A23F4A"/>
    <w:rsid w:val="57AE0B41"/>
    <w:rsid w:val="57B30C6D"/>
    <w:rsid w:val="58254B7B"/>
    <w:rsid w:val="58D72319"/>
    <w:rsid w:val="59140E77"/>
    <w:rsid w:val="593C217C"/>
    <w:rsid w:val="59A541C5"/>
    <w:rsid w:val="59AA358A"/>
    <w:rsid w:val="59FD1B50"/>
    <w:rsid w:val="5A6B4AB0"/>
    <w:rsid w:val="5BD13050"/>
    <w:rsid w:val="5C6043D4"/>
    <w:rsid w:val="5C6E089F"/>
    <w:rsid w:val="5D1C479E"/>
    <w:rsid w:val="5D303DA6"/>
    <w:rsid w:val="5D3513BC"/>
    <w:rsid w:val="5D557E43"/>
    <w:rsid w:val="5D5977A1"/>
    <w:rsid w:val="5D812854"/>
    <w:rsid w:val="5D861C18"/>
    <w:rsid w:val="5DAD3649"/>
    <w:rsid w:val="5DCD5A99"/>
    <w:rsid w:val="5DF70D68"/>
    <w:rsid w:val="5E993A9E"/>
    <w:rsid w:val="5EBD127F"/>
    <w:rsid w:val="5F155949"/>
    <w:rsid w:val="5F1F40D2"/>
    <w:rsid w:val="5F661D01"/>
    <w:rsid w:val="5F8663A7"/>
    <w:rsid w:val="60011A2A"/>
    <w:rsid w:val="600528D3"/>
    <w:rsid w:val="6025396A"/>
    <w:rsid w:val="60397415"/>
    <w:rsid w:val="60471B32"/>
    <w:rsid w:val="60634492"/>
    <w:rsid w:val="60A1067D"/>
    <w:rsid w:val="6159161F"/>
    <w:rsid w:val="616109D2"/>
    <w:rsid w:val="628806B1"/>
    <w:rsid w:val="62A274F4"/>
    <w:rsid w:val="62B9483E"/>
    <w:rsid w:val="62D6719E"/>
    <w:rsid w:val="630F445E"/>
    <w:rsid w:val="63253C81"/>
    <w:rsid w:val="633839B4"/>
    <w:rsid w:val="63402869"/>
    <w:rsid w:val="63601042"/>
    <w:rsid w:val="637D1D0F"/>
    <w:rsid w:val="644D348F"/>
    <w:rsid w:val="645760BC"/>
    <w:rsid w:val="64591E34"/>
    <w:rsid w:val="669929BC"/>
    <w:rsid w:val="66DB2FD4"/>
    <w:rsid w:val="6753700F"/>
    <w:rsid w:val="6796339F"/>
    <w:rsid w:val="67E934CF"/>
    <w:rsid w:val="685079F2"/>
    <w:rsid w:val="68B57855"/>
    <w:rsid w:val="68D91796"/>
    <w:rsid w:val="69004F74"/>
    <w:rsid w:val="69110F2F"/>
    <w:rsid w:val="696A0640"/>
    <w:rsid w:val="698711F2"/>
    <w:rsid w:val="69BA3375"/>
    <w:rsid w:val="69F51817"/>
    <w:rsid w:val="6A212D9F"/>
    <w:rsid w:val="6A9E4A45"/>
    <w:rsid w:val="6ABF6769"/>
    <w:rsid w:val="6B52582F"/>
    <w:rsid w:val="6B563571"/>
    <w:rsid w:val="6B7B6B34"/>
    <w:rsid w:val="6BA50055"/>
    <w:rsid w:val="6BA53BB1"/>
    <w:rsid w:val="6C4B59F9"/>
    <w:rsid w:val="6CDA788A"/>
    <w:rsid w:val="6D4D5565"/>
    <w:rsid w:val="6DCF760B"/>
    <w:rsid w:val="6E014D7F"/>
    <w:rsid w:val="6E1B4C67"/>
    <w:rsid w:val="6E407BC1"/>
    <w:rsid w:val="6E645FA5"/>
    <w:rsid w:val="6EB5235D"/>
    <w:rsid w:val="6F086931"/>
    <w:rsid w:val="70CF2E8E"/>
    <w:rsid w:val="711A294B"/>
    <w:rsid w:val="712B6906"/>
    <w:rsid w:val="717E112C"/>
    <w:rsid w:val="72521F21"/>
    <w:rsid w:val="725A3947"/>
    <w:rsid w:val="729850DF"/>
    <w:rsid w:val="72F62719"/>
    <w:rsid w:val="735C549D"/>
    <w:rsid w:val="737C78ED"/>
    <w:rsid w:val="74A0585D"/>
    <w:rsid w:val="757A27D2"/>
    <w:rsid w:val="757F5473"/>
    <w:rsid w:val="759E3B4B"/>
    <w:rsid w:val="75B72E5F"/>
    <w:rsid w:val="75BF3AC1"/>
    <w:rsid w:val="78577A18"/>
    <w:rsid w:val="78AF5BC4"/>
    <w:rsid w:val="7A5A025C"/>
    <w:rsid w:val="7A792DD8"/>
    <w:rsid w:val="7A7B08FF"/>
    <w:rsid w:val="7B4038F6"/>
    <w:rsid w:val="7B827A6B"/>
    <w:rsid w:val="7B9652C4"/>
    <w:rsid w:val="7BDC717B"/>
    <w:rsid w:val="7BDD2EF3"/>
    <w:rsid w:val="7BF5023D"/>
    <w:rsid w:val="7CD662C0"/>
    <w:rsid w:val="7D11554A"/>
    <w:rsid w:val="7D910439"/>
    <w:rsid w:val="7D9D293A"/>
    <w:rsid w:val="7DA41F6D"/>
    <w:rsid w:val="7F2A46A1"/>
    <w:rsid w:val="7F74591C"/>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w:basedOn w:val="1"/>
    <w:qFormat/>
    <w:uiPriority w:val="1"/>
    <w:pPr>
      <w:spacing w:line="320" w:lineRule="exact"/>
      <w:ind w:left="942"/>
    </w:pPr>
    <w:rPr>
      <w:sz w:val="28"/>
      <w:szCs w:val="28"/>
    </w:r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4"/>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标题 Char"/>
    <w:link w:val="11"/>
    <w:qFormat/>
    <w:uiPriority w:val="0"/>
    <w:rPr>
      <w:rFonts w:ascii="Cambria" w:hAnsi="Cambria" w:cs="Times New Roman"/>
      <w:b/>
      <w:bCs/>
      <w:sz w:val="32"/>
      <w:szCs w:val="32"/>
    </w:rPr>
  </w:style>
  <w:style w:type="character" w:customStyle="1" w:styleId="19">
    <w:name w:val="标题 Char1"/>
    <w:basedOn w:val="13"/>
    <w:qFormat/>
    <w:uiPriority w:val="10"/>
    <w:rPr>
      <w:rFonts w:eastAsia="宋体" w:asciiTheme="majorHAnsi" w:hAnsiTheme="majorHAnsi" w:cstheme="majorBidi"/>
      <w:b/>
      <w:bCs/>
      <w:sz w:val="32"/>
      <w:szCs w:val="32"/>
    </w:rPr>
  </w:style>
  <w:style w:type="character" w:customStyle="1" w:styleId="20">
    <w:name w:val="批注框文本 Char"/>
    <w:basedOn w:val="13"/>
    <w:link w:val="8"/>
    <w:semiHidden/>
    <w:qFormat/>
    <w:uiPriority w:val="99"/>
    <w:rPr>
      <w:rFonts w:ascii="Times New Roman" w:hAnsi="Times New Roman" w:eastAsia="宋体" w:cs="Times New Roman"/>
      <w:sz w:val="18"/>
      <w:szCs w:val="18"/>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2696</Words>
  <Characters>2906</Characters>
  <Lines>31</Lines>
  <Paragraphs>8</Paragraphs>
  <TotalTime>0</TotalTime>
  <ScaleCrop>false</ScaleCrop>
  <LinksUpToDate>false</LinksUpToDate>
  <CharactersWithSpaces>3069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聂红军</cp:lastModifiedBy>
  <dcterms:modified xsi:type="dcterms:W3CDTF">2023-08-25T02:19:04Z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E83BC7FC0E5F40D3BEB18C6B75B93EE8_13</vt:lpwstr>
  </property>
</Properties>
</file>