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drawing>
          <wp:anchor distT="0" distB="0" distL="114300" distR="114300" simplePos="0" relativeHeight="251659264" behindDoc="0" locked="0" layoutInCell="1" allowOverlap="1">
            <wp:simplePos x="0" y="0"/>
            <wp:positionH relativeFrom="column">
              <wp:posOffset>-1190625</wp:posOffset>
            </wp:positionH>
            <wp:positionV relativeFrom="paragraph">
              <wp:posOffset>-1011555</wp:posOffset>
            </wp:positionV>
            <wp:extent cx="7658735" cy="10862310"/>
            <wp:effectExtent l="0" t="0" r="18415" b="15240"/>
            <wp:wrapNone/>
            <wp:docPr id="1" name="图片 1" descr="关于举办EOD模式、片区综合开发、城市更新、政府债务防范高级研修班的通知(2)(2)(1)(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关于举办EOD模式、片区综合开发、城市更新、政府债务防范高级研修班的通知(2)(2)(1)(1)_01"/>
                    <pic:cNvPicPr>
                      <a:picLocks noChangeAspect="1"/>
                    </pic:cNvPicPr>
                  </pic:nvPicPr>
                  <pic:blipFill>
                    <a:blip r:embed="rId4"/>
                    <a:stretch>
                      <a:fillRect/>
                    </a:stretch>
                  </pic:blipFill>
                  <pic:spPr>
                    <a:xfrm>
                      <a:off x="0" y="0"/>
                      <a:ext cx="7658735" cy="10862310"/>
                    </a:xfrm>
                    <a:prstGeom prst="rect">
                      <a:avLst/>
                    </a:prstGeom>
                  </pic:spPr>
                </pic:pic>
              </a:graphicData>
            </a:graphic>
          </wp:anchor>
        </w:drawing>
      </w: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drawing>
          <wp:anchor distT="0" distB="0" distL="114300" distR="114300" simplePos="0" relativeHeight="251660288" behindDoc="0" locked="0" layoutInCell="1" allowOverlap="1">
            <wp:simplePos x="0" y="0"/>
            <wp:positionH relativeFrom="column">
              <wp:posOffset>-1237615</wp:posOffset>
            </wp:positionH>
            <wp:positionV relativeFrom="paragraph">
              <wp:posOffset>-1017270</wp:posOffset>
            </wp:positionV>
            <wp:extent cx="7743190" cy="10890250"/>
            <wp:effectExtent l="0" t="0" r="10160" b="6350"/>
            <wp:wrapNone/>
            <wp:docPr id="2" name="图片 2" descr="关于举办EOD模式、片区综合开发、城市更新、政府债务防范高级研修班的通知(2)(2)(1)(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关于举办EOD模式、片区综合开发、城市更新、政府债务防范高级研修班的通知(2)(2)(1)(1)_02"/>
                    <pic:cNvPicPr>
                      <a:picLocks noChangeAspect="1"/>
                    </pic:cNvPicPr>
                  </pic:nvPicPr>
                  <pic:blipFill>
                    <a:blip r:embed="rId5"/>
                    <a:stretch>
                      <a:fillRect/>
                    </a:stretch>
                  </pic:blipFill>
                  <pic:spPr>
                    <a:xfrm>
                      <a:off x="0" y="0"/>
                      <a:ext cx="7743190" cy="10890250"/>
                    </a:xfrm>
                    <a:prstGeom prst="rect">
                      <a:avLst/>
                    </a:prstGeom>
                  </pic:spPr>
                </pic:pic>
              </a:graphicData>
            </a:graphic>
          </wp:anchor>
        </w:drawing>
      </w: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pStyle w:val="2"/>
        <w:rPr>
          <w:rFonts w:hint="eastAsia"/>
          <w:lang w:eastAsia="zh-CN"/>
        </w:rPr>
      </w:pPr>
    </w:p>
    <w:p>
      <w:pPr>
        <w:spacing w:line="520" w:lineRule="exact"/>
        <w:jc w:val="left"/>
        <w:rPr>
          <w:rFonts w:hint="eastAsia" w:ascii="仿宋" w:hAnsi="仿宋" w:eastAsia="仿宋" w:cs="仿宋"/>
          <w:b/>
          <w:bCs/>
          <w:sz w:val="28"/>
          <w:szCs w:val="28"/>
        </w:rPr>
      </w:pPr>
    </w:p>
    <w:p>
      <w:pPr>
        <w:keepNext w:val="0"/>
        <w:keepLines w:val="0"/>
        <w:pageBreakBefore w:val="0"/>
        <w:kinsoku/>
        <w:wordWrap/>
        <w:overflowPunct/>
        <w:topLinePunct w:val="0"/>
        <w:bidi w:val="0"/>
        <w:snapToGrid/>
        <w:spacing w:line="540" w:lineRule="exact"/>
        <w:jc w:val="left"/>
        <w:textAlignment w:val="auto"/>
        <w:rPr>
          <w:rFonts w:ascii="仿宋" w:hAnsi="仿宋" w:eastAsia="仿宋" w:cs="仿宋"/>
          <w:b/>
          <w:bCs/>
          <w:sz w:val="28"/>
          <w:szCs w:val="28"/>
        </w:rPr>
      </w:pPr>
      <w:r>
        <w:rPr>
          <w:rFonts w:hint="eastAsia" w:ascii="仿宋" w:hAnsi="仿宋" w:eastAsia="仿宋" w:cs="仿宋"/>
          <w:b/>
          <w:bCs/>
          <w:sz w:val="28"/>
          <w:szCs w:val="28"/>
        </w:rPr>
        <w:t>附件1：</w:t>
      </w:r>
    </w:p>
    <w:p>
      <w:pPr>
        <w:keepNext w:val="0"/>
        <w:keepLines w:val="0"/>
        <w:pageBreakBefore w:val="0"/>
        <w:kinsoku/>
        <w:wordWrap/>
        <w:overflowPunct/>
        <w:topLinePunct w:val="0"/>
        <w:bidi w:val="0"/>
        <w:snapToGrid/>
        <w:spacing w:line="540" w:lineRule="exact"/>
        <w:ind w:firstLine="560" w:firstLineChars="200"/>
        <w:jc w:val="left"/>
        <w:textAlignment w:val="auto"/>
        <w:rPr>
          <w:rFonts w:ascii="仿宋" w:hAnsi="仿宋" w:eastAsia="仿宋" w:cs="仿宋"/>
          <w:b/>
          <w:bCs/>
          <w:sz w:val="28"/>
          <w:szCs w:val="28"/>
        </w:rPr>
      </w:pPr>
      <w:r>
        <w:rPr>
          <w:rFonts w:hint="eastAsia" w:ascii="仿宋" w:hAnsi="仿宋" w:eastAsia="仿宋" w:cs="仿宋"/>
          <w:sz w:val="28"/>
          <w:szCs w:val="28"/>
        </w:rPr>
        <w:t>一、</w:t>
      </w:r>
      <w:r>
        <w:rPr>
          <w:rFonts w:hint="eastAsia" w:ascii="仿宋" w:hAnsi="仿宋" w:eastAsia="仿宋" w:cs="仿宋"/>
          <w:b/>
          <w:bCs/>
          <w:sz w:val="28"/>
          <w:szCs w:val="28"/>
        </w:rPr>
        <w:t>培训收益</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（一）了解当前我国宏观经济形势和财政金融政策；</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（二）学习当前形势下如何进行基建项目的投融资总体谋划；</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（三）学习特许经营、专项债、EOD、片区综合开发、城市更新等投融资模式的操作难点和实务案例；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（四）学习地方政府和平台公司债务的风险防范和化解案例；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（五）学习地方投融资平台市场化转型的操作实务和案例；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b/>
          <w:bCs/>
          <w:sz w:val="28"/>
          <w:szCs w:val="28"/>
        </w:rPr>
      </w:pPr>
      <w:r>
        <w:rPr>
          <w:rFonts w:hint="eastAsia" w:ascii="仿宋" w:hAnsi="仿宋" w:eastAsia="仿宋" w:cs="仿宋"/>
          <w:kern w:val="0"/>
          <w:sz w:val="28"/>
          <w:szCs w:val="28"/>
        </w:rPr>
        <w:t>（六）学习地方政府产业引导基金运作的重点和典型案例。</w:t>
      </w:r>
    </w:p>
    <w:p>
      <w:pPr>
        <w:keepNext w:val="0"/>
        <w:keepLines w:val="0"/>
        <w:pageBreakBefore w:val="0"/>
        <w:kinsoku/>
        <w:wordWrap/>
        <w:overflowPunct/>
        <w:topLinePunct w:val="0"/>
        <w:bidi w:val="0"/>
        <w:snapToGrid/>
        <w:spacing w:line="540" w:lineRule="exact"/>
        <w:ind w:left="560"/>
        <w:jc w:val="left"/>
        <w:textAlignment w:val="auto"/>
        <w:rPr>
          <w:rFonts w:ascii="仿宋" w:hAnsi="仿宋" w:eastAsia="仿宋" w:cs="仿宋"/>
          <w:b/>
          <w:bCs/>
          <w:sz w:val="28"/>
          <w:szCs w:val="28"/>
        </w:rPr>
      </w:pPr>
      <w:r>
        <w:rPr>
          <w:rFonts w:hint="eastAsia" w:ascii="仿宋" w:hAnsi="仿宋" w:eastAsia="仿宋" w:cs="仿宋"/>
          <w:b/>
          <w:bCs/>
          <w:sz w:val="28"/>
          <w:szCs w:val="28"/>
        </w:rPr>
        <w:t>二、培训内容</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（一）当前经济形势和最新财政、金融和投融资政策的解读</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1、我国当前经济形势分析和最新中央政治局会议解读</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2、我国财政金融政策和形势对基础设施投资的影响分析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3、我国投融资体制的总体框架，从中共中央国务院《关于深化投融资体制改革的意见》到国发[2014]43号文</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4、我国政府投融资体制的发展历程，从财政资金（土地财政）、政府投融资平台、PPP、专项债，到非传统投融资模式（特许经营、投资人+EPC、基础设施REITs、EOD等）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5、当前我国政府投融资体制对投融资模式的总体要求，以及当前形势下如何进行项目投融资谋划</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6、重点政府投融资政策的详解，如《政府投资条例》、财预[2017]50号文、国办发[2022]19号文等政策</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7、中央和地方最新审计工作报告对地方财政、PPP和投融资方面审计的案例分析和经验启示</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（二）PPP的合规性审查、阳光运行和履约管理</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1、历次PPP审查、清理和整改，当前PPP总体市场现状，以及下一步PPP走向的研判</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2、从内容合规、流程合规、主体合规排查PPP项目的合规性</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3、存量PPP项目的绩效考核全流程操作和案例分析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4、当前形势下存量PPP项目的退出机制和股权交易</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5、PPP项目不同阶段履约管理的实务要点</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（三）地方政府专项债发行最新政策和申报策略</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1、我国专项债市场的发行沿革、市场规模和限额管理</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2、专项债最新政策解读：募投领域和资本金适用范围的扩大化、三个优先和三个尽量等要求的灵活应用</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3、新增专项债上报申请、下达和发行流程中的关键环节</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4、新增专项债申报策略：准备工作的关键点、自求平衡项目包装策略、一案两书的编制要点、发改和财政系统审核的关注点等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5、专项债审计的要点，以及申报和使用环节的合规操作</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（四）特许经营模式的适用领域和操作流程详解</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1、特许经营管理办法的政策解读和模式优先适用领域</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2、特许经营与PPP模式的全方位优劣势比较分析：运作流程、适用范围、入库规则、方案编制和论证等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3、特许经营模式在政府委托投融资平台公司业务中的应用</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4、市政公用行业若干特许经营项目的案例分析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（五）EOD模式的操作要点和案例分析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1.EOD模式产生背景及主要政策解读；</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2.EOD项目谋划与申报；</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3.EOD项目储备库入库解析；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4.EOD项目产业选择与资源价值实施路径；</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5.EOD项目资金来源与投融资模式创新；</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6.土地交易指标对EOD项目反哺及案例；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7.矿产资源对EOD项目反哺分析及案例；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8.EOD项目的八大生态环境治理领域及相关案例；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9.EOD项目生态环境治理项目组合及案例。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（六）EOD的关联产业开发、收益模式和市场化运作</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1.EOD项目产业占比情况分析及案例；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2.一主多辅和多主互补的产业结构及案例；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3.生态治理和关联产业如何融合发展及案例；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4.何谓市场化运作下的项目收益自平衡？</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5.EOD模式的主要收益来源和收支平衡体系；</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6.EOD模式下的政府、城投、施工企业权责分摊；</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7.EOD模式下的“投资+建设一体化运作”；</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8.EOD模式下的地方债券、政策性金融和资本金筹集。</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（七）片区综合开发投融资模式及案例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1.PPP模式在片区综合开发应用中存在的短板；</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2.政府授权国企与投资者合作模式；</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3.ABO模式自身存在的短板及缓释措施与案例；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4.地方政府对国有企业政策及资源支持途径及案例；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5.投资人+EPC模式合规性与违规性分析及片区包装设计；</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6.投资人+EPC模式所涉及资产归属及回报机制设计；</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7.如何识别市场中违规的“投资人+EPC”模式</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8.避免“投资人+EPC”模式违规的操作要点</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9.“F+EPC”模式与“投资人+EPC”模式的区别与联系</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10.如何促进“F+EPC”模式的合规性</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11.封闭运作、滚动开发、自求平衡模式解析及架构图分析。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（八）公益性与经营性综合打包项目的运作模式要点</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1.哪些领域适合开展综合性项目；</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2.公益性与经营性综合打包项目的政策支持依据；</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3.公益性项目与经营性项目综合打包的资金平衡要点；</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4.如何处理项目打包时的土地捆绑出让问题；</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5.财政资金在综合打包项目中如何应用；</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6.土地出让金如何实现对项目的反哺；</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7.政府/国有企业如何与社会资本方进行综合性项目的合作；</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8、TOD模式的应用领域及操作要点。</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（九）央企、国企参与片区综合开发模式探讨及案例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1.央企、国企参与片区开发的难点和风险点分析；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2.央企、国企与地方平台公司之间的合作模式；</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3.如何寻求政府财政合规的支持、支持途径及案例；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4.政府对片区项目补贴方式、补贴类型及范围；</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5.如何争取地方政府专项债券对项目支持及案例。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（十）城市更新项目投融资模式及案例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1.城市更新的拆迁类、改建类、整治类内容解析；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2.城市更新实施主体的确定方式及案例；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3.老旧小区、老旧厂区、老旧街区、城中村改造的实施方式及案例；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4.城市更新项目融资方式及案例；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5.社会资本参与城市更新模式及案例；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6.城市更新基金的当前应用情况；</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7.如何发挥地方国有企业在城市更新项目中的作用；</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8.施工类央企参与城市更新项目的关注领域；</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9.如何提高施工类央企在城市更新项目中的市场竞争力；</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10.土地政策及土地一二级联动；</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11.城市更新中的财政支持政策；</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12.城市更新中的金融政策。</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（十一）基础设施REITs常态化发行要求和操作实务</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1、基础设施REITs的核心概念、本质特征和优势分析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2、从试点到常态化发行，基础设施REITs最新政策的解读</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3、基础设施REITs的适用范围分析，从传统基建到消费基础设施</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4、基础设施REITs发行的基本条件和项目储备谋划</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（十二）政府存量资产盘活典型案例和分类处置策略</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1、中央盘活存量资产的政策要点分析和实施细则</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2、政府存量资产盘活的资产范围分析，土地使用权、经营性基础设施、自然资源、行政事业单位资产、股权类资产、在建工程、特许经营权等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3、盘活存量资产的步骤1：摸清家底，建立资产数据库</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4、盘活存量资产的步骤2：分类分级，为盘活提供支撑</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5、盘活存量资产的步骤3：方式选择，分类别进行盘活</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6、盘活存量资产的典型案例分析：盘活存量资产与改扩建有机结合、挖掘闲置低效资产价值、发行基础设施REITs、发行资产支持专项计划（商业票据）、产权交易、作价入股等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（十三）地方政府债务的现状、监管政策和典型违规案例分析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1、我国地方政府隐性债务的分类、规模和现状</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2、地方政府政府“红橙黄绿”债务等级的判定和影响</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3、如何辨析政府法定债务、政府隐性债务和城投经营性债务，以及分类管理对政府投融资的影响</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4、我国地方政府债务管理的政策的要点解析，如国发43号文，财预50号文，中发27号文，银保监15号文等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5、地方政府隐性债务的认定和财政部融资平台公司债务及中长期支出事项监测平台</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6、新增政府隐性债务的案例分析：代政府借款、政府承诺、政府部门担保、抵押公益性资产发债、质押政府购买服务协议约定的应收账款、抵押储备土地和公益性资产、财政担保等方式违法违规融资等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7、化债不实的案例分析：政府购买服务项目协议的合同变更、平台公司债券融资偿还到期隐性债务等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（十四）地方政府隐性债务化解的路径和案例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1、财政部六大隐性债务化解方式的详解，财政资金偿还、资产处置、项目收益偿还、转经营性债务、债务重组、破产清算等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2、以再融资债券置换地方政府隐性债务方式及案例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3、广东、北京完成全域无隐性债务分析及案例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4、某地有效化债的操作路径分析，存量债务管理、加强项目管理、开展土地清理、盘活存量资产等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5、地方政府债务危机引发财政重整的政策依据和案例分析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6、地方政府隐性债务化解的金融解决方案，以贵州为例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7、地方政府隐性债务监管约束下合规开展政府投融资项目的策略</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（十五）新型县城城镇化建设项目的谋划与投融资分析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1.县城城镇化建设项目的实务解析；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2.县城城镇化建设项目的包装设计；</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3.县城城镇化建设项目的企业债券发行；</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4.县城城镇化建设项目的银行贷款；</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5.县城城镇化建设项目的经营性与公益性项目综合打包问题；</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6.如何在县城城镇化建设项目中使用财政资金；</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7.地方国有企业在县城城镇化项目中的作用和操作要点；</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8.施工类企业在县城城镇化项目中的运作模式。</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（十六）土地储备和土地一级开发</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1.土地储备与土地一级开发的关系；</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2.对当前土地储备和土地一级开发的现状分析；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3.地方国有企业在土地储备中的作用；</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4.土地储备的资金来源；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5.土地储备融资的探索；</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6.做地模式的合规性分析；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7.社会资本是否能够参与土地储备项目；</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8.土地储备在片区开发中的应用；</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9.如何在土地一级开发中避免政府隐性债务；</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10.土地出让金的反哺前期开发问题。</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（十七）新一轮国资国企改革的最新要求和国资监管实务</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1、国务院国资委新一轮国企改革政策对国企转型发展的要求</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2、如何完善国资监管机制，如国资分类监管、组建国有资本投资运营公司、如何优化国资布局、如何正确的建立并完善国资监管体系等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3、如何理顺资产和债务，有效控制市场化转型风险</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4、如何提升市场化造血能力，打造新型国有企业</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5、如何实现投融资平台公司权责利对等，激励机制建立的案例分享</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（十八）政府投融资平台的整合升级和市场化转型</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1、我国政府投融资平台公司的真实现状，城投信仰和投融资平台公司的分层分区理论</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2、投融资平台公司整合升级的现实要求和各地政策要点</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3、投融资平台公司整合升级工作的九大步骤</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4、投融资平台公司转型发展的三种模式分析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5、投融资平台公司转型发展的重点和难点</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（1）定位转型：立足城市命运共同体，构建契约型政企关系</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（2）业务转型：新业务模式的变革，如新能源、新基建等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（3）投资转型：产融互动，以产业投资促进区域经济</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（4）管理转型：投融资平台公司集团管控和管理提升</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（5）国资监管：国资国企改革与国资监管体系搭建</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6、投融资平台公司转型发展的案例分析</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（十九）政府投融资平台的融资创新</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1、我国城投公司的融资现状：城投信仰、城投债市场分析、融资违约事件的案例分析和风险规避</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2、城投公司融资相关政策解读：15号文、金交所政策等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3、城投公司各类融资模式的对比分析：银行贷款、城投债、非标融资等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4、现有政策约束下城投公司的融资创新：供应链金融、基础设施REITs、碳汇、定融产品的合规化置换等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（二十）政府产业投资基金的设立、运作和案例研究</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1、我国政府产业投资基金的现状和促进招商引资的积极作用</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2、政府产业投资基金的常见分类：独立引导基金、引导基金+子基金、引导基金+二级母基金+子基金</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3、政府产业投资基金的运作实务要点：募投管退存续周期、投资决策流程、运营管理流程等</w:t>
      </w:r>
    </w:p>
    <w:p>
      <w:pPr>
        <w:keepNext w:val="0"/>
        <w:keepLines w:val="0"/>
        <w:pageBreakBefore w:val="0"/>
        <w:kinsoku/>
        <w:wordWrap/>
        <w:overflowPunct/>
        <w:topLinePunct w:val="0"/>
        <w:bidi w:val="0"/>
        <w:snapToGrid/>
        <w:spacing w:line="54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4、政府产业投资基金的案例分析</w:t>
      </w:r>
    </w:p>
    <w:p>
      <w:pPr>
        <w:keepNext w:val="0"/>
        <w:keepLines w:val="0"/>
        <w:pageBreakBefore w:val="0"/>
        <w:kinsoku/>
        <w:wordWrap/>
        <w:overflowPunct/>
        <w:topLinePunct w:val="0"/>
        <w:bidi w:val="0"/>
        <w:snapToGrid/>
        <w:spacing w:line="540" w:lineRule="exact"/>
        <w:textAlignment w:val="auto"/>
        <w:rPr>
          <w:rFonts w:ascii="仿宋" w:hAnsi="仿宋" w:eastAsia="仿宋" w:cs="仿宋"/>
          <w:b/>
          <w:bCs/>
          <w:color w:val="000000"/>
          <w:sz w:val="28"/>
          <w:szCs w:val="28"/>
        </w:rPr>
      </w:pPr>
      <w:r>
        <w:rPr>
          <w:rFonts w:ascii="仿宋" w:hAnsi="仿宋" w:eastAsia="仿宋" w:cs="仿宋"/>
          <w:b/>
          <w:bCs/>
          <w:color w:val="000000"/>
          <w:sz w:val="28"/>
          <w:szCs w:val="28"/>
        </w:rPr>
        <w:t>三、培训对象</w:t>
      </w:r>
    </w:p>
    <w:p>
      <w:pPr>
        <w:keepNext w:val="0"/>
        <w:keepLines w:val="0"/>
        <w:pageBreakBefore w:val="0"/>
        <w:kinsoku/>
        <w:wordWrap/>
        <w:overflowPunct/>
        <w:topLinePunct w:val="0"/>
        <w:bidi w:val="0"/>
        <w:snapToGrid/>
        <w:spacing w:line="540" w:lineRule="exact"/>
        <w:ind w:firstLine="560" w:firstLineChars="200"/>
        <w:textAlignment w:val="auto"/>
        <w:rPr>
          <w:rFonts w:ascii="仿宋" w:hAnsi="仿宋" w:eastAsia="仿宋" w:cs="仿宋"/>
          <w:bCs/>
          <w:sz w:val="28"/>
          <w:szCs w:val="28"/>
        </w:rPr>
      </w:pPr>
      <w:r>
        <w:rPr>
          <w:rFonts w:ascii="仿宋" w:hAnsi="仿宋" w:eastAsia="仿宋" w:cs="仿宋"/>
          <w:bCs/>
          <w:sz w:val="28"/>
          <w:szCs w:val="28"/>
        </w:rPr>
        <w:t>各级发改、财政、环保、住建、交通、水利、农业</w:t>
      </w:r>
      <w:r>
        <w:rPr>
          <w:rFonts w:hint="eastAsia" w:ascii="仿宋" w:hAnsi="仿宋" w:eastAsia="仿宋" w:cs="仿宋"/>
          <w:bCs/>
          <w:sz w:val="28"/>
          <w:szCs w:val="28"/>
        </w:rPr>
        <w:t>农村</w:t>
      </w:r>
      <w:r>
        <w:rPr>
          <w:rFonts w:ascii="仿宋" w:hAnsi="仿宋" w:eastAsia="仿宋" w:cs="仿宋"/>
          <w:bCs/>
          <w:sz w:val="28"/>
          <w:szCs w:val="28"/>
        </w:rPr>
        <w:t>、林草、文旅等政府部门工作人员；城投公司</w:t>
      </w:r>
      <w:r>
        <w:rPr>
          <w:rFonts w:hint="eastAsia" w:ascii="仿宋" w:hAnsi="仿宋" w:eastAsia="仿宋" w:cs="仿宋"/>
          <w:bCs/>
          <w:sz w:val="28"/>
          <w:szCs w:val="28"/>
        </w:rPr>
        <w:t>为代表的各</w:t>
      </w:r>
      <w:r>
        <w:rPr>
          <w:rFonts w:ascii="仿宋" w:hAnsi="仿宋" w:eastAsia="仿宋" w:cs="仿宋"/>
          <w:bCs/>
          <w:sz w:val="28"/>
          <w:szCs w:val="28"/>
        </w:rPr>
        <w:t>类平台公司</w:t>
      </w:r>
      <w:r>
        <w:rPr>
          <w:rFonts w:hint="eastAsia" w:ascii="仿宋" w:hAnsi="仿宋" w:eastAsia="仿宋" w:cs="仿宋"/>
          <w:bCs/>
          <w:sz w:val="28"/>
          <w:szCs w:val="28"/>
        </w:rPr>
        <w:t>；</w:t>
      </w:r>
      <w:r>
        <w:rPr>
          <w:rFonts w:ascii="仿宋" w:hAnsi="仿宋" w:eastAsia="仿宋" w:cs="仿宋"/>
          <w:bCs/>
          <w:sz w:val="28"/>
          <w:szCs w:val="28"/>
        </w:rPr>
        <w:t>污水垃圾处理、供水供气供热、仓储物流、新能源、环保及建筑施工等企业管理人员；银行、证券、基金、信托、保险等金融机构专业人员。</w:t>
      </w:r>
    </w:p>
    <w:p>
      <w:pPr>
        <w:keepNext w:val="0"/>
        <w:keepLines w:val="0"/>
        <w:pageBreakBefore w:val="0"/>
        <w:kinsoku/>
        <w:wordWrap/>
        <w:overflowPunct/>
        <w:topLinePunct w:val="0"/>
        <w:bidi w:val="0"/>
        <w:snapToGrid/>
        <w:spacing w:line="540" w:lineRule="exact"/>
        <w:textAlignment w:val="auto"/>
        <w:rPr>
          <w:rFonts w:ascii="仿宋" w:hAnsi="仿宋" w:eastAsia="仿宋" w:cs="仿宋"/>
          <w:b/>
          <w:bCs/>
          <w:color w:val="000000"/>
          <w:sz w:val="28"/>
          <w:szCs w:val="28"/>
        </w:rPr>
      </w:pPr>
      <w:r>
        <w:rPr>
          <w:rFonts w:ascii="仿宋" w:hAnsi="仿宋" w:eastAsia="仿宋" w:cs="仿宋"/>
          <w:b/>
          <w:bCs/>
          <w:color w:val="000000"/>
          <w:sz w:val="28"/>
          <w:szCs w:val="28"/>
        </w:rPr>
        <w:t>四、</w:t>
      </w:r>
      <w:r>
        <w:rPr>
          <w:rFonts w:hint="eastAsia" w:ascii="仿宋" w:hAnsi="仿宋" w:eastAsia="仿宋" w:cs="仿宋"/>
          <w:b/>
          <w:bCs/>
          <w:color w:val="000000"/>
          <w:sz w:val="28"/>
          <w:szCs w:val="28"/>
          <w:lang w:val="en-US" w:eastAsia="zh-CN"/>
        </w:rPr>
        <w:t>拟邀</w:t>
      </w:r>
      <w:r>
        <w:rPr>
          <w:rFonts w:hint="eastAsia" w:ascii="仿宋" w:hAnsi="仿宋" w:eastAsia="仿宋" w:cs="仿宋"/>
          <w:b/>
          <w:bCs/>
          <w:color w:val="000000"/>
          <w:sz w:val="28"/>
          <w:szCs w:val="28"/>
        </w:rPr>
        <w:t>师资</w:t>
      </w:r>
    </w:p>
    <w:p>
      <w:pPr>
        <w:keepNext w:val="0"/>
        <w:keepLines w:val="0"/>
        <w:pageBreakBefore w:val="0"/>
        <w:numPr>
          <w:ilvl w:val="0"/>
          <w:numId w:val="0"/>
        </w:numPr>
        <w:kinsoku/>
        <w:wordWrap/>
        <w:overflowPunct/>
        <w:topLinePunct w:val="0"/>
        <w:bidi w:val="0"/>
        <w:snapToGrid/>
        <w:spacing w:line="540" w:lineRule="exact"/>
        <w:ind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val="0"/>
          <w:sz w:val="28"/>
          <w:szCs w:val="28"/>
          <w:lang w:val="en-US" w:eastAsia="zh-CN"/>
        </w:rPr>
        <w:t>张朝元</w:t>
      </w:r>
      <w:r>
        <w:rPr>
          <w:rFonts w:hint="eastAsia" w:ascii="仿宋" w:hAnsi="仿宋" w:eastAsia="仿宋" w:cs="仿宋"/>
          <w:b/>
          <w:bCs w:val="0"/>
          <w:color w:val="000000"/>
          <w:sz w:val="28"/>
          <w:szCs w:val="28"/>
          <w:lang w:eastAsia="zh-CN"/>
        </w:rPr>
        <w:t>：</w:t>
      </w:r>
      <w:r>
        <w:rPr>
          <w:rFonts w:hint="eastAsia" w:ascii="仿宋" w:hAnsi="仿宋" w:eastAsia="仿宋" w:cs="仿宋"/>
          <w:bCs/>
          <w:sz w:val="28"/>
          <w:szCs w:val="28"/>
          <w:lang w:val="en-US" w:eastAsia="zh-CN"/>
        </w:rPr>
        <w:t>中国经济体制改革研究会副秘书长、培训中心主任、</w:t>
      </w:r>
      <w:r>
        <w:rPr>
          <w:rFonts w:hint="eastAsia" w:ascii="仿宋" w:hAnsi="仿宋" w:eastAsia="仿宋" w:cs="仿宋"/>
          <w:bCs/>
          <w:sz w:val="28"/>
          <w:szCs w:val="28"/>
        </w:rPr>
        <w:t>北大、清华投融资系列总裁研修班客座教授</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562" w:firstLineChars="200"/>
        <w:textAlignment w:val="auto"/>
        <w:rPr>
          <w:rFonts w:hint="default"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 xml:space="preserve">朱 </w:t>
      </w:r>
      <w:r>
        <w:rPr>
          <w:rFonts w:hint="eastAsia" w:hAnsi="仿宋" w:cs="仿宋"/>
          <w:b/>
          <w:bCs w:val="0"/>
          <w:kern w:val="2"/>
          <w:sz w:val="28"/>
          <w:szCs w:val="28"/>
          <w:lang w:val="en-US" w:eastAsia="zh-CN" w:bidi="ar-SA"/>
        </w:rPr>
        <w:t xml:space="preserve"> </w:t>
      </w:r>
      <w:r>
        <w:rPr>
          <w:rFonts w:hint="eastAsia" w:ascii="仿宋" w:hAnsi="仿宋" w:eastAsia="仿宋" w:cs="仿宋"/>
          <w:b/>
          <w:bCs w:val="0"/>
          <w:kern w:val="2"/>
          <w:sz w:val="28"/>
          <w:szCs w:val="28"/>
          <w:lang w:val="en-US" w:eastAsia="zh-CN" w:bidi="ar-SA"/>
        </w:rPr>
        <w:t>静：</w:t>
      </w:r>
      <w:r>
        <w:rPr>
          <w:rFonts w:hint="eastAsia" w:ascii="仿宋" w:hAnsi="仿宋" w:eastAsia="仿宋" w:cs="仿宋"/>
          <w:bCs/>
          <w:kern w:val="2"/>
          <w:sz w:val="28"/>
          <w:szCs w:val="28"/>
          <w:lang w:val="en-US" w:eastAsia="zh-CN" w:bidi="ar-SA"/>
        </w:rPr>
        <w:t>财政部PPP专家，中央财经大学PPP智库专家，中国政信（政务）研究中心专家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林晓东：</w:t>
      </w:r>
      <w:r>
        <w:rPr>
          <w:rFonts w:hint="eastAsia" w:ascii="仿宋" w:hAnsi="仿宋" w:eastAsia="仿宋" w:cs="仿宋"/>
          <w:bCs/>
          <w:kern w:val="2"/>
          <w:sz w:val="28"/>
          <w:szCs w:val="28"/>
          <w:lang w:val="en-US" w:eastAsia="zh-CN" w:bidi="ar-SA"/>
        </w:rPr>
        <w:t>中国经济体制改革研究会理事、特聘授课专家，中国投资协会项目投融资专委会特聘专家、大成律师事务所合伙人</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color w:val="000000"/>
          <w:kern w:val="2"/>
          <w:sz w:val="28"/>
          <w:szCs w:val="28"/>
          <w:lang w:val="en-US" w:eastAsia="zh-CN" w:bidi="ar-SA"/>
        </w:rPr>
        <w:t>王小文：</w:t>
      </w:r>
      <w:r>
        <w:rPr>
          <w:rFonts w:hint="eastAsia" w:ascii="仿宋" w:hAnsi="仿宋" w:eastAsia="仿宋" w:cs="仿宋"/>
          <w:bCs/>
          <w:kern w:val="2"/>
          <w:sz w:val="28"/>
          <w:szCs w:val="28"/>
          <w:lang w:val="en-US" w:eastAsia="zh-CN" w:bidi="ar-SA"/>
        </w:rPr>
        <w:t>财政部 PPP 示范项目评审专家、住建部海绵城市试点考核专家，中国投资咨询有限责任公司战略与管理咨询事业部副总经理（主持工作）、研究中心主任</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textAlignment w:val="auto"/>
        <w:rPr>
          <w:rFonts w:hint="default" w:ascii="仿宋" w:hAnsi="仿宋" w:eastAsia="仿宋" w:cs="仿宋"/>
          <w:bCs/>
          <w:kern w:val="2"/>
          <w:sz w:val="28"/>
          <w:szCs w:val="28"/>
          <w:lang w:val="en-US" w:eastAsia="zh-CN" w:bidi="ar-SA"/>
        </w:rPr>
      </w:pPr>
      <w:r>
        <w:rPr>
          <w:rFonts w:hint="eastAsia" w:hAnsi="仿宋" w:cs="仿宋"/>
          <w:b/>
          <w:bCs w:val="0"/>
          <w:kern w:val="2"/>
          <w:sz w:val="28"/>
          <w:szCs w:val="28"/>
          <w:lang w:val="en-US" w:eastAsia="zh-CN" w:bidi="ar-SA"/>
        </w:rPr>
        <w:t>温来成：</w:t>
      </w:r>
      <w:r>
        <w:rPr>
          <w:rFonts w:hint="eastAsia" w:ascii="仿宋" w:hAnsi="仿宋" w:eastAsia="仿宋" w:cs="仿宋"/>
          <w:bCs/>
          <w:kern w:val="2"/>
          <w:sz w:val="28"/>
          <w:szCs w:val="28"/>
          <w:lang w:val="en-US" w:eastAsia="zh-CN" w:bidi="ar-SA"/>
        </w:rPr>
        <w:fldChar w:fldCharType="begin"/>
      </w:r>
      <w:r>
        <w:rPr>
          <w:rFonts w:hint="eastAsia" w:ascii="仿宋" w:hAnsi="仿宋" w:eastAsia="仿宋" w:cs="仿宋"/>
          <w:bCs/>
          <w:kern w:val="2"/>
          <w:sz w:val="28"/>
          <w:szCs w:val="28"/>
          <w:lang w:val="en-US" w:eastAsia="zh-CN" w:bidi="ar-SA"/>
        </w:rPr>
        <w:instrText xml:space="preserve"> HYPERLINK "https://baike.so.com/doc/3296910-3472858.html" \t "https://baike.so.com/doc/_blank" </w:instrText>
      </w:r>
      <w:r>
        <w:rPr>
          <w:rFonts w:hint="eastAsia" w:ascii="仿宋" w:hAnsi="仿宋" w:eastAsia="仿宋" w:cs="仿宋"/>
          <w:bCs/>
          <w:kern w:val="2"/>
          <w:sz w:val="28"/>
          <w:szCs w:val="28"/>
          <w:lang w:val="en-US" w:eastAsia="zh-CN" w:bidi="ar-SA"/>
        </w:rPr>
        <w:fldChar w:fldCharType="separate"/>
      </w:r>
      <w:r>
        <w:rPr>
          <w:rFonts w:hint="default" w:ascii="仿宋" w:hAnsi="仿宋" w:eastAsia="仿宋" w:cs="仿宋"/>
          <w:bCs/>
          <w:kern w:val="2"/>
          <w:sz w:val="28"/>
          <w:szCs w:val="28"/>
          <w:lang w:val="en-US" w:eastAsia="zh-CN" w:bidi="ar-SA"/>
        </w:rPr>
        <w:t>中国人民大学</w:t>
      </w:r>
      <w:r>
        <w:rPr>
          <w:rFonts w:hint="default" w:ascii="仿宋" w:hAnsi="仿宋" w:eastAsia="仿宋" w:cs="仿宋"/>
          <w:bCs/>
          <w:kern w:val="2"/>
          <w:sz w:val="28"/>
          <w:szCs w:val="28"/>
          <w:lang w:val="en-US" w:eastAsia="zh-CN" w:bidi="ar-SA"/>
        </w:rPr>
        <w:fldChar w:fldCharType="end"/>
      </w:r>
      <w:r>
        <w:rPr>
          <w:rFonts w:hint="default" w:ascii="仿宋" w:hAnsi="仿宋" w:eastAsia="仿宋" w:cs="仿宋"/>
          <w:bCs/>
          <w:kern w:val="2"/>
          <w:sz w:val="28"/>
          <w:szCs w:val="28"/>
          <w:lang w:val="en-US" w:eastAsia="zh-CN" w:bidi="ar-SA"/>
        </w:rPr>
        <w:t>经济学博士，</w:t>
      </w:r>
      <w:r>
        <w:rPr>
          <w:rFonts w:hint="default" w:ascii="仿宋" w:hAnsi="仿宋" w:eastAsia="仿宋" w:cs="仿宋"/>
          <w:bCs/>
          <w:kern w:val="2"/>
          <w:sz w:val="28"/>
          <w:szCs w:val="28"/>
          <w:lang w:val="en-US" w:eastAsia="zh-CN" w:bidi="ar-SA"/>
        </w:rPr>
        <w:fldChar w:fldCharType="begin"/>
      </w:r>
      <w:r>
        <w:rPr>
          <w:rFonts w:hint="default" w:ascii="仿宋" w:hAnsi="仿宋" w:eastAsia="仿宋" w:cs="仿宋"/>
          <w:bCs/>
          <w:kern w:val="2"/>
          <w:sz w:val="28"/>
          <w:szCs w:val="28"/>
          <w:lang w:val="en-US" w:eastAsia="zh-CN" w:bidi="ar-SA"/>
        </w:rPr>
        <w:instrText xml:space="preserve"> HYPERLINK "https://baike.so.com/doc/871579-921482.html" \t "https://baike.so.com/doc/_blank" </w:instrText>
      </w:r>
      <w:r>
        <w:rPr>
          <w:rFonts w:hint="default" w:ascii="仿宋" w:hAnsi="仿宋" w:eastAsia="仿宋" w:cs="仿宋"/>
          <w:bCs/>
          <w:kern w:val="2"/>
          <w:sz w:val="28"/>
          <w:szCs w:val="28"/>
          <w:lang w:val="en-US" w:eastAsia="zh-CN" w:bidi="ar-SA"/>
        </w:rPr>
        <w:fldChar w:fldCharType="separate"/>
      </w:r>
      <w:r>
        <w:rPr>
          <w:rFonts w:hint="default" w:ascii="仿宋" w:hAnsi="仿宋" w:eastAsia="仿宋" w:cs="仿宋"/>
          <w:bCs/>
          <w:kern w:val="2"/>
          <w:sz w:val="28"/>
          <w:szCs w:val="28"/>
          <w:lang w:val="en-US" w:eastAsia="zh-CN" w:bidi="ar-SA"/>
        </w:rPr>
        <w:t>中央财经大学</w:t>
      </w:r>
      <w:r>
        <w:rPr>
          <w:rFonts w:hint="default" w:ascii="仿宋" w:hAnsi="仿宋" w:eastAsia="仿宋" w:cs="仿宋"/>
          <w:bCs/>
          <w:kern w:val="2"/>
          <w:sz w:val="28"/>
          <w:szCs w:val="28"/>
          <w:lang w:val="en-US" w:eastAsia="zh-CN" w:bidi="ar-SA"/>
        </w:rPr>
        <w:fldChar w:fldCharType="end"/>
      </w:r>
      <w:r>
        <w:rPr>
          <w:rFonts w:hint="default" w:ascii="仿宋" w:hAnsi="仿宋" w:eastAsia="仿宋" w:cs="仿宋"/>
          <w:bCs/>
          <w:kern w:val="2"/>
          <w:sz w:val="28"/>
          <w:szCs w:val="28"/>
          <w:lang w:val="en-US" w:eastAsia="zh-CN" w:bidi="ar-SA"/>
        </w:rPr>
        <w:t>教授，博士生导师，</w:t>
      </w:r>
      <w:r>
        <w:rPr>
          <w:rFonts w:hint="default" w:ascii="仿宋" w:hAnsi="仿宋" w:eastAsia="仿宋" w:cs="仿宋"/>
          <w:bCs/>
          <w:kern w:val="2"/>
          <w:sz w:val="28"/>
          <w:szCs w:val="28"/>
          <w:lang w:val="en-US" w:eastAsia="zh-CN" w:bidi="ar-SA"/>
        </w:rPr>
        <w:fldChar w:fldCharType="begin"/>
      </w:r>
      <w:r>
        <w:rPr>
          <w:rFonts w:hint="default" w:ascii="仿宋" w:hAnsi="仿宋" w:eastAsia="仿宋" w:cs="仿宋"/>
          <w:bCs/>
          <w:kern w:val="2"/>
          <w:sz w:val="28"/>
          <w:szCs w:val="28"/>
          <w:lang w:val="en-US" w:eastAsia="zh-CN" w:bidi="ar-SA"/>
        </w:rPr>
        <w:instrText xml:space="preserve"> HYPERLINK "https://baike.so.com/doc/5383824-5620225.html" \t "https://baike.so.com/doc/_blank" </w:instrText>
      </w:r>
      <w:r>
        <w:rPr>
          <w:rFonts w:hint="default" w:ascii="仿宋" w:hAnsi="仿宋" w:eastAsia="仿宋" w:cs="仿宋"/>
          <w:bCs/>
          <w:kern w:val="2"/>
          <w:sz w:val="28"/>
          <w:szCs w:val="28"/>
          <w:lang w:val="en-US" w:eastAsia="zh-CN" w:bidi="ar-SA"/>
        </w:rPr>
        <w:fldChar w:fldCharType="separate"/>
      </w:r>
      <w:r>
        <w:rPr>
          <w:rFonts w:hint="default" w:ascii="仿宋" w:hAnsi="仿宋" w:eastAsia="仿宋" w:cs="仿宋"/>
          <w:bCs/>
          <w:kern w:val="2"/>
          <w:sz w:val="28"/>
          <w:szCs w:val="28"/>
          <w:lang w:val="en-US" w:eastAsia="zh-CN" w:bidi="ar-SA"/>
        </w:rPr>
        <w:t>国家社会科学基金</w:t>
      </w:r>
      <w:r>
        <w:rPr>
          <w:rFonts w:hint="default" w:ascii="仿宋" w:hAnsi="仿宋" w:eastAsia="仿宋" w:cs="仿宋"/>
          <w:bCs/>
          <w:kern w:val="2"/>
          <w:sz w:val="28"/>
          <w:szCs w:val="28"/>
          <w:lang w:val="en-US" w:eastAsia="zh-CN" w:bidi="ar-SA"/>
        </w:rPr>
        <w:fldChar w:fldCharType="end"/>
      </w:r>
      <w:r>
        <w:rPr>
          <w:rFonts w:hint="default" w:ascii="仿宋" w:hAnsi="仿宋" w:eastAsia="仿宋" w:cs="仿宋"/>
          <w:bCs/>
          <w:kern w:val="2"/>
          <w:sz w:val="28"/>
          <w:szCs w:val="28"/>
          <w:lang w:val="en-US" w:eastAsia="zh-CN" w:bidi="ar-SA"/>
        </w:rPr>
        <w:t>评审专家，</w:t>
      </w:r>
      <w:r>
        <w:rPr>
          <w:rFonts w:hint="default" w:ascii="仿宋" w:hAnsi="仿宋" w:eastAsia="仿宋" w:cs="仿宋"/>
          <w:bCs/>
          <w:kern w:val="2"/>
          <w:sz w:val="28"/>
          <w:szCs w:val="28"/>
          <w:lang w:val="en-US" w:eastAsia="zh-CN" w:bidi="ar-SA"/>
        </w:rPr>
        <w:fldChar w:fldCharType="begin"/>
      </w:r>
      <w:r>
        <w:rPr>
          <w:rFonts w:hint="default" w:ascii="仿宋" w:hAnsi="仿宋" w:eastAsia="仿宋" w:cs="仿宋"/>
          <w:bCs/>
          <w:kern w:val="2"/>
          <w:sz w:val="28"/>
          <w:szCs w:val="28"/>
          <w:lang w:val="en-US" w:eastAsia="zh-CN" w:bidi="ar-SA"/>
        </w:rPr>
        <w:instrText xml:space="preserve"> HYPERLINK "https://baike.so.com/doc/5568745-5783922.html" \t "https://baike.so.com/doc/_blank" </w:instrText>
      </w:r>
      <w:r>
        <w:rPr>
          <w:rFonts w:hint="default" w:ascii="仿宋" w:hAnsi="仿宋" w:eastAsia="仿宋" w:cs="仿宋"/>
          <w:bCs/>
          <w:kern w:val="2"/>
          <w:sz w:val="28"/>
          <w:szCs w:val="28"/>
          <w:lang w:val="en-US" w:eastAsia="zh-CN" w:bidi="ar-SA"/>
        </w:rPr>
        <w:fldChar w:fldCharType="separate"/>
      </w:r>
      <w:r>
        <w:rPr>
          <w:rFonts w:hint="default" w:ascii="仿宋" w:hAnsi="仿宋" w:eastAsia="仿宋" w:cs="仿宋"/>
          <w:bCs/>
          <w:kern w:val="2"/>
          <w:sz w:val="28"/>
          <w:szCs w:val="28"/>
          <w:lang w:val="en-US" w:eastAsia="zh-CN" w:bidi="ar-SA"/>
        </w:rPr>
        <w:t>国家自然科学基金</w:t>
      </w:r>
      <w:r>
        <w:rPr>
          <w:rFonts w:hint="default" w:ascii="仿宋" w:hAnsi="仿宋" w:eastAsia="仿宋" w:cs="仿宋"/>
          <w:bCs/>
          <w:kern w:val="2"/>
          <w:sz w:val="28"/>
          <w:szCs w:val="28"/>
          <w:lang w:val="en-US" w:eastAsia="zh-CN" w:bidi="ar-SA"/>
        </w:rPr>
        <w:fldChar w:fldCharType="end"/>
      </w:r>
      <w:r>
        <w:rPr>
          <w:rFonts w:hint="default" w:ascii="仿宋" w:hAnsi="仿宋" w:eastAsia="仿宋" w:cs="仿宋"/>
          <w:bCs/>
          <w:kern w:val="2"/>
          <w:sz w:val="28"/>
          <w:szCs w:val="28"/>
          <w:lang w:val="en-US" w:eastAsia="zh-CN" w:bidi="ar-SA"/>
        </w:rPr>
        <w:t>评审专家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张  鹏：</w:t>
      </w:r>
      <w:r>
        <w:rPr>
          <w:rFonts w:hint="default" w:ascii="仿宋" w:hAnsi="仿宋" w:eastAsia="仿宋" w:cs="仿宋"/>
          <w:bCs/>
          <w:kern w:val="2"/>
          <w:sz w:val="28"/>
          <w:szCs w:val="28"/>
          <w:lang w:val="en-US" w:eastAsia="zh-CN" w:bidi="ar-SA"/>
        </w:rPr>
        <w:t>财政部政策实验室宏观经济部主任、经济学博士</w:t>
      </w:r>
      <w:r>
        <w:rPr>
          <w:rFonts w:hint="eastAsia" w:ascii="仿宋" w:hAnsi="仿宋" w:eastAsia="仿宋" w:cs="仿宋"/>
          <w:bCs/>
          <w:kern w:val="2"/>
          <w:sz w:val="28"/>
          <w:szCs w:val="28"/>
          <w:lang w:val="en-US" w:eastAsia="zh-CN" w:bidi="ar-SA"/>
        </w:rPr>
        <w:t>、</w:t>
      </w:r>
      <w:r>
        <w:rPr>
          <w:rFonts w:hint="default" w:ascii="仿宋" w:hAnsi="仿宋" w:eastAsia="仿宋" w:cs="仿宋"/>
          <w:bCs/>
          <w:kern w:val="2"/>
          <w:sz w:val="28"/>
          <w:szCs w:val="28"/>
          <w:lang w:val="en-US" w:eastAsia="zh-CN" w:bidi="ar-SA"/>
        </w:rPr>
        <w:t>中共中央党校干部学习网特约专家</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textAlignment w:val="auto"/>
        <w:rPr>
          <w:rFonts w:hint="default"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霍晓亮：</w:t>
      </w:r>
      <w:r>
        <w:rPr>
          <w:rFonts w:hint="eastAsia" w:ascii="仿宋" w:hAnsi="仿宋" w:eastAsia="仿宋" w:cs="仿宋"/>
          <w:bCs/>
          <w:kern w:val="2"/>
          <w:sz w:val="28"/>
          <w:szCs w:val="28"/>
          <w:lang w:val="en-US" w:eastAsia="zh-CN" w:bidi="ar-SA"/>
        </w:rPr>
        <w:t>中国经济体制改革研究会产业改革与企业发展委员会PPP专家委员；政府专项债券咨询首批探索者与案例实操者，片区综合开发产品牵头人</w:t>
      </w:r>
    </w:p>
    <w:p>
      <w:pPr>
        <w:keepNext w:val="0"/>
        <w:keepLines w:val="0"/>
        <w:pageBreakBefore w:val="0"/>
        <w:numPr>
          <w:ilvl w:val="0"/>
          <w:numId w:val="0"/>
        </w:numPr>
        <w:kinsoku/>
        <w:wordWrap/>
        <w:overflowPunct/>
        <w:topLinePunct w:val="0"/>
        <w:bidi w:val="0"/>
        <w:snapToGrid/>
        <w:spacing w:line="540" w:lineRule="exact"/>
        <w:textAlignment w:val="auto"/>
        <w:rPr>
          <w:rFonts w:ascii="仿宋" w:hAnsi="仿宋" w:eastAsia="仿宋" w:cs="仿宋"/>
          <w:b/>
          <w:bCs/>
          <w:color w:val="000000"/>
          <w:sz w:val="28"/>
          <w:szCs w:val="28"/>
        </w:rPr>
      </w:pPr>
      <w:r>
        <w:rPr>
          <w:rFonts w:hint="eastAsia" w:ascii="仿宋" w:hAnsi="仿宋" w:eastAsia="仿宋" w:cs="仿宋"/>
          <w:b/>
          <w:bCs/>
          <w:color w:val="000000"/>
          <w:kern w:val="2"/>
          <w:sz w:val="28"/>
          <w:szCs w:val="28"/>
          <w:lang w:val="en-US" w:eastAsia="zh-CN" w:bidi="ar-SA"/>
        </w:rPr>
        <w:t>五、</w:t>
      </w:r>
      <w:r>
        <w:rPr>
          <w:rFonts w:ascii="仿宋" w:hAnsi="仿宋" w:eastAsia="仿宋" w:cs="仿宋"/>
          <w:b/>
          <w:bCs/>
          <w:color w:val="000000"/>
          <w:sz w:val="28"/>
          <w:szCs w:val="28"/>
        </w:rPr>
        <w:t>培训时间与地点</w:t>
      </w:r>
    </w:p>
    <w:p>
      <w:pPr>
        <w:keepNext w:val="0"/>
        <w:keepLines w:val="0"/>
        <w:pageBreakBefore w:val="0"/>
        <w:kinsoku/>
        <w:wordWrap/>
        <w:overflowPunct/>
        <w:topLinePunct w:val="0"/>
        <w:bidi w:val="0"/>
        <w:snapToGrid/>
        <w:spacing w:line="54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2023年09月14日—09月17日   昆明市（14日全天报到）</w:t>
      </w:r>
    </w:p>
    <w:p>
      <w:pPr>
        <w:keepNext w:val="0"/>
        <w:keepLines w:val="0"/>
        <w:pageBreakBefore w:val="0"/>
        <w:kinsoku/>
        <w:wordWrap/>
        <w:overflowPunct/>
        <w:topLinePunct w:val="0"/>
        <w:bidi w:val="0"/>
        <w:snapToGrid/>
        <w:spacing w:line="54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2023年09月22日—09月25日   成都市（22日全天报到）</w:t>
      </w:r>
    </w:p>
    <w:p>
      <w:pPr>
        <w:keepNext w:val="0"/>
        <w:keepLines w:val="0"/>
        <w:pageBreakBefore w:val="0"/>
        <w:kinsoku/>
        <w:wordWrap/>
        <w:overflowPunct/>
        <w:topLinePunct w:val="0"/>
        <w:bidi w:val="0"/>
        <w:snapToGrid/>
        <w:spacing w:line="54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2023年10月13日—10月16日   </w:t>
      </w:r>
      <w:r>
        <w:rPr>
          <w:rFonts w:hint="eastAsia" w:ascii="仿宋" w:hAnsi="仿宋" w:eastAsia="仿宋" w:cs="仿宋"/>
          <w:b/>
          <w:bCs/>
          <w:color w:val="000000"/>
          <w:sz w:val="28"/>
          <w:szCs w:val="28"/>
          <w:lang w:val="en-US" w:eastAsia="zh-CN"/>
        </w:rPr>
        <w:t>西安</w:t>
      </w:r>
      <w:r>
        <w:rPr>
          <w:rFonts w:hint="eastAsia" w:ascii="仿宋" w:hAnsi="仿宋" w:eastAsia="仿宋" w:cs="仿宋"/>
          <w:b/>
          <w:bCs/>
          <w:color w:val="000000"/>
          <w:sz w:val="28"/>
          <w:szCs w:val="28"/>
        </w:rPr>
        <w:t>市（13日全天报到）</w:t>
      </w:r>
    </w:p>
    <w:p>
      <w:pPr>
        <w:keepNext w:val="0"/>
        <w:keepLines w:val="0"/>
        <w:pageBreakBefore w:val="0"/>
        <w:kinsoku/>
        <w:wordWrap/>
        <w:overflowPunct/>
        <w:topLinePunct w:val="0"/>
        <w:bidi w:val="0"/>
        <w:snapToGrid/>
        <w:spacing w:line="54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2023年10月27日—10月30日   武汉市（27日全天报到）</w:t>
      </w:r>
    </w:p>
    <w:p>
      <w:pPr>
        <w:keepNext w:val="0"/>
        <w:keepLines w:val="0"/>
        <w:pageBreakBefore w:val="0"/>
        <w:kinsoku/>
        <w:wordWrap/>
        <w:overflowPunct/>
        <w:topLinePunct w:val="0"/>
        <w:bidi w:val="0"/>
        <w:snapToGrid/>
        <w:spacing w:line="54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2023年11月10日—11月13日   南宁市（10日全天报到）</w:t>
      </w:r>
    </w:p>
    <w:p>
      <w:pPr>
        <w:keepNext w:val="0"/>
        <w:keepLines w:val="0"/>
        <w:pageBreakBefore w:val="0"/>
        <w:kinsoku/>
        <w:wordWrap/>
        <w:overflowPunct/>
        <w:topLinePunct w:val="0"/>
        <w:bidi w:val="0"/>
        <w:snapToGrid/>
        <w:spacing w:line="54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2023年11月24日—11月27日   长沙市（24日全天报到）</w:t>
      </w:r>
    </w:p>
    <w:p>
      <w:pPr>
        <w:keepNext w:val="0"/>
        <w:keepLines w:val="0"/>
        <w:pageBreakBefore w:val="0"/>
        <w:kinsoku/>
        <w:wordWrap/>
        <w:overflowPunct/>
        <w:topLinePunct w:val="0"/>
        <w:bidi w:val="0"/>
        <w:snapToGrid/>
        <w:spacing w:line="54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2023年12月08日—12月11日   成都市（08日全天报到）</w:t>
      </w:r>
    </w:p>
    <w:p>
      <w:pPr>
        <w:keepNext w:val="0"/>
        <w:keepLines w:val="0"/>
        <w:pageBreakBefore w:val="0"/>
        <w:kinsoku/>
        <w:wordWrap/>
        <w:overflowPunct/>
        <w:topLinePunct w:val="0"/>
        <w:bidi w:val="0"/>
        <w:snapToGrid/>
        <w:spacing w:line="540" w:lineRule="exact"/>
        <w:jc w:val="center"/>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2023年12月22日—12月25日   厦门市（22日全天报到</w:t>
      </w:r>
      <w:r>
        <w:rPr>
          <w:rFonts w:hint="eastAsia" w:ascii="仿宋" w:hAnsi="仿宋" w:eastAsia="仿宋" w:cs="仿宋"/>
          <w:b/>
          <w:bCs/>
          <w:color w:val="000000"/>
          <w:sz w:val="28"/>
          <w:szCs w:val="28"/>
          <w:lang w:eastAsia="zh-CN"/>
        </w:rPr>
        <w:t>）</w:t>
      </w:r>
    </w:p>
    <w:p>
      <w:pPr>
        <w:pStyle w:val="2"/>
        <w:ind w:left="0" w:leftChars="0" w:firstLine="321" w:firstLineChars="100"/>
        <w:rPr>
          <w:rFonts w:hint="eastAsia"/>
          <w:b/>
          <w:bCs/>
          <w:sz w:val="32"/>
          <w:szCs w:val="32"/>
          <w:lang w:eastAsia="zh-CN"/>
        </w:rPr>
      </w:pPr>
      <w:r>
        <w:rPr>
          <w:rFonts w:hint="eastAsia"/>
          <w:b/>
          <w:bCs/>
          <w:sz w:val="32"/>
          <w:szCs w:val="32"/>
          <w:lang w:eastAsia="zh-CN"/>
        </w:rPr>
        <w:t>2024年01月18日—01月21日   海口市（18日全天报到）</w:t>
      </w:r>
    </w:p>
    <w:p>
      <w:pPr>
        <w:keepNext w:val="0"/>
        <w:keepLines w:val="0"/>
        <w:pageBreakBefore w:val="0"/>
        <w:kinsoku/>
        <w:wordWrap/>
        <w:overflowPunct/>
        <w:topLinePunct w:val="0"/>
        <w:bidi w:val="0"/>
        <w:snapToGrid/>
        <w:spacing w:line="540" w:lineRule="exact"/>
        <w:textAlignment w:val="auto"/>
        <w:rPr>
          <w:rFonts w:ascii="仿宋" w:hAnsi="仿宋" w:eastAsia="仿宋" w:cs="仿宋"/>
          <w:bCs/>
          <w:sz w:val="28"/>
          <w:szCs w:val="28"/>
        </w:rPr>
      </w:pPr>
      <w:r>
        <w:rPr>
          <w:rFonts w:ascii="仿宋" w:hAnsi="仿宋" w:eastAsia="仿宋" w:cs="仿宋"/>
          <w:b/>
          <w:bCs/>
          <w:color w:val="000000"/>
          <w:sz w:val="28"/>
          <w:szCs w:val="28"/>
        </w:rPr>
        <w:t>六、收费标准</w:t>
      </w:r>
    </w:p>
    <w:p>
      <w:pPr>
        <w:keepNext w:val="0"/>
        <w:keepLines w:val="0"/>
        <w:pageBreakBefore w:val="0"/>
        <w:kinsoku/>
        <w:wordWrap/>
        <w:overflowPunct/>
        <w:topLinePunct w:val="0"/>
        <w:bidi w:val="0"/>
        <w:snapToGrid/>
        <w:spacing w:line="540" w:lineRule="exact"/>
        <w:ind w:firstLine="560" w:firstLineChars="200"/>
        <w:textAlignment w:val="auto"/>
        <w:rPr>
          <w:rFonts w:ascii="仿宋" w:hAnsi="仿宋" w:eastAsia="仿宋" w:cs="仿宋"/>
          <w:bCs/>
          <w:sz w:val="28"/>
          <w:szCs w:val="28"/>
        </w:rPr>
      </w:pPr>
      <w:r>
        <w:rPr>
          <w:rFonts w:ascii="仿宋" w:hAnsi="仿宋" w:eastAsia="仿宋" w:cs="仿宋"/>
          <w:bCs/>
          <w:sz w:val="28"/>
          <w:szCs w:val="28"/>
        </w:rPr>
        <w:t>A.3600元/人（含培训、资料、电子课件、场地及培训期间午餐），住宿统一安排，费用自理。</w:t>
      </w:r>
    </w:p>
    <w:p>
      <w:pPr>
        <w:keepNext w:val="0"/>
        <w:keepLines w:val="0"/>
        <w:pageBreakBefore w:val="0"/>
        <w:kinsoku/>
        <w:wordWrap/>
        <w:overflowPunct/>
        <w:topLinePunct w:val="0"/>
        <w:bidi w:val="0"/>
        <w:snapToGrid/>
        <w:spacing w:line="540" w:lineRule="exact"/>
        <w:ind w:firstLine="560" w:firstLineChars="200"/>
        <w:textAlignment w:val="auto"/>
        <w:rPr>
          <w:rFonts w:ascii="仿宋" w:hAnsi="仿宋" w:eastAsia="仿宋"/>
          <w:spacing w:val="8"/>
          <w:sz w:val="30"/>
          <w:szCs w:val="30"/>
        </w:rPr>
      </w:pPr>
      <w:r>
        <w:rPr>
          <w:rFonts w:ascii="仿宋" w:hAnsi="仿宋" w:eastAsia="仿宋" w:cs="仿宋"/>
          <w:bCs/>
          <w:sz w:val="28"/>
          <w:szCs w:val="28"/>
        </w:rPr>
        <w:t>B.5600元/人（含培训、资料、电子课件、场地、证书及培训期间午餐），住宿统一安排，费用自理。培训结束后，经考核合格，</w:t>
      </w:r>
      <w:r>
        <w:rPr>
          <w:rFonts w:hint="eastAsia" w:ascii="仿宋" w:hAnsi="仿宋" w:eastAsia="仿宋" w:cs="仿宋"/>
          <w:bCs/>
          <w:sz w:val="28"/>
          <w:szCs w:val="28"/>
        </w:rPr>
        <w:t>由中国</w:t>
      </w:r>
      <w:r>
        <w:rPr>
          <w:rFonts w:hint="eastAsia" w:ascii="仿宋" w:hAnsi="仿宋" w:eastAsia="仿宋" w:cs="仿宋"/>
          <w:bCs/>
          <w:sz w:val="28"/>
          <w:szCs w:val="28"/>
          <w:lang w:eastAsia="zh-CN"/>
        </w:rPr>
        <w:t>投资协会</w:t>
      </w:r>
      <w:r>
        <w:rPr>
          <w:rFonts w:hint="eastAsia" w:ascii="仿宋" w:hAnsi="仿宋" w:eastAsia="仿宋" w:cs="仿宋"/>
          <w:bCs/>
          <w:sz w:val="28"/>
          <w:szCs w:val="28"/>
        </w:rPr>
        <w:t>颁发《投融资</w:t>
      </w:r>
      <w:r>
        <w:rPr>
          <w:rFonts w:hint="eastAsia" w:ascii="仿宋" w:hAnsi="仿宋" w:eastAsia="仿宋" w:cs="仿宋"/>
          <w:bCs/>
          <w:sz w:val="28"/>
          <w:szCs w:val="28"/>
          <w:lang w:eastAsia="zh-CN"/>
        </w:rPr>
        <w:t>规划</w:t>
      </w:r>
      <w:r>
        <w:rPr>
          <w:rFonts w:hint="eastAsia" w:ascii="仿宋" w:hAnsi="仿宋" w:eastAsia="仿宋" w:cs="仿宋"/>
          <w:bCs/>
          <w:sz w:val="28"/>
          <w:szCs w:val="28"/>
        </w:rPr>
        <w:t>师》证书，需提供申报表、二寸</w:t>
      </w:r>
      <w:r>
        <w:rPr>
          <w:rFonts w:hint="eastAsia" w:ascii="仿宋" w:hAnsi="仿宋" w:eastAsia="仿宋" w:cs="仿宋"/>
          <w:bCs/>
          <w:sz w:val="28"/>
          <w:szCs w:val="28"/>
          <w:lang w:val="en-US" w:eastAsia="zh-CN"/>
        </w:rPr>
        <w:t>白</w:t>
      </w:r>
      <w:r>
        <w:rPr>
          <w:rFonts w:hint="eastAsia" w:ascii="仿宋" w:hAnsi="仿宋" w:eastAsia="仿宋" w:cs="仿宋"/>
          <w:bCs/>
          <w:sz w:val="28"/>
          <w:szCs w:val="28"/>
        </w:rPr>
        <w:t>底免冠彩色照片、身份证复印件、学历证书复印件等电子版材料。</w:t>
      </w:r>
    </w:p>
    <w:p>
      <w:pPr>
        <w:keepNext w:val="0"/>
        <w:keepLines w:val="0"/>
        <w:pageBreakBefore w:val="0"/>
        <w:kinsoku/>
        <w:wordWrap/>
        <w:overflowPunct/>
        <w:topLinePunct w:val="0"/>
        <w:bidi w:val="0"/>
        <w:snapToGrid/>
        <w:spacing w:line="540" w:lineRule="exact"/>
        <w:textAlignment w:val="auto"/>
        <w:rPr>
          <w:rFonts w:ascii="仿宋" w:hAnsi="仿宋" w:eastAsia="仿宋" w:cs="仿宋"/>
          <w:b/>
          <w:bCs/>
          <w:color w:val="000000"/>
          <w:sz w:val="28"/>
          <w:szCs w:val="28"/>
        </w:rPr>
      </w:pPr>
      <w:r>
        <w:rPr>
          <w:rFonts w:ascii="仿宋" w:hAnsi="仿宋" w:eastAsia="仿宋" w:cs="仿宋"/>
          <w:b/>
          <w:bCs/>
          <w:color w:val="000000"/>
          <w:sz w:val="28"/>
          <w:szCs w:val="28"/>
        </w:rPr>
        <w:t>七、课程权益</w:t>
      </w:r>
    </w:p>
    <w:p>
      <w:pPr>
        <w:keepNext w:val="0"/>
        <w:keepLines w:val="0"/>
        <w:pageBreakBefore w:val="0"/>
        <w:kinsoku/>
        <w:wordWrap/>
        <w:overflowPunct/>
        <w:topLinePunct w:val="0"/>
        <w:bidi w:val="0"/>
        <w:snapToGrid/>
        <w:spacing w:line="540" w:lineRule="exact"/>
        <w:ind w:firstLine="600" w:firstLineChars="200"/>
        <w:textAlignment w:val="auto"/>
        <w:rPr>
          <w:rFonts w:ascii="仿宋" w:hAnsi="仿宋" w:eastAsia="仿宋" w:cs="仿宋"/>
          <w:bCs/>
          <w:sz w:val="28"/>
          <w:szCs w:val="28"/>
        </w:rPr>
      </w:pPr>
      <w:r>
        <w:rPr>
          <w:rFonts w:ascii="仿宋" w:hAnsi="仿宋" w:eastAsia="仿宋" w:cs="仿宋"/>
          <w:color w:val="000000"/>
          <w:spacing w:val="10"/>
          <w:sz w:val="28"/>
          <w:szCs w:val="28"/>
        </w:rPr>
        <w:t>（一）本培训班常年举办，本人一年内免费复训一次，</w:t>
      </w:r>
      <w:r>
        <w:rPr>
          <w:rFonts w:hint="eastAsia" w:ascii="仿宋" w:hAnsi="仿宋" w:eastAsia="仿宋" w:cs="仿宋"/>
          <w:color w:val="000000"/>
          <w:spacing w:val="10"/>
          <w:sz w:val="28"/>
          <w:szCs w:val="28"/>
        </w:rPr>
        <w:t>复训</w:t>
      </w:r>
      <w:r>
        <w:rPr>
          <w:rFonts w:ascii="仿宋" w:hAnsi="仿宋" w:eastAsia="仿宋" w:cs="仿宋"/>
          <w:color w:val="000000"/>
          <w:spacing w:val="10"/>
          <w:sz w:val="28"/>
          <w:szCs w:val="28"/>
        </w:rPr>
        <w:t>只交资料费300元即可</w:t>
      </w:r>
      <w:r>
        <w:rPr>
          <w:rFonts w:ascii="仿宋" w:hAnsi="仿宋" w:eastAsia="仿宋" w:cs="仿宋"/>
          <w:bCs/>
          <w:sz w:val="28"/>
          <w:szCs w:val="28"/>
        </w:rPr>
        <w:t>；</w:t>
      </w:r>
    </w:p>
    <w:p>
      <w:pPr>
        <w:keepNext w:val="0"/>
        <w:keepLines w:val="0"/>
        <w:pageBreakBefore w:val="0"/>
        <w:kinsoku/>
        <w:wordWrap/>
        <w:overflowPunct/>
        <w:topLinePunct w:val="0"/>
        <w:bidi w:val="0"/>
        <w:snapToGrid/>
        <w:spacing w:line="540" w:lineRule="exact"/>
        <w:ind w:firstLine="560" w:firstLineChars="200"/>
        <w:textAlignment w:val="auto"/>
        <w:rPr>
          <w:rFonts w:ascii="仿宋" w:hAnsi="仿宋" w:eastAsia="仿宋" w:cs="仿宋"/>
          <w:bCs/>
          <w:sz w:val="28"/>
          <w:szCs w:val="28"/>
        </w:rPr>
      </w:pPr>
      <w:r>
        <w:rPr>
          <w:rFonts w:ascii="仿宋" w:hAnsi="仿宋" w:eastAsia="仿宋" w:cs="仿宋"/>
          <w:bCs/>
          <w:sz w:val="28"/>
          <w:szCs w:val="28"/>
        </w:rPr>
        <w:t>（二）赠送中建科信集团</w:t>
      </w:r>
      <w:r>
        <w:rPr>
          <w:rFonts w:hint="eastAsia" w:ascii="仿宋" w:hAnsi="仿宋" w:eastAsia="仿宋" w:cs="仿宋"/>
          <w:bCs/>
          <w:sz w:val="28"/>
          <w:szCs w:val="28"/>
        </w:rPr>
        <w:t>整理的最新政策类资料</w:t>
      </w:r>
      <w:r>
        <w:rPr>
          <w:rFonts w:ascii="仿宋" w:hAnsi="仿宋" w:eastAsia="仿宋" w:cs="仿宋"/>
          <w:bCs/>
          <w:sz w:val="28"/>
          <w:szCs w:val="28"/>
        </w:rPr>
        <w:t>；</w:t>
      </w:r>
    </w:p>
    <w:p>
      <w:pPr>
        <w:keepNext w:val="0"/>
        <w:keepLines w:val="0"/>
        <w:pageBreakBefore w:val="0"/>
        <w:kinsoku/>
        <w:wordWrap/>
        <w:overflowPunct/>
        <w:topLinePunct w:val="0"/>
        <w:bidi w:val="0"/>
        <w:snapToGrid/>
        <w:spacing w:line="540" w:lineRule="exact"/>
        <w:ind w:firstLine="560" w:firstLineChars="200"/>
        <w:textAlignment w:val="auto"/>
        <w:rPr>
          <w:rFonts w:ascii="仿宋" w:hAnsi="仿宋" w:eastAsia="仿宋" w:cs="仿宋"/>
          <w:bCs/>
          <w:sz w:val="28"/>
          <w:szCs w:val="28"/>
        </w:rPr>
      </w:pPr>
      <w:r>
        <w:rPr>
          <w:rFonts w:ascii="仿宋" w:hAnsi="仿宋" w:eastAsia="仿宋" w:cs="仿宋"/>
          <w:bCs/>
          <w:sz w:val="28"/>
          <w:szCs w:val="28"/>
        </w:rPr>
        <w:t xml:space="preserve">（三）免费定期推送各类行业政策新闻及专家解读等相关资讯； </w:t>
      </w:r>
    </w:p>
    <w:p>
      <w:pPr>
        <w:keepNext w:val="0"/>
        <w:keepLines w:val="0"/>
        <w:pageBreakBefore w:val="0"/>
        <w:kinsoku/>
        <w:wordWrap/>
        <w:overflowPunct/>
        <w:topLinePunct w:val="0"/>
        <w:bidi w:val="0"/>
        <w:snapToGrid/>
        <w:spacing w:line="540" w:lineRule="exact"/>
        <w:ind w:firstLine="560" w:firstLineChars="200"/>
        <w:textAlignment w:val="auto"/>
        <w:rPr>
          <w:rFonts w:ascii="仿宋" w:hAnsi="仿宋" w:eastAsia="仿宋" w:cs="仿宋"/>
          <w:bCs/>
          <w:sz w:val="28"/>
          <w:szCs w:val="28"/>
        </w:rPr>
      </w:pPr>
      <w:r>
        <w:rPr>
          <w:rFonts w:ascii="仿宋" w:hAnsi="仿宋" w:eastAsia="仿宋" w:cs="仿宋"/>
          <w:bCs/>
          <w:sz w:val="28"/>
          <w:szCs w:val="28"/>
        </w:rPr>
        <w:t>（四）</w:t>
      </w:r>
      <w:r>
        <w:rPr>
          <w:rFonts w:hint="eastAsia" w:ascii="仿宋" w:hAnsi="仿宋" w:eastAsia="仿宋" w:cs="仿宋"/>
          <w:bCs/>
          <w:sz w:val="28"/>
          <w:szCs w:val="28"/>
        </w:rPr>
        <w:t>平台公司市场化转型、项目包装设计、专项债券申报等</w:t>
      </w:r>
      <w:r>
        <w:rPr>
          <w:rFonts w:ascii="仿宋" w:hAnsi="仿宋" w:eastAsia="仿宋" w:cs="仿宋"/>
          <w:bCs/>
          <w:sz w:val="28"/>
          <w:szCs w:val="28"/>
        </w:rPr>
        <w:t xml:space="preserve">咨询服务9折优惠。 </w:t>
      </w:r>
    </w:p>
    <w:p>
      <w:pPr>
        <w:keepNext w:val="0"/>
        <w:keepLines w:val="0"/>
        <w:pageBreakBefore w:val="0"/>
        <w:kinsoku/>
        <w:wordWrap/>
        <w:overflowPunct/>
        <w:topLinePunct w:val="0"/>
        <w:bidi w:val="0"/>
        <w:snapToGrid/>
        <w:spacing w:line="540" w:lineRule="exact"/>
        <w:textAlignment w:val="auto"/>
        <w:rPr>
          <w:rFonts w:ascii="仿宋" w:hAnsi="仿宋" w:eastAsia="仿宋" w:cs="仿宋"/>
          <w:b/>
          <w:bCs/>
          <w:color w:val="000000"/>
          <w:sz w:val="28"/>
          <w:szCs w:val="28"/>
        </w:rPr>
      </w:pPr>
      <w:r>
        <w:rPr>
          <w:rFonts w:hint="eastAsia" w:ascii="仿宋" w:hAnsi="仿宋" w:eastAsia="仿宋" w:cs="仿宋"/>
          <w:b/>
          <w:bCs/>
          <w:color w:val="000000"/>
          <w:sz w:val="28"/>
          <w:szCs w:val="28"/>
        </w:rPr>
        <w:t>八、联系方式</w:t>
      </w:r>
    </w:p>
    <w:p>
      <w:pPr>
        <w:pStyle w:val="6"/>
        <w:shd w:val="clear" w:color="auto" w:fill="FFFFFF"/>
        <w:spacing w:before="0" w:beforeAutospacing="0" w:after="0" w:afterAutospacing="0" w:line="420" w:lineRule="exact"/>
        <w:rPr>
          <w:rFonts w:hint="eastAsia" w:ascii="仿宋" w:hAnsi="仿宋" w:eastAsia="仿宋" w:cs="仿宋"/>
          <w:bCs/>
          <w:sz w:val="28"/>
          <w:szCs w:val="28"/>
        </w:rPr>
      </w:pPr>
      <w:r>
        <w:rPr>
          <w:rFonts w:hint="eastAsia" w:ascii="仿宋" w:hAnsi="仿宋" w:eastAsia="仿宋" w:cs="仿宋"/>
          <w:bCs/>
          <w:sz w:val="28"/>
          <w:szCs w:val="28"/>
        </w:rPr>
        <w:t xml:space="preserve">报名负责人：聂红军 主任18211071700（微信）   </w:t>
      </w:r>
    </w:p>
    <w:p>
      <w:pPr>
        <w:pStyle w:val="6"/>
        <w:shd w:val="clear" w:color="auto" w:fill="FFFFFF"/>
        <w:spacing w:before="0" w:beforeAutospacing="0" w:after="0" w:afterAutospacing="0" w:line="420" w:lineRule="exact"/>
        <w:rPr>
          <w:rFonts w:hint="eastAsia" w:ascii="仿宋" w:hAnsi="仿宋" w:eastAsia="仿宋" w:cs="仿宋"/>
          <w:bCs/>
          <w:sz w:val="28"/>
          <w:szCs w:val="28"/>
        </w:rPr>
      </w:pPr>
      <w:r>
        <w:rPr>
          <w:rFonts w:hint="eastAsia" w:ascii="仿宋" w:hAnsi="仿宋" w:eastAsia="仿宋" w:cs="仿宋"/>
          <w:bCs/>
          <w:sz w:val="28"/>
          <w:szCs w:val="28"/>
        </w:rPr>
        <w:t xml:space="preserve">电  话：13141289128        邮    箱：zqgphwz@126.com  </w:t>
      </w:r>
    </w:p>
    <w:p>
      <w:pPr>
        <w:pStyle w:val="6"/>
        <w:shd w:val="clear" w:color="auto" w:fill="FFFFFF"/>
        <w:spacing w:before="0" w:beforeAutospacing="0" w:after="0" w:afterAutospacing="0" w:line="420" w:lineRule="exact"/>
        <w:rPr>
          <w:rFonts w:hint="eastAsia" w:ascii="仿宋" w:hAnsi="仿宋" w:eastAsia="仿宋" w:cs="仿宋"/>
          <w:bCs/>
          <w:sz w:val="28"/>
          <w:szCs w:val="28"/>
        </w:rPr>
      </w:pPr>
      <w:r>
        <w:rPr>
          <w:rFonts w:hint="eastAsia" w:ascii="仿宋" w:hAnsi="仿宋" w:eastAsia="仿宋" w:cs="仿宋"/>
          <w:bCs/>
          <w:sz w:val="28"/>
          <w:szCs w:val="28"/>
        </w:rPr>
        <w:t>qq咨询：3177524020        网    址：</w:t>
      </w: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HYPERLINK "http://www.zqgpchina.cn" </w:instrText>
      </w:r>
      <w:r>
        <w:rPr>
          <w:rFonts w:hint="eastAsia" w:ascii="仿宋" w:hAnsi="仿宋" w:eastAsia="仿宋" w:cs="仿宋"/>
          <w:bCs/>
          <w:color w:val="auto"/>
          <w:sz w:val="28"/>
          <w:szCs w:val="28"/>
        </w:rPr>
        <w:fldChar w:fldCharType="separate"/>
      </w:r>
      <w:r>
        <w:rPr>
          <w:rStyle w:val="10"/>
          <w:rFonts w:hint="eastAsia" w:ascii="仿宋" w:hAnsi="仿宋" w:eastAsia="仿宋" w:cs="仿宋"/>
          <w:bCs/>
          <w:color w:val="auto"/>
          <w:sz w:val="28"/>
          <w:szCs w:val="28"/>
        </w:rPr>
        <w:t>http://www.zqgpchina.cn</w:t>
      </w:r>
      <w:r>
        <w:rPr>
          <w:rFonts w:hint="eastAsia" w:ascii="仿宋" w:hAnsi="仿宋" w:eastAsia="仿宋" w:cs="仿宋"/>
          <w:bCs/>
          <w:color w:val="auto"/>
          <w:sz w:val="28"/>
          <w:szCs w:val="28"/>
        </w:rPr>
        <w:fldChar w:fldCharType="end"/>
      </w:r>
    </w:p>
    <w:p>
      <w:pPr>
        <w:pStyle w:val="6"/>
        <w:shd w:val="clear" w:color="auto" w:fill="FFFFFF"/>
        <w:spacing w:before="0" w:beforeAutospacing="0" w:after="0" w:afterAutospacing="0" w:line="420" w:lineRule="exact"/>
        <w:rPr>
          <w:rFonts w:hint="eastAsia" w:ascii="仿宋" w:hAnsi="仿宋" w:eastAsia="仿宋" w:cs="仿宋"/>
          <w:bCs/>
          <w:sz w:val="28"/>
          <w:szCs w:val="28"/>
        </w:rPr>
      </w:pPr>
      <w:bookmarkStart w:id="0" w:name="_GoBack"/>
      <w:bookmarkEnd w:id="0"/>
    </w:p>
    <w:p>
      <w:pPr>
        <w:pStyle w:val="6"/>
        <w:shd w:val="clear" w:color="auto" w:fill="FFFFFF"/>
        <w:spacing w:before="0" w:beforeAutospacing="0" w:after="0" w:afterAutospacing="0" w:line="420" w:lineRule="exact"/>
        <w:rPr>
          <w:rFonts w:ascii="仿宋" w:hAnsi="仿宋" w:eastAsia="仿宋" w:cs="仿宋"/>
          <w:b/>
          <w:i/>
          <w:iCs/>
          <w:sz w:val="36"/>
          <w:szCs w:val="36"/>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p>
    <w:p>
      <w:pPr>
        <w:spacing w:line="480" w:lineRule="exact"/>
        <w:ind w:right="-147" w:rightChars="-70"/>
        <w:jc w:val="center"/>
        <w:rPr>
          <w:rFonts w:hint="eastAsia" w:ascii="仿宋" w:hAnsi="仿宋" w:eastAsia="仿宋" w:cs="仿宋"/>
          <w:b/>
          <w:sz w:val="30"/>
          <w:szCs w:val="30"/>
        </w:rPr>
      </w:pPr>
      <w:r>
        <w:rPr>
          <w:rFonts w:hint="eastAsia" w:ascii="仿宋" w:hAnsi="仿宋" w:eastAsia="仿宋" w:cs="仿宋"/>
          <w:b/>
          <w:sz w:val="30"/>
          <w:szCs w:val="30"/>
        </w:rPr>
        <w:t>新形势地方政府、平台公司求破局谋发展思维下，</w:t>
      </w:r>
    </w:p>
    <w:p>
      <w:pPr>
        <w:spacing w:line="480" w:lineRule="exact"/>
        <w:ind w:right="-147" w:rightChars="-70"/>
        <w:jc w:val="center"/>
        <w:rPr>
          <w:rFonts w:cs="宋体"/>
          <w:b/>
          <w:sz w:val="30"/>
          <w:szCs w:val="30"/>
        </w:rPr>
      </w:pPr>
      <w:r>
        <w:rPr>
          <w:rFonts w:hint="eastAsia" w:ascii="仿宋" w:hAnsi="仿宋" w:eastAsia="仿宋" w:cs="仿宋"/>
          <w:b/>
          <w:sz w:val="30"/>
          <w:szCs w:val="30"/>
        </w:rPr>
        <w:t>EOD 模式运作、片区综合开发项目、城市更新项目谋划包装及政府债务防范化解对标学习专题班报名回执表</w:t>
      </w:r>
    </w:p>
    <w:tbl>
      <w:tblPr>
        <w:tblStyle w:val="7"/>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《投融</w:t>
            </w:r>
            <w:r>
              <w:rPr>
                <w:rFonts w:hint="eastAsia" w:ascii="仿宋" w:hAnsi="仿宋" w:eastAsia="仿宋" w:cs="仿宋"/>
                <w:bCs/>
                <w:color w:val="000000" w:themeColor="text1"/>
                <w:sz w:val="28"/>
                <w:szCs w:val="28"/>
                <w:lang w:val="en-US" w:eastAsia="zh-CN"/>
                <w14:textFill>
                  <w14:solidFill>
                    <w14:schemeClr w14:val="tx1"/>
                  </w14:solidFill>
                </w14:textFill>
              </w:rPr>
              <w:t>资规划</w:t>
            </w:r>
            <w:r>
              <w:rPr>
                <w:rFonts w:hint="eastAsia" w:ascii="仿宋" w:hAnsi="仿宋" w:eastAsia="仿宋" w:cs="仿宋"/>
                <w:bCs/>
                <w:color w:val="000000" w:themeColor="text1"/>
                <w:sz w:val="28"/>
                <w:szCs w:val="28"/>
                <w14:textFill>
                  <w14:solidFill>
                    <w14:schemeClr w14:val="tx1"/>
                  </w14:solidFill>
                </w14:textFill>
              </w:rPr>
              <w:t>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spacing w:line="360" w:lineRule="exact"/>
              <w:ind w:right="-147" w:rightChars="-70"/>
              <w:rPr>
                <w:rFonts w:ascii="仿宋" w:hAnsi="仿宋" w:eastAsia="仿宋" w:cs="仿宋"/>
                <w:sz w:val="28"/>
                <w:szCs w:val="24"/>
              </w:rPr>
            </w:pPr>
            <w:r>
              <w:rPr>
                <w:rFonts w:hint="eastAsia" w:ascii="仿宋" w:hAnsi="仿宋" w:eastAsia="仿宋" w:cs="仿宋"/>
                <w:sz w:val="28"/>
                <w:szCs w:val="24"/>
              </w:rPr>
              <w:t>开户名称：北京中建科信管理咨询集团有限公司</w:t>
            </w:r>
          </w:p>
          <w:p>
            <w:pPr>
              <w:spacing w:line="360" w:lineRule="exact"/>
              <w:ind w:right="-147" w:rightChars="-70"/>
              <w:rPr>
                <w:rFonts w:ascii="仿宋" w:hAnsi="仿宋" w:eastAsia="仿宋" w:cs="仿宋"/>
                <w:sz w:val="28"/>
                <w:szCs w:val="24"/>
              </w:rPr>
            </w:pPr>
            <w:r>
              <w:rPr>
                <w:rFonts w:hint="eastAsia" w:ascii="仿宋" w:hAnsi="仿宋" w:eastAsia="仿宋" w:cs="仿宋"/>
                <w:sz w:val="28"/>
                <w:szCs w:val="24"/>
              </w:rPr>
              <w:t>开 户 行：中国工商银行北京半壁店支行</w:t>
            </w:r>
          </w:p>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sz w:val="28"/>
                <w:szCs w:val="24"/>
              </w:rPr>
              <w:t>账    号：0200247009200068235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14:textFill>
                  <w14:solidFill>
                    <w14:schemeClr w14:val="tx1"/>
                  </w14:solidFill>
                </w14:textFill>
              </w:rPr>
              <w:t>（盖章）</w:t>
            </w:r>
          </w:p>
          <w:p>
            <w:pPr>
              <w:pStyle w:val="2"/>
              <w:ind w:left="480" w:firstLine="480"/>
              <w:rPr>
                <w:rFonts w:hint="default"/>
              </w:rPr>
            </w:pPr>
          </w:p>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年  月  日</w:t>
            </w:r>
          </w:p>
        </w:tc>
      </w:tr>
    </w:tbl>
    <w:p>
      <w:pPr>
        <w:spacing w:line="440" w:lineRule="exact"/>
        <w:ind w:right="-147" w:rightChars="-70"/>
        <w:rPr>
          <w:rStyle w:val="9"/>
          <w:rFonts w:ascii="仿宋" w:hAnsi="仿宋" w:eastAsia="仿宋" w:cs="仿宋"/>
          <w:b w:val="0"/>
          <w:bCs w:val="0"/>
          <w:color w:val="000000"/>
          <w:sz w:val="28"/>
          <w:szCs w:val="28"/>
          <w:lang w:val="zh-CN"/>
        </w:rPr>
      </w:pPr>
    </w:p>
    <w:p>
      <w:pPr>
        <w:spacing w:line="440" w:lineRule="exact"/>
        <w:rPr>
          <w:rStyle w:val="9"/>
          <w:rFonts w:hint="eastAsia" w:ascii="仿宋" w:hAnsi="仿宋" w:eastAsia="仿宋" w:cs="仿宋"/>
          <w:color w:val="000000"/>
          <w:sz w:val="28"/>
          <w:szCs w:val="28"/>
          <w:lang w:val="zh-CN"/>
        </w:rPr>
      </w:pPr>
      <w:r>
        <w:rPr>
          <w:rStyle w:val="9"/>
          <w:rFonts w:hint="eastAsia" w:ascii="仿宋" w:hAnsi="仿宋" w:eastAsia="仿宋" w:cs="仿宋"/>
          <w:color w:val="000000"/>
          <w:sz w:val="28"/>
          <w:szCs w:val="28"/>
          <w:lang w:val="zh-CN"/>
        </w:rPr>
        <w:t xml:space="preserve">报名负责人：聂红军 主任18211071700（微信）   </w:t>
      </w:r>
    </w:p>
    <w:p>
      <w:pPr>
        <w:spacing w:line="440" w:lineRule="exact"/>
        <w:rPr>
          <w:rStyle w:val="9"/>
          <w:rFonts w:hint="eastAsia" w:ascii="仿宋" w:hAnsi="仿宋" w:eastAsia="仿宋" w:cs="仿宋"/>
          <w:color w:val="000000"/>
          <w:sz w:val="28"/>
          <w:szCs w:val="28"/>
          <w:lang w:val="zh-CN"/>
        </w:rPr>
      </w:pPr>
      <w:r>
        <w:rPr>
          <w:rStyle w:val="9"/>
          <w:rFonts w:hint="eastAsia" w:ascii="仿宋" w:hAnsi="仿宋" w:eastAsia="仿宋" w:cs="仿宋"/>
          <w:color w:val="000000"/>
          <w:sz w:val="28"/>
          <w:szCs w:val="28"/>
          <w:lang w:val="zh-CN"/>
        </w:rPr>
        <w:t xml:space="preserve">电  话：13141289128        邮    箱：zqgphwz@126.com  </w:t>
      </w:r>
    </w:p>
    <w:p>
      <w:pPr>
        <w:spacing w:line="440" w:lineRule="exact"/>
        <w:rPr>
          <w:rStyle w:val="9"/>
          <w:rFonts w:hint="eastAsia" w:ascii="仿宋" w:hAnsi="仿宋" w:eastAsia="仿宋" w:cs="仿宋"/>
          <w:color w:val="000000"/>
          <w:spacing w:val="8"/>
          <w:sz w:val="28"/>
          <w:szCs w:val="28"/>
          <w:lang w:val="zh-CN"/>
        </w:rPr>
      </w:pPr>
      <w:r>
        <w:rPr>
          <w:rStyle w:val="9"/>
          <w:rFonts w:hint="eastAsia" w:ascii="仿宋" w:hAnsi="仿宋" w:eastAsia="仿宋" w:cs="仿宋"/>
          <w:color w:val="000000"/>
          <w:sz w:val="28"/>
          <w:szCs w:val="28"/>
          <w:lang w:val="zh-CN"/>
        </w:rPr>
        <w:t>qq咨询：3177524020        网    址：http://www.zqgpchina.cn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MWM5NTU3NmQwMzYzZGY2NjUyMjZkNDUzMDVhNDkifQ=="/>
  </w:docVars>
  <w:rsids>
    <w:rsidRoot w:val="00D51FAA"/>
    <w:rsid w:val="00000508"/>
    <w:rsid w:val="00037700"/>
    <w:rsid w:val="000A17E5"/>
    <w:rsid w:val="000A4852"/>
    <w:rsid w:val="001815E2"/>
    <w:rsid w:val="0027718C"/>
    <w:rsid w:val="00292E6A"/>
    <w:rsid w:val="003144E6"/>
    <w:rsid w:val="00327A7D"/>
    <w:rsid w:val="0038106F"/>
    <w:rsid w:val="00406D20"/>
    <w:rsid w:val="0044681F"/>
    <w:rsid w:val="00455750"/>
    <w:rsid w:val="00464B66"/>
    <w:rsid w:val="00480F5F"/>
    <w:rsid w:val="004F014E"/>
    <w:rsid w:val="00650467"/>
    <w:rsid w:val="006672EF"/>
    <w:rsid w:val="00671A31"/>
    <w:rsid w:val="0067446E"/>
    <w:rsid w:val="00682707"/>
    <w:rsid w:val="006836BA"/>
    <w:rsid w:val="006A2ADA"/>
    <w:rsid w:val="006C5089"/>
    <w:rsid w:val="006D402B"/>
    <w:rsid w:val="0070729C"/>
    <w:rsid w:val="0074601B"/>
    <w:rsid w:val="007554FC"/>
    <w:rsid w:val="00770C10"/>
    <w:rsid w:val="00772C12"/>
    <w:rsid w:val="008F516C"/>
    <w:rsid w:val="00A244AC"/>
    <w:rsid w:val="00B05DFF"/>
    <w:rsid w:val="00B55E7C"/>
    <w:rsid w:val="00BC3588"/>
    <w:rsid w:val="00C54CDA"/>
    <w:rsid w:val="00C918E2"/>
    <w:rsid w:val="00CC6EA9"/>
    <w:rsid w:val="00CE06C5"/>
    <w:rsid w:val="00D51FAA"/>
    <w:rsid w:val="00D613DB"/>
    <w:rsid w:val="00DA6AE7"/>
    <w:rsid w:val="00F707DD"/>
    <w:rsid w:val="00F814AB"/>
    <w:rsid w:val="00F828B6"/>
    <w:rsid w:val="00FA1C1A"/>
    <w:rsid w:val="00FB33B5"/>
    <w:rsid w:val="0A967156"/>
    <w:rsid w:val="0E3C32D3"/>
    <w:rsid w:val="14AD738E"/>
    <w:rsid w:val="14D40A38"/>
    <w:rsid w:val="15773C83"/>
    <w:rsid w:val="190D3CAF"/>
    <w:rsid w:val="19B22309"/>
    <w:rsid w:val="1EB17ED6"/>
    <w:rsid w:val="20996A84"/>
    <w:rsid w:val="21A6398D"/>
    <w:rsid w:val="25916E66"/>
    <w:rsid w:val="29EE2863"/>
    <w:rsid w:val="2F2A52BF"/>
    <w:rsid w:val="3B007A89"/>
    <w:rsid w:val="41196D42"/>
    <w:rsid w:val="419C7DEA"/>
    <w:rsid w:val="42237912"/>
    <w:rsid w:val="4286357D"/>
    <w:rsid w:val="44C8242D"/>
    <w:rsid w:val="452252FD"/>
    <w:rsid w:val="4AC34B60"/>
    <w:rsid w:val="4B6B5BBA"/>
    <w:rsid w:val="4D0F450E"/>
    <w:rsid w:val="4D5519C8"/>
    <w:rsid w:val="4D933821"/>
    <w:rsid w:val="4F82187E"/>
    <w:rsid w:val="4F95546D"/>
    <w:rsid w:val="53F51CFD"/>
    <w:rsid w:val="545306B4"/>
    <w:rsid w:val="55FC102D"/>
    <w:rsid w:val="563A5319"/>
    <w:rsid w:val="5963656D"/>
    <w:rsid w:val="5C27227B"/>
    <w:rsid w:val="5CAA0600"/>
    <w:rsid w:val="5CCF2C88"/>
    <w:rsid w:val="61131A15"/>
    <w:rsid w:val="63C72C14"/>
    <w:rsid w:val="697274F4"/>
    <w:rsid w:val="6CD67880"/>
    <w:rsid w:val="72086956"/>
    <w:rsid w:val="72DC5162"/>
    <w:rsid w:val="73CA4470"/>
    <w:rsid w:val="78771BB8"/>
    <w:rsid w:val="79E22D53"/>
    <w:rsid w:val="7B534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4"/>
    <w:qFormat/>
    <w:uiPriority w:val="99"/>
    <w:pPr>
      <w:tabs>
        <w:tab w:val="left" w:pos="-1440"/>
      </w:tabs>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szCs w:val="24"/>
    </w:rPr>
  </w:style>
  <w:style w:type="paragraph" w:styleId="3">
    <w:name w:val="Body Text Indent"/>
    <w:basedOn w:val="1"/>
    <w:link w:val="11"/>
    <w:semiHidden/>
    <w:unhideWhenUsed/>
    <w:qFormat/>
    <w:uiPriority w:val="99"/>
    <w:pPr>
      <w:spacing w:after="120"/>
      <w:ind w:left="420" w:leftChars="200"/>
    </w:pPr>
  </w:style>
  <w:style w:type="paragraph" w:styleId="4">
    <w:name w:val="footer"/>
    <w:basedOn w:val="1"/>
    <w:next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99"/>
    <w:rPr>
      <w:rFonts w:cs="Times New Roman"/>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正文文本缩进 字符"/>
    <w:basedOn w:val="8"/>
    <w:link w:val="3"/>
    <w:semiHidden/>
    <w:qFormat/>
    <w:uiPriority w:val="99"/>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正文文本首行缩进 2 字符"/>
    <w:basedOn w:val="11"/>
    <w:link w:val="2"/>
    <w:qFormat/>
    <w:uiPriority w:val="99"/>
    <w:rPr>
      <w:rFonts w:ascii="仿宋" w:hAnsi="Times New Roman" w:eastAsia="仿宋" w:cs="Times New Roman"/>
      <w:sz w:val="24"/>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5488</Words>
  <Characters>5977</Characters>
  <Lines>32</Lines>
  <Paragraphs>9</Paragraphs>
  <TotalTime>2</TotalTime>
  <ScaleCrop>false</ScaleCrop>
  <LinksUpToDate>false</LinksUpToDate>
  <CharactersWithSpaces>6135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2023-04-25T06:57:00Z</dcterms:created>
  <dc:creator>Lenovo</dc:creator>
  <cp:lastModifiedBy>聂红军</cp:lastModifiedBy>
  <cp:lastPrinted>2023-05-05T02:47:00Z</cp:lastPrinted>
  <dcterms:modified xsi:type="dcterms:W3CDTF">2023-08-25T03:58:19Z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E90C12AD26394EE7BAF25CA17EDCA22F_13</vt:lpwstr>
  </property>
</Properties>
</file>