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390"/>
          <w:tab w:val="center" w:pos="52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36"/>
          <w:szCs w:val="44"/>
          <w:lang w:val="en-US" w:eastAsia="zh-CN"/>
        </w:rPr>
      </w:pPr>
      <w:r>
        <w:rPr>
          <w:rFonts w:hint="eastAsia" w:eastAsiaTheme="minorEastAsia"/>
          <w:b w:val="0"/>
          <w:bCs w:val="0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-1333500</wp:posOffset>
            </wp:positionV>
            <wp:extent cx="7567930" cy="2435860"/>
            <wp:effectExtent l="0" t="0" r="36830" b="2540"/>
            <wp:wrapThrough wrapText="bothSides">
              <wp:wrapPolygon>
                <wp:start x="0" y="0"/>
                <wp:lineTo x="0" y="21487"/>
                <wp:lineTo x="21575" y="21487"/>
                <wp:lineTo x="21575" y="0"/>
                <wp:lineTo x="0" y="0"/>
              </wp:wrapPolygon>
            </wp:wrapThrough>
            <wp:docPr id="7" name="图片 3" descr="D:\桌面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D:\桌面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 w:val="0"/>
          <w:bCs w:val="0"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ge">
                  <wp:posOffset>2858770</wp:posOffset>
                </wp:positionV>
                <wp:extent cx="5838825" cy="0"/>
                <wp:effectExtent l="0" t="19050" r="9525" b="190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.05pt;margin-top:225.1pt;height:0pt;width:459.75pt;mso-position-vertical-relative:page;z-index:251660288;mso-width-relative:page;mso-height-relative:page;" filled="f" stroked="t" coordsize="21600,21600" o:gfxdata="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9GJGS2QAAAAoBAAAPAAAAAAAAAAEAIAAAACIAAABk&#10;cnMvZG93bnJldi54bWxQSwECFAAUAAAACACHTuJAUcpnLAUCAAD3AwAADgAAAAAAAAABACAAAAAo&#10;AQAAZHJzL2Uyb0RvYy54bWxQSwUGAAAAAAYABgBZAQAAnw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中投新通字〔202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〕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8"/>
          <w:szCs w:val="28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hanging="321" w:hangingChars="10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仿宋" w:hAnsi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cs="仿宋"/>
          <w:b/>
          <w:bCs/>
          <w:sz w:val="32"/>
          <w:szCs w:val="32"/>
          <w:lang w:eastAsia="zh-CN"/>
        </w:rPr>
        <w:t>关于举办“工程总承包政策体系深度解读、疑难问题实操指引暨EPC项目全过程管控落地实操方法、风险防范与成本管控案例解析”专题培训班的通知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/>
        <w:jc w:val="center"/>
        <w:textAlignment w:val="auto"/>
        <w:rPr>
          <w:rFonts w:hint="eastAsia" w:ascii="仿宋" w:hAnsi="仿宋" w:cs="仿宋"/>
          <w:b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baseline"/>
        <w:outlineLvl w:val="0"/>
        <w:rPr>
          <w:rFonts w:hint="eastAsia" w:ascii="仿宋" w:hAnsi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36"/>
          <w:lang w:val="en-US" w:eastAsia="zh-CN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640"/>
        <w:textAlignment w:val="auto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“十四五”建筑业发展规划指出大力推行工程总承包模式，鼓励我国建筑企业参与共建“一带一路”，支持工程总承包单位做优做强，提高工程总承包单位项目管理、资源配置、风险管控等综合服务能力。工程总承包是企业适应建筑行业新时代的必然之选，"走出去"的必由之路，实现高质量发展的重要之举。要想抢占工程总承包这片蓝海，就需要从转变管控理念入手，透彻理解、掌握工程总承包政策的三驾马车《房屋建筑和市政基础设施项目工程总承包管理办法》、《建设项目工程总承包合同（示范文本）》（GF-2020-0216）、T-CCEAS 001-2022《建设项目工程总承包计价规范》，提高工程总承包项目全过程管控能力、专业技能，掌握管理技巧与控制手段，规避工程总承包项目的合同风险，提高企业的核心竞争力。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640"/>
        <w:textAlignment w:val="auto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工程总承包模式反映了市场专业化分工趋势和风险规避要求，并促进建筑业改革不断迈上新的台阶。EPC设计变更、人工材料涨价、计价纠纷、工程款纠纷、结算审计与财政评审等等各类EPC项目造价问题严重困扰着各参建方，如何在造价层面予以防范？避免不必要的损失！以及产生纠纷后如何有效处理？EPC项目工程造价有哪些新特点？EPC合同纠纷的计价与结算审计有哪些热点与难点问题？如何确定EPC项目造价？这都是在EPC工程实践中亟需掌握的重中之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firstLine="640"/>
        <w:textAlignment w:val="auto"/>
        <w:rPr>
          <w:rFonts w:hint="default" w:ascii="仿宋" w:hAnsi="仿宋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为实现各方合作共赢，中国投资协会新基建投资专业委员会决定举办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“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工程总承包政策体系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深度解读、</w:t>
      </w:r>
      <w:r>
        <w:rPr>
          <w:rFonts w:hint="eastAsia" w:ascii="仿宋" w:hAnsi="仿宋" w:cs="仿宋"/>
          <w:b/>
          <w:kern w:val="2"/>
          <w:sz w:val="28"/>
          <w:szCs w:val="28"/>
          <w:lang w:val="en-US" w:eastAsia="zh-CN"/>
        </w:rPr>
        <w:t>疑难问题实操指引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暨EPC项目全过程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管控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落地实操方法、风险防范与成本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管控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案例解析”专题培训班</w:t>
      </w: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。现将有关事项通知如下：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textAlignment w:val="baseline"/>
        <w:outlineLvl w:val="0"/>
        <w:rPr>
          <w:rFonts w:hint="eastAsia" w:ascii="仿宋" w:hAnsi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一、</w:t>
      </w:r>
      <w:r>
        <w:rPr>
          <w:rFonts w:hint="eastAsia" w:ascii="仿宋" w:hAnsi="仿宋"/>
          <w:b/>
          <w:bCs/>
          <w:color w:val="000000"/>
          <w:sz w:val="28"/>
          <w:szCs w:val="28"/>
          <w:lang w:val="en-US" w:eastAsia="zh-CN"/>
        </w:rPr>
        <w:t>培训内容：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b/>
          <w:bCs/>
          <w:kern w:val="2"/>
          <w:sz w:val="28"/>
          <w:szCs w:val="28"/>
          <w:lang w:val="en-US" w:eastAsia="zh-CN" w:bidi="ar-SA"/>
        </w:rPr>
        <w:t>（一）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工程总承包政策解读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法律法规体系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房屋建筑和市政基础设施项目工程总承包管理办法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《建设项目工程总承包合同（示范文本）》（GF-2020-0216）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T-CCEAS 001-2022《建设项目工程总承包计价规范》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《政府投资条例》（国务院令第712号）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baseline"/>
        <w:outlineLvl w:val="0"/>
        <w:rPr>
          <w:rFonts w:hint="default" w:ascii="仿宋" w:hAnsi="仿宋" w:eastAsia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（</w:t>
      </w:r>
      <w:r>
        <w:rPr>
          <w:rFonts w:hint="eastAsia" w:ascii="仿宋" w:hAnsi="仿宋"/>
          <w:b/>
          <w:bCs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）从全过程工程咨询视角看EPC项目管理</w:t>
      </w:r>
      <w:r>
        <w:rPr>
          <w:rFonts w:hint="eastAsia" w:ascii="仿宋" w:hAnsi="仿宋"/>
          <w:b/>
          <w:bCs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280" w:firstLineChars="100"/>
        <w:textAlignment w:val="baseline"/>
        <w:outlineLvl w:val="0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全过程工程咨询政策以及背景解读</w:t>
      </w: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280" w:firstLineChars="100"/>
        <w:textAlignment w:val="baseline"/>
        <w:outlineLvl w:val="0"/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全过程工程咨询</w:t>
      </w:r>
      <w:r>
        <w:rPr>
          <w:rFonts w:hint="default" w:ascii="仿宋" w:hAnsi="仿宋" w:eastAsia="仿宋"/>
          <w:color w:val="000000"/>
          <w:sz w:val="28"/>
          <w:szCs w:val="28"/>
          <w:lang w:val="en-US" w:eastAsia="zh-CN"/>
        </w:rPr>
        <w:t>的模式与发展预测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280" w:firstLineChars="100"/>
        <w:textAlignment w:val="baseline"/>
        <w:outlineLvl w:val="0"/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项目各阶段全过程工程咨询重难点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280" w:firstLineChars="100"/>
        <w:textAlignment w:val="baseline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全过程工程咨询的管理工具与抓手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280" w:firstLineChars="100"/>
        <w:textAlignment w:val="baseline"/>
        <w:outlineLvl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从全过程工程咨询看EPC项目管理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firstLine="280" w:firstLineChars="100"/>
        <w:textAlignment w:val="baseline"/>
        <w:outlineLvl w:val="0"/>
        <w:rPr>
          <w:rFonts w:hint="eastAsia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工程总承包企业需打造具备的能力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baseline"/>
        <w:outlineLvl w:val="0"/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b/>
          <w:bCs/>
          <w:color w:val="000000"/>
          <w:sz w:val="28"/>
          <w:szCs w:val="28"/>
          <w:lang w:val="en-US" w:eastAsia="zh-CN"/>
        </w:rPr>
        <w:t>（三）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招投标阶段策划与合约谈判技巧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1.发包人如何组织策划《发包人要求》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2.承包人如何正确解读《发包人要求》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3.《发包人要求》撰写模板及要点讲解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4.EPC项目发包范围及招投标要点策划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5.最高投标限价的常见方式及编制依据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6.政府投资EPC项目如何进行合约规划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7.合同文件的解释顺序内容及效力策划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8.分部分项工程质保年限的设定及依据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9.EPC项目如何合理确定联合体牵头单位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10.将工程勘察纳入工程总承包的利弊分析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11.法定由发包人承担的五类价格风险对策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12.总承包合同预付款比例及扣回方式策划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13.总承包合同进度款支付比例及政策依据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14.模拟清单、费率或总价模式优缺点分析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15.EPC项目最优计价模式策划（固定+单价）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16.专业工程暂估价的注意事项和控制要点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17.变更、签证、索赔及价款调整控制技巧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baseline"/>
        <w:outlineLvl w:val="0"/>
        <w:rPr>
          <w:rFonts w:hint="eastAsia" w:ascii="仿宋" w:hAnsi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18.政府投资EPC项目不超概算的武林秘技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5"/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jc w:val="both"/>
        <w:textAlignment w:val="baseline"/>
        <w:outlineLvl w:val="0"/>
        <w:rPr>
          <w:rFonts w:hint="eastAsia"/>
          <w:lang w:val="en-US" w:eastAsia="zh-CN"/>
        </w:rPr>
      </w:pPr>
      <w:r>
        <w:rPr>
          <w:rFonts w:hint="eastAsia" w:ascii="仿宋" w:hAnsi="仿宋"/>
          <w:color w:val="000000"/>
          <w:sz w:val="28"/>
          <w:szCs w:val="28"/>
          <w:lang w:val="en-US" w:eastAsia="zh-CN"/>
        </w:rPr>
        <w:t>19.估算价、概算价、拦标价、中标价、合同价、预算价、结算价、决算价在</w:t>
      </w:r>
      <w:r>
        <w:rPr>
          <w:rFonts w:hint="eastAsia"/>
          <w:color w:val="000000"/>
          <w:sz w:val="28"/>
          <w:szCs w:val="28"/>
          <w:lang w:val="en-US" w:eastAsia="zh-CN"/>
        </w:rPr>
        <w:t xml:space="preserve">                       </w:t>
      </w:r>
      <w:r>
        <w:rPr>
          <w:rFonts w:hint="eastAsia"/>
          <w:lang w:val="en-US" w:eastAsia="zh-CN"/>
        </w:rPr>
        <w:t>EPC合同体系中的作用与效力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7"/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baseline"/>
        <w:outlineLvl w:val="0"/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/>
          <w:b/>
          <w:bCs/>
          <w:color w:val="000000"/>
          <w:sz w:val="28"/>
          <w:szCs w:val="28"/>
          <w:lang w:val="en-US" w:eastAsia="zh-CN"/>
        </w:rPr>
        <w:t>（四）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lang w:val="en-US" w:eastAsia="zh-CN"/>
        </w:rPr>
        <w:t>EPC项目的实施管控与风险防范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cs="宋体"/>
          <w:color w:val="00000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发承包双方在现实EPC模式下的风险分析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default" w:ascii="仿宋" w:hAnsi="仿宋" w:eastAsia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cs="宋体"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EPC项目实施各阶段风险分析与防范措施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宋体"/>
          <w:color w:val="000000"/>
          <w:sz w:val="28"/>
          <w:szCs w:val="28"/>
        </w:rPr>
      </w:pPr>
      <w:r>
        <w:rPr>
          <w:rFonts w:hint="eastAsia" w:ascii="仿宋" w:hAnsi="仿宋" w:cs="宋体"/>
          <w:color w:val="000000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初勘、详勘、补勘的介入时点及成果应用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cs="宋体"/>
          <w:color w:val="000000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设计单位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参与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前期设计能否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参与</w:t>
      </w:r>
      <w:r>
        <w:rPr>
          <w:rFonts w:hint="eastAsia" w:ascii="仿宋" w:hAnsi="仿宋" w:eastAsia="仿宋" w:cs="宋体"/>
          <w:color w:val="000000"/>
          <w:sz w:val="28"/>
          <w:szCs w:val="28"/>
        </w:rPr>
        <w:t>EPC联合体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政策分析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5.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承包人在总价</w:t>
      </w:r>
      <w:r>
        <w:rPr>
          <w:rFonts w:hint="eastAsia" w:ascii="仿宋" w:hAnsi="仿宋" w:eastAsia="仿宋" w:cs="宋体"/>
          <w:color w:val="000000"/>
          <w:sz w:val="28"/>
          <w:szCs w:val="28"/>
          <w:lang w:val="en-US" w:eastAsia="zh-CN"/>
        </w:rPr>
        <w:t>EPC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模式下的利润和管理痛点分析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6.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承包人如何利用EPC的两阶段设计实现效益最大化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承包人如何对设计单位（人员）进行科学有效管理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cs="宋体"/>
          <w:color w:val="000000"/>
          <w:sz w:val="28"/>
          <w:szCs w:val="28"/>
          <w:lang w:val="en-US" w:eastAsia="zh-CN"/>
        </w:rPr>
        <w:t>8.承包人如何利用信息价、市场价和采购价之差创效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cs="宋体"/>
          <w:b/>
          <w:bCs/>
          <w:color w:val="000000"/>
          <w:sz w:val="28"/>
          <w:szCs w:val="28"/>
          <w:lang w:val="en-US" w:eastAsia="zh-CN"/>
        </w:rPr>
        <w:t>（五）设计优化与投资管控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.价值工程理论体系的应用场景分析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2.限额设计理论体系分析与操作方法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3.限额施工理论体系分析与操作方法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4.设计优化理论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体系分析与操作方法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cs="宋体"/>
          <w:color w:val="000000"/>
          <w:sz w:val="28"/>
          <w:szCs w:val="28"/>
          <w:lang w:val="en-US" w:eastAsia="zh-CN"/>
        </w:rPr>
        <w:t>5.设计优化常用实操工具与方法分享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cs="宋体"/>
          <w:color w:val="000000"/>
          <w:sz w:val="28"/>
          <w:szCs w:val="28"/>
          <w:lang w:val="en-US" w:eastAsia="zh-CN"/>
        </w:rPr>
        <w:t>6.建结水暖电各专业成本优化点分享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cs="宋体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cs="宋体"/>
          <w:color w:val="000000"/>
          <w:sz w:val="28"/>
          <w:szCs w:val="28"/>
          <w:lang w:val="en-US" w:eastAsia="zh-CN"/>
        </w:rPr>
        <w:t>7.设计优化及成本管控成功案例分享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b/>
          <w:bCs/>
          <w:kern w:val="2"/>
          <w:sz w:val="28"/>
          <w:szCs w:val="28"/>
          <w:lang w:val="en-US" w:eastAsia="zh-CN" w:bidi="ar-SA"/>
        </w:rPr>
        <w:t>（六）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EPC项目全过程精细化结算管控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 xml:space="preserve"> 1.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EPC项目招投标阶段管控要点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（1）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工程总承包费用构成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（2）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项目调研的重点内容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指标数据复核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勘察数据的复核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（3）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联合体协议及分工需要注意的内容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（4）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承包人建议书与投标报价的关系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280" w:leftChars="10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（5）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目前常用的六种计价方式（总价、平米单价、定额、费率（下浮率）、清单、双控等计价模式）报价策略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报价策略案例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（6）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投标阶段的税务筹划及税务风险防控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税务筹划案例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）EPC项目实施阶段的管控要点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合同风险分析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接口管理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（1）合同承包范围与建设单位直接分包商界面划分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（2）联合体间界面划分及分工协作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（3）分包分供商的分工分界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优化设计、设计优化、专项设计、深化设计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（1）优化设计、设计优化、专项设计、深化设计的关系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（2）设计限额的设置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设计限额计算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（3）设计优化的要点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限额设计指标划分的案例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施工图对签约合同价的调整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下浮率转固的案例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合同过程调整项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（1）价差调整的要点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指数法调整价差的案例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（2）过程变更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可转化成变更的项目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变更计价的原则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总价合同过程变更的案例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（3）过程索赔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可以索赔的机会点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避免索赔失权的方法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（4）基准日后的法律和标准变化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（</w:t>
      </w: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）EPC项目结算收尾阶段的管控要点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验收交付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（1）竣工验收流程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（2）开工时间认定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（3）竣工时间认定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竣工结算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（1）结算报审流程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（2）六种计价形式的结算要点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结算策划的案例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lightGray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28"/>
          <w:highlight w:val="none"/>
          <w:lang w:val="en-US" w:eastAsia="zh-CN"/>
        </w:rPr>
        <w:t>（九）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EPC项目全过程精益化成本管控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1.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精益化成本管控的底层逻辑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精益化成本管控的概念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（2）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成本管控的难点分析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（3）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成本管控的底层逻辑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EPC项目投标阶段的成本管控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标前成本测算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标前成本测算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（2）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降本增效筹划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3.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EPC项目实施阶段的成本管控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（1）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目标成本及税务筹划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cs="仿宋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案例</w:t>
      </w:r>
      <w:r>
        <w:rPr>
          <w:rFonts w:hint="eastAsia" w:hAnsi="仿宋" w:cs="仿宋"/>
          <w:b w:val="0"/>
          <w:bCs w:val="0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目标成本及税务筹划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（2）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合约规划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合同类型选择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分包分供合同界面划分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劳务合同分工分界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分包分供合同要点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A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劳务合同要点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劳务合同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B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材料合同要点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材料合同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C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机械租赁合同要点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材料合同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D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专业分包合同要点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材料合同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（3）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成本要素过程管控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人工费管控方法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材料费管控方法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机械费管控方法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专业分包费用管控方法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间接费管控方法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（4）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成本核算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一般计税项目的成本核算方法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里程碑节点成本核算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①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里程碑节点成本核算原则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②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里程碑节点收入核算方法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③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里程碑节点成本核算方法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A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人工费核算方法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B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材料费核算方法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C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机械费核算方法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D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专业分包费用核算方法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E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间接费核算方法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F</w:t>
      </w: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增值税核算方法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案例</w:t>
      </w:r>
      <w:r>
        <w:rPr>
          <w:rFonts w:hint="eastAsia" w:ascii="仿宋" w:hAnsi="仿宋" w:cs="仿宋"/>
          <w:sz w:val="28"/>
          <w:szCs w:val="28"/>
          <w:lang w:val="en-US" w:eastAsia="zh-CN"/>
        </w:rPr>
        <w:t>: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成本核算案例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（5）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成本动态管控方法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三算对比的方法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收入的动态管控方法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成本的动态管控方法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（6）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成本要素的全过程成本管控案例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（7）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工程款支付管理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预付款管理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进度款管理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结算款支付管理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保修款支付管理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资金计划编制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/>
        <w:jc w:val="left"/>
        <w:textAlignment w:val="auto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逾期支付的资金成本计算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28"/>
          <w:highlight w:val="none"/>
          <w:lang w:val="en-US" w:eastAsia="zh-CN"/>
        </w:rPr>
        <w:t>（十）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项目后评价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成功经验和失败教训总结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可推广管理经验总结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增收节支的案例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420" w:lineRule="exact"/>
        <w:ind w:left="0" w:leftChars="0" w:firstLine="280" w:firstLineChars="1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ascii="仿宋" w:hAnsi="仿宋" w:cs="仿宋"/>
          <w:b w:val="0"/>
          <w:bCs w:val="0"/>
          <w:kern w:val="2"/>
          <w:sz w:val="28"/>
          <w:szCs w:val="28"/>
          <w:lang w:val="en-US" w:eastAsia="zh-CN" w:bidi="ar-SA"/>
        </w:rPr>
        <w:t>.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  <w:t>数据分析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培训师资介绍：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 xml:space="preserve">    刁老师：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北京金坤科建信息咨询有限公司特聘专家、</w:t>
      </w:r>
      <w:r>
        <w:rPr>
          <w:rFonts w:hint="eastAsia" w:ascii="仿宋" w:hAnsi="仿宋" w:cs="仿宋"/>
          <w:color w:val="auto"/>
          <w:sz w:val="28"/>
          <w:szCs w:val="28"/>
          <w:lang w:val="en-US" w:eastAsia="zh-CN"/>
        </w:rPr>
        <w:t>现任某咨询公司副总经理，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曾为中建一局、中建三局、中建铁投、中国一冶、葛洲坝集团等总承包企业做EPC项目投资（成本）管控、提质增效相关专题培训，对设计行业、咨询行业、建筑业峰会及全过程工程咨询总咨询师培训班等培训百余场</w:t>
      </w:r>
      <w:r>
        <w:rPr>
          <w:rFonts w:hint="eastAsia" w:ascii="仿宋" w:hAnsi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2" w:firstLineChars="200"/>
        <w:textAlignment w:val="auto"/>
        <w:rPr>
          <w:rFonts w:hint="default" w:ascii="仿宋" w:hAnsi="仿宋" w:eastAsia="仿宋" w:cs="仿宋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/>
          <w:bCs/>
          <w:sz w:val="28"/>
          <w:szCs w:val="28"/>
          <w:lang w:val="en-US" w:eastAsia="zh-CN"/>
        </w:rPr>
        <w:t>李老师：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北京金坤科建信息咨询有限公司特聘专家、26年施工企业经历、6年造价咨询企业工作经历、擅长工程结算编制、审核；成本管控；EPC项目管控；增值税筹划。中建、中铁、城建、建工等40多家企业讲授培训课程</w:t>
      </w:r>
      <w:r>
        <w:rPr>
          <w:rFonts w:hint="eastAsia" w:ascii="仿宋" w:hAnsi="仿宋" w:cs="仿宋"/>
          <w:color w:val="auto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2"/>
          <w:sz w:val="28"/>
          <w:szCs w:val="28"/>
          <w:lang w:val="en-US" w:eastAsia="zh-CN" w:bidi="ar-SA"/>
        </w:rPr>
        <w:t>各地政府建设项目监管部门、工程交易中心、投资项目评审中心；各业主单位从事项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目管理、合同管理、工程项目建设、开发、审计等相关部门人员；各建筑施工企业、工程公司、总承包公司、设计院、成套设备公司、国际招标公司、设备材料供应商、律师事务所及各公司的总经理、副总经理、部门经理、项目经理、市场开发、法务专员等相关部门负责人、参与EPC项目管理的所有管理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、时间及地点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2023年 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10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 月 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25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日- 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28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日（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25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日报到）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武汉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2023年 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11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 月 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29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日- 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12月2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日（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29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日报到）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苏州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6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、培训费用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培训费：3</w:t>
      </w:r>
      <w:r>
        <w:rPr>
          <w:rFonts w:hint="eastAsia" w:ascii="仿宋" w:hAnsi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6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00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zh-CN" w:eastAsia="zh-CN" w:bidi="ar-SA"/>
        </w:rPr>
        <w:t>元/人（费用含会务费、资料费、税费、午餐费）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zh-CN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zh-CN" w:eastAsia="zh-CN" w:bidi="ar-SA"/>
        </w:rPr>
        <w:t>缴费方式：银行汇款或转账，会议现场不安排收费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户  名：北京金坤科建信息咨询有限公司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开户行：中国工商银行股份有限公司北京大兴支行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账  号：0200 2682 0920 0013 428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6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cs="仿宋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、报名办法及联系方式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请参加培训班同志认真填写报名回执表,通过传真或电子邮件发至会务组。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permStart w:id="0" w:edGrp="everyone"/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联 系 人: </w:t>
      </w:r>
      <w:r>
        <w:rPr>
          <w:rFonts w:hint="eastAsia"/>
        </w:rPr>
        <w:t>聂红军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联系电话：</w:t>
      </w:r>
      <w:r>
        <w:rPr>
          <w:rFonts w:hint="eastAsia"/>
        </w:rPr>
        <w:t>18211071700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（微信）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邮    箱：</w:t>
      </w:r>
      <w:r>
        <w:rPr>
          <w:rFonts w:hint="eastAsia"/>
        </w:rPr>
        <w:t>470882753</w:t>
      </w:r>
      <w:r>
        <w:rPr>
          <w:rFonts w:hint="eastAsia" w:ascii="仿宋" w:hAnsi="仿宋" w:eastAsia="仿宋" w:cs="仿宋"/>
          <w:sz w:val="28"/>
          <w:szCs w:val="28"/>
        </w:rPr>
        <w:t>@qq</w:t>
      </w:r>
      <w:r>
        <w:rPr>
          <w:rFonts w:hint="eastAsia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com</w:t>
      </w:r>
      <w:perm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通讯地址：北京市西城区木樨地北里甲11号国宏大厦A座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 xml:space="preserve">邮政编码：100038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20" w:lineRule="exact"/>
        <w:ind w:left="0" w:leftChars="0" w:firstLine="560" w:firstLineChars="200"/>
        <w:textAlignment w:val="auto"/>
        <w:rPr>
          <w:rFonts w:hint="default" w:ascii="仿宋" w:hAnsi="仿宋" w:eastAsia="仿宋" w:cs="仿宋"/>
          <w:b w:val="0"/>
          <w:bCs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cs="仿宋"/>
          <w:b w:val="0"/>
          <w:bCs/>
          <w:color w:val="auto"/>
          <w:kern w:val="2"/>
          <w:sz w:val="28"/>
          <w:szCs w:val="28"/>
          <w:lang w:val="en-US" w:eastAsia="zh-CN" w:bidi="ar-SA"/>
        </w:rPr>
        <w:t>附件：报名回执表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/>
        <w:textAlignment w:val="auto"/>
        <w:rPr>
          <w:rFonts w:hint="eastAsia"/>
          <w:b w:val="0"/>
          <w:bCs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3621405</wp:posOffset>
            </wp:positionH>
            <wp:positionV relativeFrom="paragraph">
              <wp:posOffset>111760</wp:posOffset>
            </wp:positionV>
            <wp:extent cx="1429385" cy="1423670"/>
            <wp:effectExtent l="0" t="0" r="5715" b="11430"/>
            <wp:wrapNone/>
            <wp:docPr id="1" name="图片 1" descr="微信图片_2023071017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710172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8225790</wp:posOffset>
            </wp:positionV>
            <wp:extent cx="1441450" cy="1473200"/>
            <wp:effectExtent l="0" t="0" r="6350" b="1270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  <w:b w:val="0"/>
          <w:bCs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/>
        <w:textAlignment w:val="auto"/>
        <w:rPr>
          <w:rFonts w:hint="eastAsia"/>
          <w:b w:val="0"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/>
        <w:textAlignment w:val="auto"/>
        <w:rPr>
          <w:rFonts w:hint="eastAsia"/>
          <w:b w:val="0"/>
          <w:bCs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500" w:firstLineChars="1500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</w:rPr>
        <w:t>中国投资协会新基建投</w:t>
      </w:r>
      <w:r>
        <w:rPr>
          <w:b w:val="0"/>
          <w:b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8225790</wp:posOffset>
            </wp:positionV>
            <wp:extent cx="1441450" cy="1473200"/>
            <wp:effectExtent l="0" t="0" r="6350" b="12700"/>
            <wp:wrapNone/>
            <wp:docPr id="4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 w:val="0"/>
          <w:bCs/>
          <w:sz w:val="30"/>
          <w:szCs w:val="30"/>
        </w:rPr>
        <w:t>资专业委员会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00" w:firstLineChars="1900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2023年</w:t>
      </w:r>
      <w:r>
        <w:rPr>
          <w:rFonts w:hint="eastAsia" w:hAnsi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9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月</w:t>
      </w:r>
      <w:r>
        <w:rPr>
          <w:rFonts w:hint="eastAsia" w:hAnsi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5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0"/>
          <w:szCs w:val="30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62"/>
        </w:tabs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62"/>
        </w:tabs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center"/>
        <w:textAlignment w:val="auto"/>
        <w:rPr>
          <w:rFonts w:hint="eastAsia" w:ascii="华文仿宋" w:hAnsi="华文仿宋" w:eastAsia="华文仿宋" w:cs="华文仿宋"/>
          <w:b/>
          <w:bCs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162"/>
        </w:tabs>
        <w:kinsoku/>
        <w:wordWrap/>
        <w:overflowPunct/>
        <w:topLinePunct w:val="0"/>
        <w:autoSpaceDE/>
        <w:autoSpaceDN/>
        <w:bidi w:val="0"/>
        <w:adjustRightInd/>
        <w:spacing w:line="0" w:lineRule="atLeast"/>
        <w:jc w:val="center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permStart w:id="1" w:edGrp="everyone"/>
      <w:r>
        <w:rPr>
          <w:rFonts w:hint="eastAsia" w:ascii="华文仿宋" w:hAnsi="华文仿宋" w:eastAsia="华文仿宋" w:cs="华文仿宋"/>
          <w:b/>
          <w:bCs/>
          <w:sz w:val="28"/>
          <w:szCs w:val="36"/>
          <w:lang w:val="en-US" w:eastAsia="zh-CN"/>
        </w:rPr>
        <w:t>“</w:t>
      </w:r>
      <w:r>
        <w:rPr>
          <w:rFonts w:hint="eastAsia" w:ascii="华文仿宋" w:hAnsi="华文仿宋" w:eastAsia="华文仿宋" w:cs="华文仿宋"/>
          <w:b/>
          <w:bCs/>
          <w:sz w:val="28"/>
          <w:szCs w:val="36"/>
        </w:rPr>
        <w:t>工程总承包政策体系深度解读、疑难问题实操指引暨EPC项目全过程管控落地实操方法、风险防范与成本管控案例解析</w:t>
      </w:r>
      <w:r>
        <w:rPr>
          <w:rFonts w:hint="eastAsia" w:ascii="华文仿宋" w:hAnsi="华文仿宋" w:eastAsia="华文仿宋" w:cs="华文仿宋"/>
          <w:b/>
          <w:bCs/>
          <w:sz w:val="28"/>
          <w:szCs w:val="36"/>
          <w:lang w:val="en-US" w:eastAsia="zh-CN"/>
        </w:rPr>
        <w:t>”</w:t>
      </w:r>
      <w:r>
        <w:rPr>
          <w:rFonts w:hint="eastAsia" w:ascii="华文仿宋" w:hAnsi="华文仿宋" w:eastAsia="华文仿宋" w:cs="华文仿宋"/>
          <w:b/>
          <w:bCs/>
          <w:sz w:val="28"/>
          <w:szCs w:val="36"/>
        </w:rPr>
        <w:t>专题培训</w:t>
      </w:r>
      <w:r>
        <w:rPr>
          <w:rFonts w:hint="eastAsia" w:ascii="华文仿宋" w:hAnsi="华文仿宋" w:eastAsia="华文仿宋" w:cs="华文仿宋"/>
          <w:b/>
          <w:bCs/>
          <w:sz w:val="28"/>
          <w:szCs w:val="36"/>
          <w:lang w:val="en-US" w:eastAsia="zh-CN"/>
        </w:rPr>
        <w:t>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报名回执表</w:t>
      </w:r>
    </w:p>
    <w:tbl>
      <w:tblPr>
        <w:tblStyle w:val="8"/>
        <w:tblpPr w:leftFromText="180" w:rightFromText="180" w:vertAnchor="text" w:horzAnchor="page" w:tblpX="1222" w:tblpY="24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164"/>
        <w:gridCol w:w="11"/>
        <w:gridCol w:w="1067"/>
        <w:gridCol w:w="11"/>
        <w:gridCol w:w="888"/>
        <w:gridCol w:w="11"/>
        <w:gridCol w:w="942"/>
        <w:gridCol w:w="855"/>
        <w:gridCol w:w="210"/>
        <w:gridCol w:w="53"/>
        <w:gridCol w:w="666"/>
        <w:gridCol w:w="500"/>
        <w:gridCol w:w="75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单位名称</w:t>
            </w:r>
          </w:p>
        </w:tc>
        <w:tc>
          <w:tcPr>
            <w:tcW w:w="58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行业类别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58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1200" w:firstLineChars="500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邮编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 系 人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部 门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 务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电话/区号</w:t>
            </w:r>
          </w:p>
        </w:tc>
        <w:tc>
          <w:tcPr>
            <w:tcW w:w="315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传 真</w:t>
            </w:r>
          </w:p>
        </w:tc>
        <w:tc>
          <w:tcPr>
            <w:tcW w:w="17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E-mail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代表姓名</w:t>
            </w: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 别</w:t>
            </w: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部 门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电话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手机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0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发票要求</w:t>
            </w:r>
          </w:p>
        </w:tc>
        <w:tc>
          <w:tcPr>
            <w:tcW w:w="83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firstLine="1440" w:firstLineChars="600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增值税普通发票              □增值税专用发票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3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发票信息 （专票请填写1-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全部信息；普票填写1-2信息）</w:t>
            </w:r>
          </w:p>
        </w:tc>
        <w:tc>
          <w:tcPr>
            <w:tcW w:w="83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1.开票名称：</w:t>
            </w: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2.纳税人识别号：</w:t>
            </w: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3.地址、电话：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4.开户行及账号：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right="-143" w:rightChars="-51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cs="仿宋"/>
                <w:bCs/>
                <w:sz w:val="24"/>
                <w:lang w:val="en-US" w:eastAsia="zh-CN"/>
              </w:rPr>
              <w:t>地点</w:t>
            </w:r>
          </w:p>
        </w:tc>
        <w:tc>
          <w:tcPr>
            <w:tcW w:w="83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</w:rPr>
              <w:t>□</w:t>
            </w:r>
            <w:r>
              <w:rPr>
                <w:rFonts w:hint="eastAsia" w:ascii="仿宋" w:hAnsi="仿宋" w:cs="仿宋"/>
                <w:bCs/>
                <w:sz w:val="24"/>
                <w:lang w:val="en-US" w:eastAsia="zh-CN"/>
              </w:rPr>
              <w:t xml:space="preserve">武汉市                  </w:t>
            </w:r>
            <w:r>
              <w:rPr>
                <w:rFonts w:hint="eastAsia" w:ascii="仿宋" w:hAnsi="仿宋" w:eastAsia="仿宋" w:cs="仿宋"/>
                <w:spacing w:val="4"/>
                <w:sz w:val="25"/>
                <w:szCs w:val="25"/>
              </w:rPr>
              <w:t>□</w:t>
            </w:r>
            <w:r>
              <w:rPr>
                <w:rFonts w:hint="eastAsia" w:ascii="仿宋" w:hAnsi="仿宋" w:cs="仿宋"/>
                <w:spacing w:val="4"/>
                <w:sz w:val="25"/>
                <w:szCs w:val="25"/>
                <w:lang w:val="en-US" w:eastAsia="zh-CN"/>
              </w:rPr>
              <w:t>苏州市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ind w:right="-143" w:rightChars="-51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住宿安排</w:t>
            </w:r>
          </w:p>
        </w:tc>
        <w:tc>
          <w:tcPr>
            <w:tcW w:w="83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单住□      标间□    订房数量    间 ；自行安排□；其他说明：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费用总额</w:t>
            </w:r>
          </w:p>
        </w:tc>
        <w:tc>
          <w:tcPr>
            <w:tcW w:w="51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万     仟     佰     拾    元整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小写</w:t>
            </w:r>
          </w:p>
        </w:tc>
        <w:tc>
          <w:tcPr>
            <w:tcW w:w="2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会    务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  <w:t>指定账户</w:t>
            </w:r>
          </w:p>
        </w:tc>
        <w:tc>
          <w:tcPr>
            <w:tcW w:w="6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户  名：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北京金坤科建信息咨询有限公司</w:t>
            </w:r>
          </w:p>
          <w:p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80" w:lineRule="exact"/>
              <w:ind w:left="1120" w:hanging="1120" w:hangingChars="400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开户行：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中国工商银行股份有限公司北京大兴支行</w:t>
            </w:r>
          </w:p>
          <w:p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80" w:lineRule="exac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账  号：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>0200 2682 0920 0013 428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银行转账</w:t>
            </w:r>
          </w:p>
          <w:p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8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现金缴纳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</w:trPr>
        <w:tc>
          <w:tcPr>
            <w:tcW w:w="63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您目前所做的项目是？目前所面临的问题有哪些？</w:t>
            </w: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</w:t>
            </w:r>
          </w:p>
        </w:tc>
        <w:tc>
          <w:tcPr>
            <w:tcW w:w="34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0" w:lineRule="exac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  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单位印章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snapToGrid w:val="0"/>
              <w:spacing w:line="260" w:lineRule="exact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202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98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参加本次会议您想学习哪些内容？希望与专家交流的问题？ 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      </w:t>
            </w:r>
          </w:p>
          <w:p>
            <w:pPr>
              <w:snapToGrid w:val="0"/>
              <w:spacing w:line="260" w:lineRule="exact"/>
              <w:jc w:val="left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82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20" w:lineRule="exact"/>
              <w:textAlignment w:val="auto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报名联系人</w:t>
            </w:r>
            <w:r>
              <w:rPr>
                <w:rFonts w:hint="eastAsia"/>
              </w:rPr>
              <w:t>：聂红军18211071700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（微信）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邮箱：</w:t>
            </w:r>
            <w:r>
              <w:rPr>
                <w:rFonts w:hint="eastAsia"/>
              </w:rPr>
              <w:t>470882753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@qq.com   </w:t>
            </w:r>
            <w:r>
              <w:rPr>
                <w:rFonts w:hint="eastAsia"/>
              </w:rPr>
              <w:t xml:space="preserve">      </w:t>
            </w:r>
          </w:p>
        </w:tc>
      </w:tr>
    </w:tbl>
    <w:p>
      <w:pPr>
        <w:spacing w:line="400" w:lineRule="exact"/>
        <w:rPr>
          <w:rFonts w:hint="eastAsia" w:ascii="仿宋" w:hAnsi="仿宋" w:eastAsia="仿宋" w:cs="仿宋"/>
          <w:b/>
          <w:sz w:val="24"/>
          <w:szCs w:val="30"/>
        </w:rPr>
      </w:pPr>
      <w:r>
        <w:rPr>
          <w:rFonts w:hint="eastAsia" w:ascii="仿宋" w:hAnsi="仿宋" w:eastAsia="仿宋" w:cs="仿宋"/>
          <w:b/>
          <w:sz w:val="24"/>
        </w:rPr>
        <w:t>注：1.为保证培训质量,培训班名额有限,额满为止,请确定人员后及早报名；本次培训内容及建筑行业相关培训内容均可赴企业提供内训。</w:t>
      </w:r>
      <w:permEnd w:id="1"/>
    </w:p>
    <w:sectPr>
      <w:pgSz w:w="11906" w:h="16838"/>
      <w:pgMar w:top="1440" w:right="1026" w:bottom="1118" w:left="13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9kwtCxlJwhcTY6i5DtkYwNP+tVk=" w:salt="kFzf10hRMLb9mIDWypGNc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UyMWM5NTU3NmQwMzYzZGY2NjUyMjZkNDUzMDVhNDkifQ=="/>
    <w:docVar w:name="KSO_WPS_MARK_KEY" w:val="cfc8d9be-f504-412a-b420-b6d2173d19df"/>
  </w:docVars>
  <w:rsids>
    <w:rsidRoot w:val="00747D83"/>
    <w:rsid w:val="001950E3"/>
    <w:rsid w:val="00302A6A"/>
    <w:rsid w:val="003A5579"/>
    <w:rsid w:val="0048665F"/>
    <w:rsid w:val="004C3F0A"/>
    <w:rsid w:val="00507717"/>
    <w:rsid w:val="005523AD"/>
    <w:rsid w:val="006A63E0"/>
    <w:rsid w:val="00747D83"/>
    <w:rsid w:val="007B7250"/>
    <w:rsid w:val="007E3266"/>
    <w:rsid w:val="00A168D3"/>
    <w:rsid w:val="00A650BD"/>
    <w:rsid w:val="00CB30D9"/>
    <w:rsid w:val="00D11736"/>
    <w:rsid w:val="00DA626C"/>
    <w:rsid w:val="00E07A64"/>
    <w:rsid w:val="00F13738"/>
    <w:rsid w:val="018541F5"/>
    <w:rsid w:val="030F42DA"/>
    <w:rsid w:val="031028E9"/>
    <w:rsid w:val="03771E7F"/>
    <w:rsid w:val="04496B83"/>
    <w:rsid w:val="04943EDE"/>
    <w:rsid w:val="06EF599D"/>
    <w:rsid w:val="081B727D"/>
    <w:rsid w:val="09B01C47"/>
    <w:rsid w:val="09B35FA1"/>
    <w:rsid w:val="09F1555A"/>
    <w:rsid w:val="0B413304"/>
    <w:rsid w:val="0B6D4294"/>
    <w:rsid w:val="0BE30309"/>
    <w:rsid w:val="0BED2CDE"/>
    <w:rsid w:val="0C3721AC"/>
    <w:rsid w:val="0D0F0BA7"/>
    <w:rsid w:val="0D2503E7"/>
    <w:rsid w:val="0D9D0734"/>
    <w:rsid w:val="0DB53CD0"/>
    <w:rsid w:val="0E506F75"/>
    <w:rsid w:val="0E8611C8"/>
    <w:rsid w:val="0F5848BD"/>
    <w:rsid w:val="0F633E66"/>
    <w:rsid w:val="0FDA1FA5"/>
    <w:rsid w:val="0FE12B5A"/>
    <w:rsid w:val="11CE72AB"/>
    <w:rsid w:val="11E71C7F"/>
    <w:rsid w:val="130C7B21"/>
    <w:rsid w:val="131907D0"/>
    <w:rsid w:val="139323BD"/>
    <w:rsid w:val="145E301F"/>
    <w:rsid w:val="159879CD"/>
    <w:rsid w:val="18730A0F"/>
    <w:rsid w:val="19C022A8"/>
    <w:rsid w:val="1A654E38"/>
    <w:rsid w:val="1A9A04D5"/>
    <w:rsid w:val="1DE33F41"/>
    <w:rsid w:val="1EDF44F4"/>
    <w:rsid w:val="1F1F79EA"/>
    <w:rsid w:val="20CA4E6D"/>
    <w:rsid w:val="22552F34"/>
    <w:rsid w:val="229C1912"/>
    <w:rsid w:val="23953C04"/>
    <w:rsid w:val="251C1CC4"/>
    <w:rsid w:val="25726D6F"/>
    <w:rsid w:val="25CA4F57"/>
    <w:rsid w:val="269C52F7"/>
    <w:rsid w:val="279A7D67"/>
    <w:rsid w:val="29671359"/>
    <w:rsid w:val="29673C78"/>
    <w:rsid w:val="29986528"/>
    <w:rsid w:val="2A151926"/>
    <w:rsid w:val="2D416019"/>
    <w:rsid w:val="2FF26266"/>
    <w:rsid w:val="32665168"/>
    <w:rsid w:val="34637732"/>
    <w:rsid w:val="34E55522"/>
    <w:rsid w:val="35450939"/>
    <w:rsid w:val="356E72B8"/>
    <w:rsid w:val="36A93B22"/>
    <w:rsid w:val="36F744C4"/>
    <w:rsid w:val="37D26FE9"/>
    <w:rsid w:val="38AB0E15"/>
    <w:rsid w:val="3971469F"/>
    <w:rsid w:val="399F120C"/>
    <w:rsid w:val="3A0B0650"/>
    <w:rsid w:val="3A992316"/>
    <w:rsid w:val="3B251BE5"/>
    <w:rsid w:val="3BFC64A2"/>
    <w:rsid w:val="3D63486F"/>
    <w:rsid w:val="3D946844"/>
    <w:rsid w:val="40F759FA"/>
    <w:rsid w:val="42A05D7C"/>
    <w:rsid w:val="45266E75"/>
    <w:rsid w:val="45401AF6"/>
    <w:rsid w:val="458A2D71"/>
    <w:rsid w:val="45CA502C"/>
    <w:rsid w:val="45E074DB"/>
    <w:rsid w:val="475A3BA8"/>
    <w:rsid w:val="496B1EC3"/>
    <w:rsid w:val="49AA1C33"/>
    <w:rsid w:val="4C2260A9"/>
    <w:rsid w:val="4CF15A7B"/>
    <w:rsid w:val="4D2F37DC"/>
    <w:rsid w:val="4D41465D"/>
    <w:rsid w:val="4D846439"/>
    <w:rsid w:val="508077C0"/>
    <w:rsid w:val="534B6E60"/>
    <w:rsid w:val="5413586A"/>
    <w:rsid w:val="571921A6"/>
    <w:rsid w:val="572F560E"/>
    <w:rsid w:val="5BEB0232"/>
    <w:rsid w:val="5CC1517E"/>
    <w:rsid w:val="5D4D2822"/>
    <w:rsid w:val="5DF627A9"/>
    <w:rsid w:val="60231D59"/>
    <w:rsid w:val="60310561"/>
    <w:rsid w:val="605129B1"/>
    <w:rsid w:val="605C73D5"/>
    <w:rsid w:val="60EF2978"/>
    <w:rsid w:val="6155202D"/>
    <w:rsid w:val="63491BBC"/>
    <w:rsid w:val="636E22E4"/>
    <w:rsid w:val="66065FEC"/>
    <w:rsid w:val="672A7AB8"/>
    <w:rsid w:val="67FC76A6"/>
    <w:rsid w:val="68AB69D7"/>
    <w:rsid w:val="699D42FD"/>
    <w:rsid w:val="6A884B0A"/>
    <w:rsid w:val="6C7D40F6"/>
    <w:rsid w:val="6DCF32FD"/>
    <w:rsid w:val="6ED60994"/>
    <w:rsid w:val="6FA86DD3"/>
    <w:rsid w:val="714D2D21"/>
    <w:rsid w:val="72713894"/>
    <w:rsid w:val="72956902"/>
    <w:rsid w:val="74714F78"/>
    <w:rsid w:val="763338AB"/>
    <w:rsid w:val="78E26444"/>
    <w:rsid w:val="79E66164"/>
    <w:rsid w:val="7A70724A"/>
    <w:rsid w:val="7B6A2721"/>
    <w:rsid w:val="7CE908EA"/>
    <w:rsid w:val="7FB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28"/>
      <w:szCs w:val="28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ind w:firstLine="420"/>
    </w:pPr>
  </w:style>
  <w:style w:type="paragraph" w:styleId="3">
    <w:name w:val="Body Text Indent"/>
    <w:basedOn w:val="1"/>
    <w:qFormat/>
    <w:uiPriority w:val="0"/>
    <w:pPr>
      <w:tabs>
        <w:tab w:val="left" w:pos="-1440"/>
      </w:tabs>
      <w:spacing w:line="360" w:lineRule="auto"/>
      <w:ind w:left="176" w:firstLine="200" w:firstLineChars="200"/>
    </w:pPr>
    <w:rPr>
      <w:rFonts w:ascii="仿宋" w:hAnsi="Times New Roman" w:eastAsia="仿宋"/>
      <w:sz w:val="24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paragraph" w:customStyle="1" w:styleId="16">
    <w:name w:val="Body text|1"/>
    <w:basedOn w:val="1"/>
    <w:qFormat/>
    <w:uiPriority w:val="0"/>
    <w:pPr>
      <w:widowControl w:val="0"/>
      <w:shd w:val="clear" w:color="auto" w:fill="auto"/>
      <w:spacing w:after="20" w:line="331" w:lineRule="auto"/>
      <w:ind w:firstLine="40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17">
    <w:name w:val="标题 1 Char"/>
    <w:link w:val="4"/>
    <w:qFormat/>
    <w:uiPriority w:val="9"/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3862</Words>
  <Characters>4193</Characters>
  <Lines>33</Lines>
  <Paragraphs>9</Paragraphs>
  <TotalTime>5</TotalTime>
  <ScaleCrop>false</ScaleCrop>
  <LinksUpToDate>false</LinksUpToDate>
  <CharactersWithSpaces>4687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2023-01-13T05:23:00Z</dcterms:created>
  <dc:creator>l l</dc:creator>
  <cp:lastModifiedBy>聂红军</cp:lastModifiedBy>
  <dcterms:modified xsi:type="dcterms:W3CDTF">2023-09-07T00:19:14Z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58EF9DEB14404D328803FB1910C12166_13</vt:lpwstr>
  </property>
</Properties>
</file>