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FF0000"/>
          <w:spacing w:val="-57"/>
          <w:sz w:val="72"/>
          <w:szCs w:val="72"/>
        </w:rPr>
      </w:pPr>
      <w:r>
        <w:rPr>
          <w:b/>
          <w:bCs/>
          <w:color w:val="FF0000"/>
          <w:spacing w:val="-57"/>
          <w:sz w:val="72"/>
          <w:szCs w:val="72"/>
        </w:rPr>
        <w:t>北京建术信息科技研究院有限公司</w:t>
      </w:r>
    </w:p>
    <w:p>
      <w:pPr>
        <w:jc w:val="center"/>
        <w:rPr>
          <w:rFonts w:ascii="仿宋" w:hAnsi="仿宋" w:eastAsia="仿宋"/>
          <w:b/>
          <w:sz w:val="28"/>
          <w:szCs w:val="28"/>
        </w:rPr>
      </w:pPr>
      <w:r>
        <w:rPr>
          <w:rFonts w:hint="eastAsia"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377190</wp:posOffset>
                </wp:positionV>
                <wp:extent cx="6061710" cy="0"/>
                <wp:effectExtent l="0" t="9525" r="8890" b="15875"/>
                <wp:wrapNone/>
                <wp:docPr id="1" name="直接连接符 1"/>
                <wp:cNvGraphicFramePr/>
                <a:graphic xmlns:a="http://schemas.openxmlformats.org/drawingml/2006/main">
                  <a:graphicData uri="http://schemas.microsoft.com/office/word/2010/wordprocessingShape">
                    <wps:wsp>
                      <wps:cNvCnPr/>
                      <wps:spPr>
                        <a:xfrm>
                          <a:off x="1121410" y="1794510"/>
                          <a:ext cx="6061710" cy="0"/>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85pt;margin-top:29.7pt;height:0pt;width:477.3pt;z-index:251659264;mso-width-relative:page;mso-height-relative:page;" filled="f" stroked="t" coordsize="21600,21600" o:gfxdata="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GlKmdYAAAAJAQAADwAAAAAAAAABACAAAAAiAAAAZHJzL2Rvd25yZXYueG1sUEsBAhQAFAAA&#10;AAgAh07iQIas+7/xAQAAvgMAAA4AAAAAAAAAAQAgAAAAJQEAAGRycy9lMm9Eb2MueG1sUEsFBgAA&#10;AAAGAAYAWQEAAIgFAAAAAA==&#10;">
                <v:fill on="f" focussize="0,0"/>
                <v:stroke weight="1.5pt" color="#FF0000 [3204]" miterlimit="8" joinstyle="miter"/>
                <v:imagedata o:title=""/>
                <o:lock v:ext="edit" aspectratio="f"/>
              </v:line>
            </w:pict>
          </mc:Fallback>
        </mc:AlternateContent>
      </w:r>
      <w:r>
        <w:rPr>
          <w:rFonts w:hint="eastAsia" w:ascii="仿宋" w:hAnsi="仿宋" w:eastAsia="仿宋" w:cs="仿宋"/>
          <w:sz w:val="28"/>
          <w:szCs w:val="28"/>
        </w:rPr>
        <w:t>建术信息2023【66】号</w:t>
      </w:r>
    </w:p>
    <w:p>
      <w:pPr>
        <w:spacing w:line="520" w:lineRule="exact"/>
        <w:jc w:val="center"/>
        <w:rPr>
          <w:rFonts w:ascii="仿宋" w:hAnsi="仿宋" w:eastAsia="仿宋"/>
          <w:b/>
          <w:color w:val="000000"/>
          <w:sz w:val="28"/>
          <w:szCs w:val="28"/>
        </w:rPr>
      </w:pPr>
      <w:r>
        <w:rPr>
          <w:rFonts w:hint="eastAsia" w:ascii="仿宋" w:hAnsi="仿宋" w:eastAsia="仿宋"/>
          <w:b/>
          <w:color w:val="000000"/>
          <w:sz w:val="28"/>
          <w:szCs w:val="28"/>
        </w:rPr>
        <w:t>关于举办“建设工程合同关键风险管控实务</w:t>
      </w:r>
    </w:p>
    <w:p>
      <w:pPr>
        <w:spacing w:line="520" w:lineRule="exact"/>
        <w:jc w:val="center"/>
        <w:rPr>
          <w:rFonts w:ascii="仿宋" w:hAnsi="仿宋" w:eastAsia="仿宋"/>
          <w:b/>
          <w:color w:val="000000"/>
          <w:sz w:val="28"/>
          <w:szCs w:val="28"/>
        </w:rPr>
      </w:pPr>
      <w:r>
        <w:rPr>
          <w:rFonts w:hint="eastAsia" w:ascii="仿宋" w:hAnsi="仿宋" w:eastAsia="仿宋"/>
          <w:b/>
          <w:color w:val="000000"/>
          <w:sz w:val="28"/>
          <w:szCs w:val="28"/>
        </w:rPr>
        <w:t>暨工程造价管理疑难点解析与典型案例”高级培训班的通知</w:t>
      </w:r>
    </w:p>
    <w:p>
      <w:pPr>
        <w:spacing w:line="400" w:lineRule="exact"/>
        <w:rPr>
          <w:rFonts w:ascii="仿宋" w:hAnsi="仿宋" w:eastAsia="仿宋"/>
          <w:b/>
          <w:color w:val="000000"/>
          <w:sz w:val="24"/>
        </w:rPr>
      </w:pPr>
      <w:r>
        <w:rPr>
          <w:rFonts w:hint="eastAsia" w:ascii="仿宋" w:hAnsi="仿宋" w:eastAsia="仿宋"/>
          <w:b/>
          <w:color w:val="000000"/>
          <w:sz w:val="24"/>
        </w:rPr>
        <w:t>各有关单位：</w:t>
      </w:r>
    </w:p>
    <w:p>
      <w:pPr>
        <w:pStyle w:val="8"/>
        <w:widowControl/>
        <w:spacing w:beforeAutospacing="0" w:afterAutospacing="0" w:line="400" w:lineRule="exact"/>
        <w:ind w:firstLine="480" w:firstLineChars="200"/>
        <w:rPr>
          <w:rFonts w:ascii="仿宋" w:hAnsi="仿宋" w:eastAsia="仿宋" w:cs="仿宋"/>
          <w:lang w:bidi="ar"/>
        </w:rPr>
      </w:pPr>
      <w:r>
        <w:rPr>
          <w:rFonts w:hint="eastAsia" w:ascii="仿宋" w:hAnsi="仿宋" w:eastAsia="仿宋"/>
          <w:bCs/>
        </w:rPr>
        <w:t>随着我国经济发展的新常态和建筑业转型升级的新业态，建筑企业竞争日益加剧。现阶段建设项目具有法律关系复杂、专业性强和疑难问题多等特点，给建筑企业带来较大的法律风险，建设工程合同纠纷案件频发，影响企业的健康发展</w:t>
      </w:r>
      <w:r>
        <w:rPr>
          <w:rFonts w:hint="eastAsia" w:ascii="仿宋" w:hAnsi="仿宋" w:eastAsia="仿宋" w:cs="仿宋"/>
          <w:lang w:bidi="ar"/>
        </w:rPr>
        <w:t>。建设工程合同纠纷多与工程造价有关，为从源头上化解和防范合同纠纷，需要切实提高工程造价管理人员的业务水平，准确把握投标、清欠、结算、财政评审、审计等过程中的风险及造价管理要点，尤其是工程总承包模式下造价管理的新特点和新策略。为帮助相关从业人员理解和把握建设工程法律风险和造价管理要点，我单位特举办</w:t>
      </w:r>
      <w:r>
        <w:rPr>
          <w:rFonts w:hint="eastAsia" w:ascii="仿宋" w:hAnsi="仿宋" w:eastAsia="仿宋"/>
          <w:bCs/>
        </w:rPr>
        <w:t>“建设工程合同关键风险管控实务暨工程造价管理疑难点解析与典型案例”高级培训班，现将有关事项通知如下：</w:t>
      </w:r>
    </w:p>
    <w:p>
      <w:pPr>
        <w:spacing w:line="400" w:lineRule="exact"/>
        <w:rPr>
          <w:rFonts w:ascii="仿宋" w:hAnsi="仿宋" w:eastAsia="仿宋"/>
          <w:b/>
          <w:bCs/>
          <w:sz w:val="24"/>
        </w:rPr>
      </w:pPr>
      <w:r>
        <w:rPr>
          <w:rFonts w:hint="eastAsia" w:ascii="仿宋" w:hAnsi="仿宋" w:eastAsia="仿宋"/>
          <w:b/>
          <w:bCs/>
          <w:sz w:val="24"/>
        </w:rPr>
        <w:t>一、主要内容</w:t>
      </w:r>
    </w:p>
    <w:p>
      <w:pPr>
        <w:snapToGrid w:val="0"/>
        <w:spacing w:line="400" w:lineRule="exact"/>
        <w:ind w:firstLine="482" w:firstLineChars="200"/>
        <w:rPr>
          <w:rFonts w:ascii="仿宋" w:hAnsi="仿宋" w:eastAsia="仿宋"/>
          <w:bCs/>
          <w:color w:val="000000"/>
          <w:sz w:val="24"/>
        </w:rPr>
      </w:pPr>
      <w:r>
        <w:rPr>
          <w:rFonts w:hint="eastAsia" w:ascii="仿宋" w:hAnsi="仿宋" w:eastAsia="仿宋"/>
          <w:b/>
          <w:color w:val="000000"/>
          <w:sz w:val="24"/>
        </w:rPr>
        <w:t>第一部分：</w:t>
      </w:r>
      <w:r>
        <w:rPr>
          <w:rFonts w:ascii="仿宋" w:hAnsi="仿宋" w:eastAsia="仿宋"/>
          <w:b/>
          <w:color w:val="000000"/>
          <w:sz w:val="24"/>
        </w:rPr>
        <w:t>系统梳理建设工程</w:t>
      </w:r>
      <w:r>
        <w:rPr>
          <w:rFonts w:hint="eastAsia" w:ascii="仿宋" w:hAnsi="仿宋" w:eastAsia="仿宋"/>
          <w:b/>
          <w:color w:val="000000"/>
          <w:sz w:val="24"/>
        </w:rPr>
        <w:t>合同法律实务中</w:t>
      </w:r>
      <w:r>
        <w:rPr>
          <w:rFonts w:ascii="仿宋" w:hAnsi="仿宋" w:eastAsia="仿宋"/>
          <w:b/>
          <w:color w:val="000000"/>
          <w:sz w:val="24"/>
        </w:rPr>
        <w:t>的关键风险点与核心内容，结合</w:t>
      </w:r>
      <w:r>
        <w:rPr>
          <w:rFonts w:hint="eastAsia" w:ascii="仿宋" w:hAnsi="仿宋" w:eastAsia="仿宋"/>
          <w:b/>
          <w:color w:val="000000"/>
          <w:sz w:val="24"/>
        </w:rPr>
        <w:t>《建设工程施工合同司法解释（一）》的规定和工程合同纠纷</w:t>
      </w:r>
      <w:r>
        <w:rPr>
          <w:rFonts w:ascii="仿宋" w:hAnsi="仿宋" w:eastAsia="仿宋"/>
          <w:b/>
          <w:color w:val="000000"/>
          <w:sz w:val="24"/>
        </w:rPr>
        <w:t>典型案例</w:t>
      </w:r>
      <w:r>
        <w:rPr>
          <w:rFonts w:hint="eastAsia" w:ascii="仿宋" w:hAnsi="仿宋" w:eastAsia="仿宋"/>
          <w:b/>
          <w:color w:val="000000"/>
          <w:sz w:val="24"/>
        </w:rPr>
        <w:t>，</w:t>
      </w:r>
      <w:r>
        <w:rPr>
          <w:rFonts w:ascii="仿宋" w:hAnsi="仿宋" w:eastAsia="仿宋"/>
          <w:b/>
          <w:color w:val="000000"/>
          <w:sz w:val="24"/>
        </w:rPr>
        <w:t>形成如下培训内容</w:t>
      </w:r>
      <w:r>
        <w:rPr>
          <w:rFonts w:hint="eastAsia" w:ascii="仿宋" w:hAnsi="仿宋" w:eastAsia="仿宋"/>
          <w:bCs/>
          <w:color w:val="000000"/>
          <w:sz w:val="24"/>
        </w:rPr>
        <w:t>：</w:t>
      </w:r>
    </w:p>
    <w:p>
      <w:pPr>
        <w:snapToGrid w:val="0"/>
        <w:spacing w:line="400" w:lineRule="exact"/>
        <w:ind w:firstLine="482" w:firstLineChars="200"/>
        <w:rPr>
          <w:rFonts w:ascii="仿宋" w:hAnsi="仿宋" w:eastAsia="仿宋"/>
          <w:b/>
          <w:bCs/>
          <w:color w:val="000000"/>
          <w:kern w:val="0"/>
          <w:sz w:val="24"/>
        </w:rPr>
      </w:pPr>
      <w:r>
        <w:rPr>
          <w:rFonts w:ascii="仿宋" w:hAnsi="仿宋" w:eastAsia="仿宋"/>
          <w:b/>
          <w:bCs/>
          <w:color w:val="000000"/>
          <w:kern w:val="0"/>
          <w:sz w:val="24"/>
        </w:rPr>
        <w:t>（一）</w:t>
      </w:r>
      <w:r>
        <w:rPr>
          <w:rFonts w:hint="eastAsia" w:ascii="仿宋" w:hAnsi="仿宋" w:eastAsia="仿宋"/>
          <w:b/>
          <w:bCs/>
          <w:color w:val="000000"/>
          <w:kern w:val="0"/>
          <w:sz w:val="24"/>
        </w:rPr>
        <w:t>建设工程合同的主要特点和管理要求</w:t>
      </w:r>
    </w:p>
    <w:p>
      <w:pPr>
        <w:snapToGrid w:val="0"/>
        <w:spacing w:line="400" w:lineRule="exact"/>
        <w:ind w:firstLine="480" w:firstLineChars="200"/>
        <w:rPr>
          <w:rFonts w:ascii="仿宋" w:hAnsi="仿宋" w:eastAsia="仿宋"/>
          <w:bCs/>
          <w:color w:val="000000"/>
          <w:kern w:val="0"/>
          <w:sz w:val="24"/>
        </w:rPr>
      </w:pPr>
      <w:r>
        <w:rPr>
          <w:rFonts w:ascii="仿宋" w:hAnsi="仿宋" w:eastAsia="仿宋"/>
          <w:bCs/>
          <w:color w:val="000000"/>
          <w:kern w:val="0"/>
          <w:sz w:val="24"/>
        </w:rPr>
        <w:t>1.</w:t>
      </w:r>
      <w:r>
        <w:rPr>
          <w:rFonts w:hint="eastAsia" w:ascii="仿宋" w:hAnsi="仿宋" w:eastAsia="仿宋"/>
          <w:bCs/>
          <w:color w:val="000000"/>
          <w:kern w:val="0"/>
          <w:sz w:val="24"/>
        </w:rPr>
        <w:t>建设工程合同的主要特点。</w:t>
      </w:r>
    </w:p>
    <w:p>
      <w:pPr>
        <w:snapToGrid w:val="0"/>
        <w:spacing w:line="400" w:lineRule="exact"/>
        <w:ind w:firstLine="480" w:firstLineChars="200"/>
        <w:rPr>
          <w:rFonts w:ascii="仿宋" w:hAnsi="仿宋" w:eastAsia="仿宋"/>
          <w:bCs/>
          <w:color w:val="000000"/>
          <w:kern w:val="0"/>
          <w:sz w:val="24"/>
        </w:rPr>
      </w:pPr>
      <w:r>
        <w:rPr>
          <w:rFonts w:ascii="仿宋" w:hAnsi="仿宋" w:eastAsia="仿宋"/>
          <w:bCs/>
          <w:color w:val="000000"/>
          <w:kern w:val="0"/>
          <w:sz w:val="24"/>
        </w:rPr>
        <w:t>2.</w:t>
      </w:r>
      <w:r>
        <w:rPr>
          <w:rFonts w:hint="eastAsia" w:ascii="仿宋" w:hAnsi="仿宋" w:eastAsia="仿宋"/>
          <w:bCs/>
          <w:color w:val="000000"/>
          <w:kern w:val="0"/>
          <w:sz w:val="24"/>
        </w:rPr>
        <w:t>建设工程合同的管理要求</w:t>
      </w:r>
      <w:r>
        <w:rPr>
          <w:rFonts w:ascii="仿宋" w:hAnsi="仿宋" w:eastAsia="仿宋"/>
          <w:bCs/>
          <w:color w:val="000000"/>
          <w:kern w:val="0"/>
          <w:sz w:val="24"/>
        </w:rPr>
        <w:t>。</w:t>
      </w:r>
    </w:p>
    <w:p>
      <w:pPr>
        <w:snapToGrid w:val="0"/>
        <w:spacing w:line="400" w:lineRule="exact"/>
        <w:ind w:firstLine="482" w:firstLineChars="200"/>
        <w:rPr>
          <w:rFonts w:ascii="仿宋" w:hAnsi="仿宋" w:eastAsia="仿宋"/>
          <w:b/>
          <w:bCs/>
          <w:color w:val="000000"/>
          <w:sz w:val="24"/>
        </w:rPr>
      </w:pPr>
      <w:r>
        <w:rPr>
          <w:rFonts w:hint="eastAsia" w:ascii="仿宋" w:hAnsi="仿宋" w:eastAsia="仿宋"/>
          <w:b/>
          <w:bCs/>
          <w:color w:val="000000"/>
          <w:sz w:val="24"/>
        </w:rPr>
        <w:t>（二）工程合同签订前期的关键风险点与纠纷解决</w:t>
      </w:r>
    </w:p>
    <w:p>
      <w:pPr>
        <w:spacing w:line="400" w:lineRule="exact"/>
        <w:ind w:firstLine="480" w:firstLineChars="200"/>
        <w:rPr>
          <w:rFonts w:ascii="仿宋" w:hAnsi="仿宋" w:eastAsia="仿宋"/>
          <w:bCs/>
          <w:color w:val="000000"/>
          <w:sz w:val="24"/>
        </w:rPr>
      </w:pPr>
      <w:r>
        <w:rPr>
          <w:rFonts w:hint="eastAsia" w:ascii="仿宋" w:hAnsi="仿宋" w:eastAsia="仿宋"/>
          <w:bCs/>
          <w:color w:val="000000"/>
          <w:sz w:val="24"/>
        </w:rPr>
        <w:t>1.工程合同签订前关键风险点的识别、风险预测和风险分析，涉及工程项目和强制招标范围的确定、招标方式的选择、投标人的限制、招投标前签订合同、中标后拒绝签订合同的后果等。</w:t>
      </w:r>
    </w:p>
    <w:p>
      <w:pPr>
        <w:spacing w:line="400" w:lineRule="exact"/>
        <w:ind w:firstLine="480" w:firstLineChars="200"/>
        <w:rPr>
          <w:rFonts w:ascii="仿宋" w:hAnsi="仿宋" w:eastAsia="仿宋"/>
          <w:bCs/>
          <w:color w:val="000000"/>
          <w:sz w:val="24"/>
        </w:rPr>
      </w:pPr>
      <w:r>
        <w:rPr>
          <w:rFonts w:hint="eastAsia" w:ascii="仿宋" w:hAnsi="仿宋" w:eastAsia="仿宋"/>
          <w:bCs/>
          <w:color w:val="000000"/>
          <w:sz w:val="24"/>
        </w:rPr>
        <w:t>2.工程合同签订前期产生的法律纠纷的典型案例与解决实务。</w:t>
      </w:r>
    </w:p>
    <w:p>
      <w:pPr>
        <w:spacing w:line="400" w:lineRule="exact"/>
        <w:ind w:firstLine="482" w:firstLineChars="200"/>
        <w:rPr>
          <w:rFonts w:ascii="仿宋" w:hAnsi="仿宋" w:eastAsia="仿宋"/>
          <w:b/>
          <w:bCs/>
          <w:color w:val="000000"/>
          <w:sz w:val="24"/>
        </w:rPr>
      </w:pPr>
      <w:r>
        <w:rPr>
          <w:rFonts w:ascii="仿宋" w:hAnsi="仿宋" w:eastAsia="仿宋"/>
          <w:b/>
          <w:bCs/>
          <w:color w:val="000000"/>
          <w:sz w:val="24"/>
        </w:rPr>
        <w:t>（三）</w:t>
      </w:r>
      <w:r>
        <w:rPr>
          <w:rFonts w:hint="eastAsia" w:ascii="仿宋" w:hAnsi="仿宋" w:eastAsia="仿宋"/>
          <w:b/>
          <w:bCs/>
          <w:color w:val="000000"/>
          <w:sz w:val="24"/>
        </w:rPr>
        <w:t>施工总承包和工程总承包</w:t>
      </w:r>
      <w:r>
        <w:rPr>
          <w:rFonts w:ascii="仿宋" w:hAnsi="仿宋" w:eastAsia="仿宋"/>
          <w:b/>
          <w:bCs/>
          <w:color w:val="000000"/>
          <w:sz w:val="24"/>
        </w:rPr>
        <w:t>合同签订过程中的关键风险点与纠纷解决</w:t>
      </w:r>
    </w:p>
    <w:p>
      <w:pPr>
        <w:spacing w:line="400" w:lineRule="exact"/>
        <w:ind w:firstLine="480" w:firstLineChars="200"/>
        <w:rPr>
          <w:rFonts w:ascii="仿宋" w:hAnsi="仿宋" w:eastAsia="仿宋"/>
          <w:bCs/>
          <w:color w:val="000000"/>
          <w:sz w:val="24"/>
        </w:rPr>
      </w:pPr>
      <w:r>
        <w:rPr>
          <w:rFonts w:hint="eastAsia" w:ascii="仿宋" w:hAnsi="仿宋" w:eastAsia="仿宋"/>
          <w:bCs/>
          <w:color w:val="000000"/>
          <w:sz w:val="24"/>
        </w:rPr>
        <w:t>1.工程合同签订过程中的关键风险点的识别、风险预测和风险分析，涉及黑白合同、工程质量标准、价款确定方式、索赔期间、工程量清单错漏风险承担、质保金的返还、工程结算、审计条款等。</w:t>
      </w:r>
    </w:p>
    <w:p>
      <w:pPr>
        <w:spacing w:line="400" w:lineRule="exact"/>
        <w:ind w:firstLine="480" w:firstLineChars="200"/>
        <w:rPr>
          <w:rFonts w:ascii="仿宋" w:hAnsi="仿宋" w:eastAsia="仿宋"/>
          <w:bCs/>
          <w:color w:val="000000"/>
          <w:sz w:val="24"/>
        </w:rPr>
      </w:pPr>
      <w:r>
        <w:rPr>
          <w:rFonts w:hint="eastAsia" w:ascii="仿宋" w:hAnsi="仿宋" w:eastAsia="仿宋"/>
          <w:bCs/>
          <w:color w:val="000000"/>
          <w:sz w:val="24"/>
        </w:rPr>
        <w:t>2</w:t>
      </w:r>
      <w:r>
        <w:rPr>
          <w:rFonts w:ascii="仿宋" w:hAnsi="仿宋" w:eastAsia="仿宋"/>
          <w:bCs/>
          <w:color w:val="000000"/>
          <w:sz w:val="24"/>
        </w:rPr>
        <w:t>.</w:t>
      </w:r>
      <w:r>
        <w:rPr>
          <w:rFonts w:hint="eastAsia" w:ascii="仿宋" w:hAnsi="仿宋" w:eastAsia="仿宋"/>
          <w:bCs/>
          <w:color w:val="000000"/>
          <w:sz w:val="24"/>
        </w:rPr>
        <w:t>工程总承包合同的特点、资质要求、变更的认定和处理等。</w:t>
      </w:r>
    </w:p>
    <w:p>
      <w:pPr>
        <w:spacing w:line="400" w:lineRule="exact"/>
        <w:ind w:firstLine="480" w:firstLineChars="200"/>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.工程合同签订过程中产生的法律纠纷的典型案例与解决实务。</w:t>
      </w:r>
    </w:p>
    <w:p>
      <w:pPr>
        <w:spacing w:line="400" w:lineRule="exact"/>
        <w:ind w:firstLine="482" w:firstLineChars="200"/>
        <w:rPr>
          <w:rFonts w:ascii="仿宋" w:hAnsi="仿宋" w:eastAsia="仿宋"/>
          <w:b/>
          <w:bCs/>
          <w:color w:val="000000"/>
          <w:sz w:val="24"/>
        </w:rPr>
      </w:pPr>
      <w:r>
        <w:rPr>
          <w:rFonts w:ascii="仿宋" w:hAnsi="仿宋" w:eastAsia="仿宋"/>
          <w:b/>
          <w:bCs/>
          <w:color w:val="000000"/>
          <w:sz w:val="24"/>
        </w:rPr>
        <w:t>（四）</w:t>
      </w:r>
      <w:r>
        <w:rPr>
          <w:rFonts w:hint="eastAsia" w:ascii="仿宋" w:hAnsi="仿宋" w:eastAsia="仿宋"/>
          <w:b/>
          <w:bCs/>
          <w:color w:val="000000"/>
          <w:sz w:val="24"/>
        </w:rPr>
        <w:t>施工总承包和工程总承包</w:t>
      </w:r>
      <w:r>
        <w:rPr>
          <w:rFonts w:ascii="仿宋" w:hAnsi="仿宋" w:eastAsia="仿宋"/>
          <w:b/>
          <w:bCs/>
          <w:color w:val="000000"/>
          <w:sz w:val="24"/>
        </w:rPr>
        <w:t>合同履行阶段的关键风险点与纠纷解决</w:t>
      </w:r>
    </w:p>
    <w:p>
      <w:pPr>
        <w:spacing w:line="400" w:lineRule="exact"/>
        <w:ind w:firstLine="480" w:firstLineChars="200"/>
        <w:rPr>
          <w:rFonts w:ascii="仿宋" w:hAnsi="仿宋" w:eastAsia="仿宋"/>
          <w:bCs/>
          <w:color w:val="000000"/>
          <w:sz w:val="24"/>
        </w:rPr>
      </w:pPr>
      <w:r>
        <w:rPr>
          <w:rFonts w:hint="eastAsia" w:ascii="仿宋" w:hAnsi="仿宋" w:eastAsia="仿宋"/>
          <w:bCs/>
          <w:color w:val="000000"/>
          <w:sz w:val="24"/>
        </w:rPr>
        <w:t>1.工程合同履行阶段的关键风险点的识别、风险预测和风险分析，涉及挂靠、违法分包、扩大劳务分包、实际施工人的权利义务、项目经理的权限管理、表见代理的认定、工程签证管理、履行抗辩权的正确行使（发票的出具、资料的提交、工程的移交）、竣工验收、工程保修、优先受偿权等。</w:t>
      </w:r>
    </w:p>
    <w:p>
      <w:pPr>
        <w:spacing w:line="400" w:lineRule="exact"/>
        <w:ind w:firstLine="480" w:firstLineChars="200"/>
        <w:rPr>
          <w:rFonts w:ascii="仿宋" w:hAnsi="仿宋" w:eastAsia="仿宋"/>
          <w:bCs/>
          <w:color w:val="000000"/>
          <w:sz w:val="24"/>
        </w:rPr>
      </w:pPr>
      <w:r>
        <w:rPr>
          <w:rFonts w:hint="eastAsia" w:ascii="仿宋" w:hAnsi="仿宋" w:eastAsia="仿宋"/>
          <w:bCs/>
          <w:color w:val="000000"/>
          <w:sz w:val="24"/>
        </w:rPr>
        <w:t>2.工程合同履行阶段产生的法律纠纷的典型案例与解决实务。</w:t>
      </w:r>
    </w:p>
    <w:p>
      <w:pPr>
        <w:spacing w:line="400" w:lineRule="exact"/>
        <w:ind w:firstLine="482" w:firstLineChars="200"/>
        <w:rPr>
          <w:rFonts w:ascii="仿宋" w:hAnsi="仿宋" w:eastAsia="仿宋"/>
          <w:b/>
          <w:bCs/>
          <w:color w:val="000000"/>
          <w:sz w:val="24"/>
        </w:rPr>
      </w:pPr>
      <w:r>
        <w:rPr>
          <w:rFonts w:ascii="仿宋" w:hAnsi="仿宋" w:eastAsia="仿宋"/>
          <w:b/>
          <w:bCs/>
          <w:color w:val="000000"/>
          <w:sz w:val="24"/>
        </w:rPr>
        <w:t>（</w:t>
      </w:r>
      <w:r>
        <w:rPr>
          <w:rFonts w:hint="eastAsia" w:ascii="仿宋" w:hAnsi="仿宋" w:eastAsia="仿宋"/>
          <w:b/>
          <w:bCs/>
          <w:color w:val="000000"/>
          <w:sz w:val="24"/>
        </w:rPr>
        <w:t>五</w:t>
      </w:r>
      <w:r>
        <w:rPr>
          <w:rFonts w:ascii="仿宋" w:hAnsi="仿宋" w:eastAsia="仿宋"/>
          <w:b/>
          <w:bCs/>
          <w:color w:val="000000"/>
          <w:sz w:val="24"/>
        </w:rPr>
        <w:t>）建设工程</w:t>
      </w:r>
      <w:r>
        <w:rPr>
          <w:rFonts w:hint="eastAsia" w:ascii="仿宋" w:hAnsi="仿宋" w:eastAsia="仿宋"/>
          <w:b/>
          <w:bCs/>
          <w:color w:val="000000"/>
          <w:sz w:val="24"/>
        </w:rPr>
        <w:t>合同纠纷的主要类型及解决实务</w:t>
      </w:r>
    </w:p>
    <w:p>
      <w:pPr>
        <w:spacing w:line="400" w:lineRule="exact"/>
        <w:ind w:firstLine="480" w:firstLineChars="200"/>
        <w:rPr>
          <w:rFonts w:ascii="仿宋" w:hAnsi="仿宋" w:eastAsia="仿宋"/>
          <w:bCs/>
          <w:color w:val="000000"/>
          <w:sz w:val="24"/>
        </w:rPr>
      </w:pPr>
      <w:r>
        <w:rPr>
          <w:rFonts w:ascii="仿宋" w:hAnsi="仿宋" w:eastAsia="仿宋"/>
          <w:bCs/>
          <w:color w:val="000000"/>
          <w:sz w:val="24"/>
        </w:rPr>
        <w:t>1.</w:t>
      </w:r>
      <w:r>
        <w:rPr>
          <w:rFonts w:hint="eastAsia" w:ascii="仿宋" w:hAnsi="仿宋" w:eastAsia="仿宋"/>
          <w:bCs/>
          <w:color w:val="000000"/>
          <w:sz w:val="24"/>
        </w:rPr>
        <w:t>工程造价纠纷及解决实务，包括工程量的认定、结算方式的确定、与审计的关系等。</w:t>
      </w:r>
    </w:p>
    <w:p>
      <w:pPr>
        <w:spacing w:line="400" w:lineRule="exact"/>
        <w:ind w:firstLine="480" w:firstLineChars="200"/>
        <w:rPr>
          <w:rFonts w:ascii="仿宋" w:hAnsi="仿宋" w:eastAsia="仿宋"/>
          <w:bCs/>
          <w:color w:val="000000"/>
          <w:sz w:val="24"/>
        </w:rPr>
      </w:pPr>
      <w:r>
        <w:rPr>
          <w:rFonts w:ascii="仿宋" w:hAnsi="仿宋" w:eastAsia="仿宋"/>
          <w:bCs/>
          <w:color w:val="000000"/>
          <w:sz w:val="24"/>
        </w:rPr>
        <w:t>2.</w:t>
      </w:r>
      <w:r>
        <w:rPr>
          <w:rFonts w:hint="eastAsia" w:ascii="仿宋" w:hAnsi="仿宋" w:eastAsia="仿宋"/>
          <w:bCs/>
          <w:color w:val="000000"/>
          <w:sz w:val="24"/>
        </w:rPr>
        <w:t>工程质量纠纷及解决实务，包括质量责任及保修责任的认定、保修期内的通知义务等。</w:t>
      </w:r>
    </w:p>
    <w:p>
      <w:pPr>
        <w:spacing w:line="400" w:lineRule="exact"/>
        <w:ind w:firstLine="480" w:firstLineChars="200"/>
        <w:rPr>
          <w:rFonts w:ascii="仿宋" w:hAnsi="仿宋" w:eastAsia="仿宋"/>
          <w:bCs/>
          <w:color w:val="000000"/>
          <w:sz w:val="24"/>
        </w:rPr>
      </w:pPr>
      <w:r>
        <w:rPr>
          <w:rFonts w:hint="eastAsia" w:ascii="仿宋" w:hAnsi="仿宋" w:eastAsia="仿宋"/>
          <w:bCs/>
          <w:color w:val="000000"/>
          <w:sz w:val="24"/>
        </w:rPr>
        <w:t>3.工期纠纷及解决实务，包括开竣工时间的确定、工期索赔等。</w:t>
      </w:r>
    </w:p>
    <w:p>
      <w:pPr>
        <w:spacing w:line="400" w:lineRule="exact"/>
        <w:ind w:firstLine="480" w:firstLineChars="200"/>
        <w:rPr>
          <w:rFonts w:ascii="仿宋" w:hAnsi="仿宋" w:eastAsia="仿宋"/>
          <w:bCs/>
          <w:color w:val="000000"/>
          <w:sz w:val="24"/>
        </w:rPr>
      </w:pPr>
      <w:r>
        <w:rPr>
          <w:rFonts w:hint="eastAsia" w:ascii="仿宋" w:hAnsi="仿宋" w:eastAsia="仿宋"/>
          <w:bCs/>
          <w:color w:val="000000"/>
          <w:sz w:val="24"/>
        </w:rPr>
        <w:t>4.工程建设纠纷的解决途径及选择。</w:t>
      </w:r>
    </w:p>
    <w:p>
      <w:pPr>
        <w:spacing w:line="400" w:lineRule="exact"/>
        <w:ind w:firstLine="482" w:firstLineChars="200"/>
        <w:rPr>
          <w:rFonts w:ascii="仿宋" w:hAnsi="仿宋" w:eastAsia="仿宋"/>
          <w:sz w:val="24"/>
        </w:rPr>
      </w:pPr>
      <w:r>
        <w:rPr>
          <w:rFonts w:hint="eastAsia" w:ascii="仿宋" w:hAnsi="仿宋" w:eastAsia="仿宋"/>
          <w:b/>
          <w:bCs/>
          <w:sz w:val="24"/>
        </w:rPr>
        <w:t>第二部分：从源头化解及防范合同结算纠纷，对如何实现高质量工程投标及工程全过程结算疑难点做深入剖析，</w:t>
      </w:r>
      <w:r>
        <w:rPr>
          <w:rFonts w:ascii="仿宋" w:hAnsi="仿宋" w:eastAsia="仿宋"/>
          <w:b/>
          <w:color w:val="000000"/>
          <w:sz w:val="24"/>
        </w:rPr>
        <w:t>形成如下培训内容</w:t>
      </w:r>
      <w:r>
        <w:rPr>
          <w:rFonts w:hint="eastAsia" w:ascii="仿宋" w:hAnsi="仿宋" w:eastAsia="仿宋"/>
          <w:bCs/>
          <w:color w:val="000000"/>
          <w:sz w:val="24"/>
        </w:rPr>
        <w:t>：</w:t>
      </w:r>
    </w:p>
    <w:p>
      <w:pPr>
        <w:spacing w:line="400" w:lineRule="exact"/>
        <w:ind w:firstLine="482" w:firstLineChars="200"/>
        <w:rPr>
          <w:rFonts w:ascii="仿宋" w:hAnsi="仿宋" w:eastAsia="仿宋"/>
          <w:b/>
          <w:bCs/>
          <w:sz w:val="24"/>
        </w:rPr>
      </w:pPr>
      <w:r>
        <w:rPr>
          <w:rFonts w:hint="eastAsia" w:ascii="仿宋" w:hAnsi="仿宋" w:eastAsia="仿宋"/>
          <w:b/>
          <w:bCs/>
          <w:sz w:val="24"/>
        </w:rPr>
        <w:t>（一）建设项目全过程投标管理策划</w:t>
      </w:r>
    </w:p>
    <w:p>
      <w:pPr>
        <w:spacing w:line="400" w:lineRule="exact"/>
        <w:ind w:firstLine="480" w:firstLineChars="200"/>
        <w:rPr>
          <w:rFonts w:ascii="仿宋" w:hAnsi="仿宋" w:eastAsia="仿宋"/>
          <w:sz w:val="24"/>
        </w:rPr>
      </w:pPr>
      <w:r>
        <w:rPr>
          <w:rFonts w:hint="eastAsia" w:ascii="仿宋" w:hAnsi="仿宋" w:eastAsia="仿宋"/>
          <w:sz w:val="24"/>
        </w:rPr>
        <w:t>从揭示工程建设领域主要矛盾入手，投标策划总体思路和具体方法，并分别从建设单位和施工总承包单位两层面的管理策划展开讲解，突出：</w:t>
      </w:r>
    </w:p>
    <w:p>
      <w:pPr>
        <w:spacing w:line="400" w:lineRule="exact"/>
        <w:ind w:firstLine="480" w:firstLineChars="200"/>
        <w:rPr>
          <w:rFonts w:ascii="仿宋" w:hAnsi="仿宋" w:eastAsia="仿宋"/>
          <w:sz w:val="24"/>
        </w:rPr>
      </w:pPr>
      <w:r>
        <w:rPr>
          <w:rFonts w:hint="eastAsia" w:ascii="仿宋" w:hAnsi="仿宋" w:eastAsia="仿宋"/>
          <w:sz w:val="24"/>
        </w:rPr>
        <w:t>1.项目投标全寿命周期理论与实务；</w:t>
      </w:r>
    </w:p>
    <w:p>
      <w:pPr>
        <w:spacing w:line="400" w:lineRule="exact"/>
        <w:ind w:firstLine="480" w:firstLineChars="200"/>
        <w:rPr>
          <w:rFonts w:ascii="仿宋" w:hAnsi="仿宋" w:eastAsia="仿宋"/>
          <w:sz w:val="24"/>
        </w:rPr>
      </w:pPr>
      <w:r>
        <w:rPr>
          <w:rFonts w:hint="eastAsia" w:ascii="仿宋" w:hAnsi="仿宋" w:eastAsia="仿宋"/>
          <w:sz w:val="24"/>
        </w:rPr>
        <w:t>2.施工总承包和工程总承包项目投标策划关键点解析及对策。</w:t>
      </w:r>
    </w:p>
    <w:p>
      <w:pPr>
        <w:spacing w:line="400" w:lineRule="exact"/>
        <w:ind w:firstLine="482" w:firstLineChars="200"/>
        <w:rPr>
          <w:rFonts w:ascii="仿宋" w:hAnsi="仿宋" w:eastAsia="仿宋"/>
          <w:b/>
          <w:bCs/>
          <w:sz w:val="24"/>
        </w:rPr>
      </w:pPr>
      <w:r>
        <w:rPr>
          <w:rFonts w:hint="eastAsia" w:ascii="仿宋" w:hAnsi="仿宋" w:eastAsia="仿宋" w:cs="仿宋"/>
          <w:b/>
          <w:bCs/>
          <w:kern w:val="0"/>
          <w:sz w:val="24"/>
          <w:lang w:bidi="ar"/>
        </w:rPr>
        <w:t>（二）施工单位</w:t>
      </w:r>
      <w:r>
        <w:rPr>
          <w:rFonts w:hint="eastAsia" w:ascii="仿宋" w:hAnsi="仿宋" w:eastAsia="仿宋"/>
          <w:b/>
          <w:bCs/>
          <w:sz w:val="24"/>
        </w:rPr>
        <w:t>业务承揽风险与清欠实务</w:t>
      </w:r>
    </w:p>
    <w:p>
      <w:pPr>
        <w:spacing w:line="400" w:lineRule="exact"/>
        <w:ind w:firstLine="480" w:firstLineChars="200"/>
        <w:rPr>
          <w:rFonts w:ascii="仿宋" w:hAnsi="仿宋" w:eastAsia="仿宋"/>
          <w:sz w:val="24"/>
        </w:rPr>
      </w:pPr>
      <w:r>
        <w:rPr>
          <w:rFonts w:hint="eastAsia" w:ascii="仿宋" w:hAnsi="仿宋" w:eastAsia="仿宋"/>
          <w:sz w:val="24"/>
        </w:rPr>
        <w:t>1.施工总承包和工程总承包工程招标文件合同及造价风险识别及应对。突出：</w:t>
      </w:r>
    </w:p>
    <w:p>
      <w:pPr>
        <w:spacing w:line="400" w:lineRule="exact"/>
        <w:ind w:firstLine="480" w:firstLineChars="200"/>
        <w:rPr>
          <w:rFonts w:ascii="仿宋" w:hAnsi="仿宋" w:eastAsia="仿宋"/>
          <w:sz w:val="24"/>
        </w:rPr>
      </w:pPr>
      <w:r>
        <w:rPr>
          <w:rFonts w:hint="eastAsia" w:ascii="仿宋" w:hAnsi="仿宋" w:eastAsia="仿宋"/>
          <w:sz w:val="24"/>
        </w:rPr>
        <w:t>（1）施工总承包和工程总承包项目合同拟定关键点解析及对策；</w:t>
      </w:r>
    </w:p>
    <w:p>
      <w:pPr>
        <w:spacing w:line="400" w:lineRule="exact"/>
        <w:ind w:firstLine="480" w:firstLineChars="200"/>
        <w:rPr>
          <w:rFonts w:ascii="仿宋" w:hAnsi="仿宋" w:eastAsia="仿宋"/>
          <w:sz w:val="24"/>
        </w:rPr>
      </w:pPr>
      <w:r>
        <w:rPr>
          <w:rFonts w:hint="eastAsia" w:ascii="仿宋" w:hAnsi="仿宋" w:eastAsia="仿宋"/>
          <w:sz w:val="24"/>
        </w:rPr>
        <w:t>（2）工程总承包项目有关计价及支付等关键造价管理问题在合同专用条款的策划及拟定要点。</w:t>
      </w:r>
    </w:p>
    <w:p>
      <w:pPr>
        <w:spacing w:line="400" w:lineRule="exact"/>
        <w:ind w:firstLine="480" w:firstLineChars="200"/>
        <w:rPr>
          <w:rFonts w:ascii="仿宋" w:hAnsi="仿宋" w:eastAsia="仿宋"/>
          <w:sz w:val="24"/>
        </w:rPr>
      </w:pPr>
      <w:r>
        <w:rPr>
          <w:rFonts w:hint="eastAsia" w:ascii="仿宋" w:hAnsi="仿宋" w:eastAsia="仿宋"/>
          <w:sz w:val="24"/>
        </w:rPr>
        <w:t>2.通过分析当前市场情况下施工单位面临的经营压力，针对性剖析给出纾困策略，包括：工程结算久拖不结、回款难、造价纠纷等。</w:t>
      </w:r>
    </w:p>
    <w:p>
      <w:pPr>
        <w:spacing w:line="400" w:lineRule="exact"/>
        <w:ind w:firstLine="482" w:firstLineChars="200"/>
        <w:rPr>
          <w:rFonts w:ascii="仿宋" w:hAnsi="仿宋" w:eastAsia="仿宋"/>
          <w:b/>
          <w:bCs/>
          <w:sz w:val="24"/>
        </w:rPr>
      </w:pPr>
      <w:r>
        <w:rPr>
          <w:rFonts w:hint="eastAsia" w:ascii="仿宋" w:hAnsi="仿宋" w:eastAsia="仿宋"/>
          <w:b/>
          <w:bCs/>
          <w:sz w:val="24"/>
        </w:rPr>
        <w:t>（三）</w:t>
      </w:r>
      <w:r>
        <w:rPr>
          <w:rFonts w:ascii="仿宋" w:hAnsi="仿宋" w:eastAsia="仿宋"/>
          <w:b/>
          <w:bCs/>
          <w:sz w:val="24"/>
        </w:rPr>
        <w:t>新时期工程总承包造价管理关键点解析</w:t>
      </w:r>
      <w:r>
        <w:rPr>
          <w:rFonts w:hint="eastAsia" w:ascii="仿宋" w:hAnsi="仿宋" w:eastAsia="仿宋"/>
          <w:b/>
          <w:bCs/>
          <w:sz w:val="24"/>
        </w:rPr>
        <w:t>与案例解析</w:t>
      </w:r>
    </w:p>
    <w:p>
      <w:pPr>
        <w:spacing w:line="400" w:lineRule="exact"/>
        <w:ind w:firstLine="480" w:firstLineChars="200"/>
        <w:rPr>
          <w:rFonts w:ascii="仿宋" w:hAnsi="仿宋" w:eastAsia="仿宋"/>
          <w:sz w:val="24"/>
        </w:rPr>
      </w:pPr>
      <w:r>
        <w:rPr>
          <w:rFonts w:hint="eastAsia" w:ascii="仿宋" w:hAnsi="仿宋" w:eastAsia="仿宋"/>
          <w:sz w:val="24"/>
        </w:rPr>
        <w:t>1.深刻分析近年来我国工程总承包的发展现状、存在的突出问题及原因深度分析；</w:t>
      </w:r>
    </w:p>
    <w:p>
      <w:pPr>
        <w:spacing w:line="400" w:lineRule="exact"/>
        <w:ind w:firstLine="480" w:firstLineChars="200"/>
        <w:rPr>
          <w:rFonts w:ascii="仿宋" w:hAnsi="仿宋" w:eastAsia="仿宋"/>
          <w:sz w:val="24"/>
        </w:rPr>
      </w:pPr>
      <w:r>
        <w:rPr>
          <w:rFonts w:hint="eastAsia" w:ascii="仿宋" w:hAnsi="仿宋" w:eastAsia="仿宋"/>
          <w:sz w:val="24"/>
        </w:rPr>
        <w:t>2.《建设项目工程总承包计价规范》的核心内容阐释及实践操作要点；</w:t>
      </w:r>
    </w:p>
    <w:p>
      <w:pPr>
        <w:spacing w:line="400" w:lineRule="exact"/>
        <w:ind w:firstLine="480" w:firstLineChars="200"/>
        <w:rPr>
          <w:rFonts w:ascii="仿宋" w:hAnsi="仿宋" w:eastAsia="仿宋"/>
          <w:sz w:val="24"/>
        </w:rPr>
      </w:pPr>
      <w:r>
        <w:rPr>
          <w:rFonts w:hint="eastAsia" w:ascii="仿宋" w:hAnsi="仿宋" w:eastAsia="仿宋"/>
          <w:sz w:val="24"/>
        </w:rPr>
        <w:t>3.工程总承包合同及造价管理关键疑难点解析及策略，主要包括：</w:t>
      </w:r>
    </w:p>
    <w:p>
      <w:pPr>
        <w:spacing w:line="400" w:lineRule="exact"/>
        <w:ind w:firstLine="480" w:firstLineChars="200"/>
        <w:rPr>
          <w:rFonts w:ascii="仿宋" w:hAnsi="仿宋" w:eastAsia="仿宋"/>
          <w:sz w:val="24"/>
        </w:rPr>
      </w:pPr>
      <w:r>
        <w:rPr>
          <w:rFonts w:hint="eastAsia" w:ascii="仿宋" w:hAnsi="仿宋" w:eastAsia="仿宋"/>
          <w:sz w:val="24"/>
        </w:rPr>
        <w:t>（1）不同类别项目工程总承包的发包阶段、对应的计价基础及计价方式；</w:t>
      </w:r>
    </w:p>
    <w:p>
      <w:pPr>
        <w:spacing w:line="400" w:lineRule="exact"/>
        <w:ind w:firstLine="480" w:firstLineChars="200"/>
        <w:rPr>
          <w:rFonts w:ascii="仿宋" w:hAnsi="仿宋" w:eastAsia="仿宋"/>
          <w:sz w:val="24"/>
        </w:rPr>
      </w:pPr>
      <w:r>
        <w:rPr>
          <w:rFonts w:hint="eastAsia" w:ascii="仿宋" w:hAnsi="仿宋" w:eastAsia="仿宋"/>
          <w:sz w:val="24"/>
        </w:rPr>
        <w:t>（2）总价合同与单价合同的全方位对比分析，不同合同类型下全过程造价管理、工程结算的差异分析及实操要点；</w:t>
      </w:r>
    </w:p>
    <w:p>
      <w:pPr>
        <w:spacing w:line="400" w:lineRule="exact"/>
        <w:ind w:firstLine="480" w:firstLineChars="200"/>
        <w:rPr>
          <w:rFonts w:ascii="仿宋" w:hAnsi="仿宋" w:eastAsia="仿宋"/>
          <w:sz w:val="24"/>
        </w:rPr>
      </w:pPr>
      <w:r>
        <w:rPr>
          <w:rFonts w:hint="eastAsia" w:ascii="仿宋" w:hAnsi="仿宋" w:eastAsia="仿宋"/>
          <w:sz w:val="24"/>
        </w:rPr>
        <w:t>（3）工程总承包合同类型的选择及合理运用；</w:t>
      </w:r>
    </w:p>
    <w:p>
      <w:pPr>
        <w:spacing w:line="400" w:lineRule="exact"/>
        <w:ind w:firstLine="480" w:firstLineChars="200"/>
        <w:rPr>
          <w:rFonts w:ascii="仿宋" w:hAnsi="仿宋" w:eastAsia="仿宋"/>
          <w:sz w:val="24"/>
        </w:rPr>
      </w:pPr>
      <w:r>
        <w:rPr>
          <w:rFonts w:hint="eastAsia" w:ascii="仿宋" w:hAnsi="仿宋" w:eastAsia="仿宋"/>
          <w:sz w:val="24"/>
        </w:rPr>
        <w:t>（4）工程总承包项目的税务筹划理论分析及实际案例；</w:t>
      </w:r>
    </w:p>
    <w:p>
      <w:pPr>
        <w:spacing w:line="400" w:lineRule="exact"/>
        <w:ind w:firstLine="480" w:firstLineChars="200"/>
        <w:rPr>
          <w:rFonts w:ascii="仿宋" w:hAnsi="仿宋" w:eastAsia="仿宋"/>
          <w:sz w:val="24"/>
        </w:rPr>
      </w:pPr>
      <w:r>
        <w:rPr>
          <w:rFonts w:hint="eastAsia" w:ascii="仿宋" w:hAnsi="仿宋" w:eastAsia="仿宋"/>
          <w:sz w:val="24"/>
        </w:rPr>
        <w:t>（5）《发包人要求》编制的组织、内容、深度要求及案例分析；</w:t>
      </w:r>
    </w:p>
    <w:p>
      <w:pPr>
        <w:spacing w:line="400" w:lineRule="exact"/>
        <w:ind w:firstLine="480" w:firstLineChars="200"/>
        <w:rPr>
          <w:rFonts w:ascii="仿宋" w:hAnsi="仿宋" w:eastAsia="仿宋"/>
          <w:sz w:val="24"/>
        </w:rPr>
      </w:pPr>
      <w:r>
        <w:rPr>
          <w:rFonts w:hint="eastAsia" w:ascii="仿宋" w:hAnsi="仿宋" w:eastAsia="仿宋"/>
          <w:sz w:val="24"/>
        </w:rPr>
        <w:t>（6）工程总承包项目招标存在的问题、如何完善招标文件内容；</w:t>
      </w:r>
    </w:p>
    <w:p>
      <w:pPr>
        <w:spacing w:line="400" w:lineRule="exact"/>
        <w:ind w:firstLine="480" w:firstLineChars="200"/>
        <w:rPr>
          <w:rFonts w:ascii="仿宋" w:hAnsi="仿宋" w:eastAsia="仿宋"/>
          <w:sz w:val="24"/>
        </w:rPr>
      </w:pPr>
      <w:r>
        <w:rPr>
          <w:rFonts w:hint="eastAsia" w:ascii="仿宋" w:hAnsi="仿宋" w:eastAsia="仿宋"/>
          <w:sz w:val="24"/>
        </w:rPr>
        <w:t>（7）《发包人要求》和基础资料真实性责任分担及应对；</w:t>
      </w:r>
    </w:p>
    <w:p>
      <w:pPr>
        <w:spacing w:line="400" w:lineRule="exact"/>
        <w:ind w:firstLine="480" w:firstLineChars="200"/>
        <w:rPr>
          <w:rFonts w:ascii="仿宋" w:hAnsi="仿宋" w:eastAsia="仿宋"/>
          <w:sz w:val="24"/>
        </w:rPr>
      </w:pPr>
      <w:r>
        <w:rPr>
          <w:rFonts w:hint="eastAsia" w:ascii="仿宋" w:hAnsi="仿宋" w:eastAsia="仿宋"/>
          <w:sz w:val="24"/>
        </w:rPr>
        <w:t>（8）项目清单与费率下浮两种计价方式的优缺点对比分析及应对；</w:t>
      </w:r>
    </w:p>
    <w:p>
      <w:pPr>
        <w:spacing w:line="400" w:lineRule="exact"/>
        <w:ind w:firstLine="480" w:firstLineChars="200"/>
        <w:rPr>
          <w:rFonts w:ascii="仿宋" w:hAnsi="仿宋" w:eastAsia="仿宋"/>
          <w:sz w:val="24"/>
        </w:rPr>
      </w:pPr>
      <w:r>
        <w:rPr>
          <w:rFonts w:hint="eastAsia" w:ascii="仿宋" w:hAnsi="仿宋" w:eastAsia="仿宋"/>
          <w:sz w:val="24"/>
        </w:rPr>
        <w:t>（9）最高投标限价的编制依据、编制方法及案例，含六种常见的“不一致”引发的结算风险及处理策略；</w:t>
      </w:r>
    </w:p>
    <w:p>
      <w:pPr>
        <w:spacing w:line="400" w:lineRule="exact"/>
        <w:ind w:firstLine="480" w:firstLineChars="200"/>
        <w:rPr>
          <w:rFonts w:ascii="仿宋" w:hAnsi="仿宋" w:eastAsia="仿宋"/>
          <w:sz w:val="24"/>
        </w:rPr>
      </w:pPr>
      <w:r>
        <w:rPr>
          <w:rFonts w:hint="eastAsia" w:ascii="仿宋" w:hAnsi="仿宋" w:eastAsia="仿宋"/>
          <w:sz w:val="24"/>
        </w:rPr>
        <w:t>（10）</w:t>
      </w:r>
      <w:r>
        <w:rPr>
          <w:rFonts w:ascii="仿宋" w:hAnsi="仿宋" w:eastAsia="仿宋"/>
          <w:sz w:val="24"/>
        </w:rPr>
        <w:t>评标定标方法与最高投标限价</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（11）工程总承包项目工程变更的情形、判定及变更价款的确定；</w:t>
      </w:r>
    </w:p>
    <w:p>
      <w:pPr>
        <w:spacing w:line="400" w:lineRule="exact"/>
        <w:ind w:firstLine="480" w:firstLineChars="200"/>
        <w:rPr>
          <w:rFonts w:ascii="仿宋" w:hAnsi="仿宋" w:eastAsia="仿宋"/>
          <w:sz w:val="24"/>
        </w:rPr>
      </w:pPr>
      <w:r>
        <w:rPr>
          <w:rFonts w:hint="eastAsia" w:ascii="仿宋" w:hAnsi="仿宋" w:eastAsia="仿宋"/>
          <w:sz w:val="24"/>
        </w:rPr>
        <w:t>（12）市场价格变化之调值公式法运用的四个关键点、相应风险及应对；</w:t>
      </w:r>
    </w:p>
    <w:p>
      <w:pPr>
        <w:spacing w:line="400" w:lineRule="exact"/>
        <w:ind w:firstLine="480" w:firstLineChars="200"/>
        <w:rPr>
          <w:rFonts w:ascii="仿宋" w:hAnsi="仿宋" w:eastAsia="仿宋"/>
          <w:sz w:val="24"/>
        </w:rPr>
      </w:pPr>
      <w:r>
        <w:rPr>
          <w:rFonts w:hint="eastAsia" w:ascii="仿宋" w:hAnsi="仿宋" w:eastAsia="仿宋"/>
          <w:sz w:val="24"/>
        </w:rPr>
        <w:t>（13）市场价格变化价款调整风险应对；</w:t>
      </w:r>
    </w:p>
    <w:p>
      <w:pPr>
        <w:spacing w:line="400" w:lineRule="exact"/>
        <w:ind w:firstLine="480" w:firstLineChars="200"/>
        <w:rPr>
          <w:rFonts w:ascii="仿宋" w:hAnsi="仿宋" w:eastAsia="仿宋"/>
          <w:sz w:val="24"/>
        </w:rPr>
      </w:pPr>
      <w:r>
        <w:rPr>
          <w:rFonts w:hint="eastAsia" w:ascii="仿宋" w:hAnsi="仿宋" w:eastAsia="仿宋"/>
          <w:sz w:val="24"/>
        </w:rPr>
        <w:t>（14）工程总承包项目在施工过程中国家强制性规范、标准等发生变化其工程价款应否调整；</w:t>
      </w:r>
    </w:p>
    <w:p>
      <w:pPr>
        <w:spacing w:line="400" w:lineRule="exact"/>
        <w:ind w:firstLine="480" w:firstLineChars="200"/>
        <w:rPr>
          <w:rFonts w:ascii="仿宋" w:hAnsi="仿宋" w:eastAsia="仿宋"/>
          <w:sz w:val="24"/>
        </w:rPr>
      </w:pPr>
      <w:r>
        <w:rPr>
          <w:rFonts w:hint="eastAsia" w:ascii="仿宋" w:hAnsi="仿宋" w:eastAsia="仿宋"/>
          <w:sz w:val="24"/>
        </w:rPr>
        <w:t>（15）发包人原因工期延误期间物价波动，如何调整合同价款？</w:t>
      </w:r>
    </w:p>
    <w:p>
      <w:pPr>
        <w:spacing w:line="400" w:lineRule="exact"/>
        <w:ind w:firstLine="480" w:firstLineChars="200"/>
        <w:rPr>
          <w:rFonts w:ascii="仿宋" w:hAnsi="仿宋" w:eastAsia="仿宋"/>
          <w:sz w:val="24"/>
        </w:rPr>
      </w:pPr>
      <w:r>
        <w:rPr>
          <w:rFonts w:hint="eastAsia" w:ascii="仿宋" w:hAnsi="仿宋" w:eastAsia="仿宋"/>
          <w:sz w:val="24"/>
        </w:rPr>
        <w:t>（16）暂估价设置的原则、实践中存在的问题及对策；</w:t>
      </w:r>
    </w:p>
    <w:p>
      <w:pPr>
        <w:spacing w:line="400" w:lineRule="exact"/>
        <w:ind w:firstLine="480" w:firstLineChars="200"/>
      </w:pPr>
      <w:r>
        <w:rPr>
          <w:rFonts w:hint="eastAsia" w:ascii="仿宋" w:hAnsi="仿宋" w:eastAsia="仿宋"/>
          <w:sz w:val="24"/>
        </w:rPr>
        <w:t>（17）材料认价、市场询价的要点及注意事项；</w:t>
      </w:r>
    </w:p>
    <w:p>
      <w:pPr>
        <w:spacing w:line="400" w:lineRule="exact"/>
        <w:ind w:firstLine="480" w:firstLineChars="200"/>
        <w:rPr>
          <w:rFonts w:ascii="仿宋" w:hAnsi="仿宋" w:eastAsia="仿宋"/>
          <w:sz w:val="24"/>
        </w:rPr>
      </w:pPr>
      <w:r>
        <w:rPr>
          <w:rFonts w:hint="eastAsia" w:ascii="仿宋" w:hAnsi="仿宋" w:eastAsia="仿宋"/>
          <w:sz w:val="24"/>
        </w:rPr>
        <w:t>（18）工程签证的要点及注意事项；</w:t>
      </w:r>
    </w:p>
    <w:p>
      <w:pPr>
        <w:spacing w:line="400" w:lineRule="exact"/>
        <w:ind w:firstLine="480" w:firstLineChars="200"/>
        <w:rPr>
          <w:rFonts w:ascii="仿宋" w:hAnsi="仿宋" w:eastAsia="仿宋"/>
          <w:sz w:val="24"/>
        </w:rPr>
      </w:pPr>
      <w:r>
        <w:rPr>
          <w:rFonts w:hint="eastAsia" w:ascii="仿宋" w:hAnsi="仿宋" w:eastAsia="仿宋"/>
          <w:sz w:val="24"/>
        </w:rPr>
        <w:t>（19）限额设计的管理及案例分析；</w:t>
      </w:r>
    </w:p>
    <w:p>
      <w:pPr>
        <w:spacing w:line="400" w:lineRule="exact"/>
        <w:ind w:firstLine="480" w:firstLineChars="200"/>
        <w:rPr>
          <w:rFonts w:ascii="仿宋" w:hAnsi="仿宋" w:eastAsia="仿宋"/>
          <w:sz w:val="24"/>
        </w:rPr>
      </w:pPr>
      <w:r>
        <w:rPr>
          <w:rFonts w:hint="eastAsia" w:ascii="仿宋" w:hAnsi="仿宋" w:eastAsia="仿宋"/>
          <w:sz w:val="24"/>
        </w:rPr>
        <w:t>（20）价格指数等造价指标的积累及成本分析。</w:t>
      </w:r>
    </w:p>
    <w:p>
      <w:pPr>
        <w:pStyle w:val="4"/>
        <w:widowControl/>
        <w:spacing w:before="0" w:beforeAutospacing="0" w:after="0" w:afterAutospacing="0" w:line="360" w:lineRule="auto"/>
        <w:ind w:firstLine="482" w:firstLineChars="200"/>
        <w:rPr>
          <w:rFonts w:hint="default" w:ascii="仿宋" w:hAnsi="仿宋" w:eastAsia="仿宋" w:cs="仿宋"/>
          <w:kern w:val="0"/>
          <w:sz w:val="24"/>
          <w:szCs w:val="24"/>
          <w:lang w:bidi="ar"/>
        </w:rPr>
      </w:pPr>
      <w:r>
        <w:rPr>
          <w:rFonts w:ascii="仿宋" w:hAnsi="仿宋" w:eastAsia="仿宋"/>
          <w:sz w:val="24"/>
          <w:szCs w:val="24"/>
        </w:rPr>
        <w:t>（四）</w:t>
      </w:r>
      <w:r>
        <w:rPr>
          <w:rFonts w:ascii="仿宋" w:hAnsi="仿宋" w:eastAsia="仿宋" w:cs="仿宋"/>
          <w:kern w:val="0"/>
          <w:sz w:val="24"/>
          <w:szCs w:val="24"/>
          <w:lang w:bidi="ar"/>
        </w:rPr>
        <w:t>工程结算及财政评审、审计风险应对实务</w:t>
      </w:r>
    </w:p>
    <w:p>
      <w:pPr>
        <w:spacing w:line="40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w:t>
      </w:r>
      <w:r>
        <w:rPr>
          <w:rFonts w:ascii="仿宋" w:hAnsi="仿宋" w:eastAsia="仿宋"/>
          <w:sz w:val="24"/>
        </w:rPr>
        <w:t>结算策划及风险应对；</w:t>
      </w:r>
    </w:p>
    <w:p>
      <w:pPr>
        <w:spacing w:line="400" w:lineRule="exact"/>
        <w:ind w:firstLine="480" w:firstLineChars="200"/>
        <w:rPr>
          <w:rFonts w:ascii="仿宋" w:hAnsi="仿宋" w:eastAsia="仿宋"/>
          <w:sz w:val="24"/>
        </w:rPr>
      </w:pPr>
      <w:r>
        <w:rPr>
          <w:rFonts w:hint="eastAsia" w:ascii="仿宋" w:hAnsi="仿宋" w:eastAsia="仿宋"/>
          <w:sz w:val="24"/>
        </w:rPr>
        <w:t>2.工程结算争议及风险的防范实务；包括但不限于：造价争议，证据欠缺、计量争议、人工费发生争议、材料价格争议、工期索赔争议、费用索赔争议、暂停施工索赔、赶工费计取、工程签证争议。典型案例包括但不限于：</w:t>
      </w:r>
      <w:r>
        <w:rPr>
          <w:rFonts w:ascii="仿宋" w:hAnsi="仿宋" w:eastAsia="仿宋"/>
          <w:sz w:val="24"/>
        </w:rPr>
        <w:t>安全文明施工措施费计算的争议</w:t>
      </w:r>
      <w:r>
        <w:rPr>
          <w:rFonts w:hint="eastAsia" w:ascii="仿宋" w:hAnsi="仿宋" w:eastAsia="仿宋"/>
          <w:sz w:val="24"/>
        </w:rPr>
        <w:t>，</w:t>
      </w:r>
      <w:r>
        <w:rPr>
          <w:rFonts w:ascii="仿宋" w:hAnsi="仿宋" w:eastAsia="仿宋"/>
          <w:sz w:val="24"/>
        </w:rPr>
        <w:t>关于市场询价的材料、设备的计价争议</w:t>
      </w:r>
      <w:r>
        <w:rPr>
          <w:rFonts w:hint="eastAsia" w:ascii="仿宋" w:hAnsi="仿宋" w:eastAsia="仿宋"/>
          <w:sz w:val="24"/>
        </w:rPr>
        <w:t>，</w:t>
      </w:r>
      <w:r>
        <w:rPr>
          <w:rFonts w:ascii="仿宋" w:hAnsi="仿宋" w:eastAsia="仿宋"/>
          <w:sz w:val="24"/>
        </w:rPr>
        <w:t>淤泥固化专业工程暂估价结算的争议</w:t>
      </w:r>
      <w:r>
        <w:rPr>
          <w:rFonts w:hint="eastAsia" w:ascii="仿宋" w:hAnsi="仿宋" w:eastAsia="仿宋"/>
          <w:sz w:val="24"/>
        </w:rPr>
        <w:t>，</w:t>
      </w:r>
      <w:r>
        <w:rPr>
          <w:rFonts w:ascii="仿宋" w:hAnsi="仿宋" w:eastAsia="仿宋"/>
          <w:sz w:val="24"/>
        </w:rPr>
        <w:t>抢险应急项目计价争议</w:t>
      </w:r>
      <w:r>
        <w:rPr>
          <w:rFonts w:hint="eastAsia" w:ascii="仿宋" w:hAnsi="仿宋" w:eastAsia="仿宋"/>
          <w:sz w:val="24"/>
        </w:rPr>
        <w:t>，</w:t>
      </w:r>
      <w:r>
        <w:rPr>
          <w:rFonts w:ascii="仿宋" w:hAnsi="仿宋" w:eastAsia="仿宋"/>
          <w:sz w:val="24"/>
        </w:rPr>
        <w:t>专业定制产品材料价格调整的争议</w:t>
      </w:r>
      <w:r>
        <w:rPr>
          <w:rFonts w:hint="eastAsia" w:ascii="仿宋" w:hAnsi="仿宋" w:eastAsia="仿宋"/>
          <w:sz w:val="24"/>
        </w:rPr>
        <w:t>，</w:t>
      </w:r>
      <w:r>
        <w:rPr>
          <w:rFonts w:ascii="仿宋" w:hAnsi="仿宋" w:eastAsia="仿宋"/>
          <w:sz w:val="24"/>
        </w:rPr>
        <w:t>沟槽土方转运费用问题的争议</w:t>
      </w:r>
      <w:r>
        <w:rPr>
          <w:rFonts w:hint="eastAsia" w:ascii="仿宋" w:hAnsi="仿宋" w:eastAsia="仿宋"/>
          <w:sz w:val="24"/>
        </w:rPr>
        <w:t>等等。</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《建设项目过程结算管理标准》核心内容及过程结算实务</w:t>
      </w:r>
      <w:r>
        <w:rPr>
          <w:rFonts w:hint="eastAsia" w:ascii="仿宋" w:hAnsi="仿宋" w:eastAsia="仿宋"/>
          <w:sz w:val="24"/>
        </w:rPr>
        <w:t>，主要包括：</w:t>
      </w:r>
    </w:p>
    <w:p>
      <w:pPr>
        <w:spacing w:line="400" w:lineRule="exact"/>
        <w:ind w:firstLine="480" w:firstLineChars="200"/>
        <w:rPr>
          <w:rFonts w:ascii="仿宋" w:hAnsi="仿宋" w:eastAsia="仿宋"/>
          <w:sz w:val="24"/>
        </w:rPr>
      </w:pPr>
      <w:r>
        <w:rPr>
          <w:rFonts w:hint="eastAsia" w:ascii="仿宋" w:hAnsi="仿宋" w:eastAsia="仿宋"/>
          <w:sz w:val="24"/>
        </w:rPr>
        <w:t>过程结算对发承包双方的现实意义、法规政策要求、过程结算的性质、过程结算的策划、节点划分的原则、过程结算的范围、结算资料的管理、专用合同条款的拟定等，过程结算典型案例</w:t>
      </w:r>
      <w:r>
        <w:rPr>
          <w:rFonts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工程结算、财政评审与政府审计</w:t>
      </w:r>
      <w:r>
        <w:rPr>
          <w:rFonts w:hint="eastAsia" w:ascii="仿宋" w:hAnsi="仿宋" w:eastAsia="仿宋"/>
          <w:sz w:val="24"/>
        </w:rPr>
        <w:t>10个</w:t>
      </w:r>
      <w:r>
        <w:rPr>
          <w:rFonts w:ascii="仿宋" w:hAnsi="仿宋" w:eastAsia="仿宋"/>
          <w:sz w:val="24"/>
        </w:rPr>
        <w:t>疑难问题与案例解析。</w:t>
      </w:r>
    </w:p>
    <w:p>
      <w:pPr>
        <w:spacing w:line="400" w:lineRule="exact"/>
        <w:rPr>
          <w:rFonts w:ascii="仿宋" w:hAnsi="仿宋" w:eastAsia="仿宋"/>
          <w:b/>
          <w:bCs/>
          <w:sz w:val="24"/>
        </w:rPr>
      </w:pPr>
      <w:r>
        <w:rPr>
          <w:rFonts w:hint="eastAsia" w:ascii="仿宋" w:hAnsi="仿宋" w:eastAsia="仿宋"/>
          <w:b/>
          <w:bCs/>
          <w:sz w:val="24"/>
        </w:rPr>
        <w:t>二、培训对象</w:t>
      </w:r>
    </w:p>
    <w:p>
      <w:pPr>
        <w:spacing w:line="400" w:lineRule="exact"/>
        <w:ind w:firstLine="480" w:firstLineChars="200"/>
        <w:rPr>
          <w:rFonts w:ascii="仿宋" w:hAnsi="仿宋" w:eastAsia="仿宋"/>
          <w:sz w:val="24"/>
        </w:rPr>
      </w:pPr>
      <w:r>
        <w:rPr>
          <w:rFonts w:hint="eastAsia" w:ascii="仿宋" w:hAnsi="仿宋" w:eastAsia="仿宋"/>
          <w:sz w:val="24"/>
        </w:rPr>
        <w:t>建设单位、施工企业、招标造价类中介咨询机构的董事长、总经理等企业管理者，从事招标投标、合约管理、企业法务、项目管理的专业技术人员；高等院校从事工程管理、工程招投标、工程法律的教学与科研人员；招投标行政主管部门等。</w:t>
      </w:r>
    </w:p>
    <w:p>
      <w:pPr>
        <w:spacing w:line="360" w:lineRule="auto"/>
        <w:rPr>
          <w:rFonts w:ascii="仿宋" w:hAnsi="仿宋" w:eastAsia="仿宋" w:cs="仿宋"/>
          <w:kern w:val="0"/>
          <w:sz w:val="24"/>
          <w:lang w:bidi="ar"/>
        </w:rPr>
      </w:pPr>
      <w:r>
        <w:rPr>
          <w:rFonts w:hint="eastAsia" w:ascii="仿宋" w:hAnsi="仿宋" w:eastAsia="仿宋" w:cs="仿宋"/>
          <w:b/>
          <w:bCs/>
          <w:kern w:val="0"/>
          <w:sz w:val="24"/>
          <w:lang w:bidi="ar"/>
        </w:rPr>
        <w:t>三、时间地点</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 xml:space="preserve">2023年12月21日-23日 （21日全天报到）  </w:t>
      </w:r>
      <w:r>
        <w:rPr>
          <w:rFonts w:hint="eastAsia" w:ascii="仿宋" w:hAnsi="仿宋" w:eastAsia="仿宋" w:cs="仿宋"/>
          <w:kern w:val="0"/>
          <w:sz w:val="24"/>
          <w:lang w:val="en-US" w:eastAsia="zh-CN" w:bidi="ar"/>
        </w:rPr>
        <w:t>深圳</w:t>
      </w:r>
      <w:r>
        <w:rPr>
          <w:rFonts w:hint="eastAsia" w:ascii="仿宋" w:hAnsi="仿宋" w:eastAsia="仿宋" w:cs="仿宋"/>
          <w:kern w:val="0"/>
          <w:sz w:val="24"/>
          <w:lang w:bidi="ar"/>
        </w:rPr>
        <w:t>市</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2024年01月18日-20日 （18日全天报到）  郑州市</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具体地点于开班前一周通知。</w:t>
      </w:r>
    </w:p>
    <w:p>
      <w:pPr>
        <w:spacing w:line="360" w:lineRule="auto"/>
        <w:rPr>
          <w:rFonts w:ascii="仿宋" w:hAnsi="仿宋" w:eastAsia="仿宋" w:cs="仿宋"/>
          <w:b/>
          <w:bCs/>
          <w:kern w:val="0"/>
          <w:sz w:val="24"/>
          <w:lang w:bidi="ar"/>
        </w:rPr>
      </w:pPr>
      <w:r>
        <w:rPr>
          <w:rFonts w:hint="eastAsia" w:ascii="仿宋" w:hAnsi="仿宋" w:eastAsia="仿宋" w:cs="仿宋"/>
          <w:b/>
          <w:bCs/>
          <w:kern w:val="0"/>
          <w:sz w:val="24"/>
          <w:lang w:bidi="ar"/>
        </w:rPr>
        <w:t>四、相关费用</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A.2200元/人（含培训费、资料费、电子课件、场地、会议期间午餐），住宿统一安排，费用自理。</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B.5680元/人（含全过程工程咨询师(高级、中级)证书及网上学习3天专业课程、资料费、电子课件、会议期间午餐），住宿统一安排，费用自理。</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C.4800元/人（含全过程工程咨询师(高级、中级)证书及网上学习3天课程）。</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备注：申报证书需提供报名表一份、2寸照电子照片（蓝底免冠彩照）、身份证复印件一份、学历证书复印件一份，在职单位证明（原件）一份，审核通过后出准考证，每个月最后一个周末为网上考试时间。</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颁证机构：</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国家职业资格培训鉴定实验基地（http://www.nptb.org/）是人力资源和社会保障部在天津建立的综合性职业标准开发机构，主要承担国家新职业标准研发和推广任务，开展培训鉴定实验项目和课题研究，进行新职业教材和课程设计，建立新职业考核标准、考试题库。</w:t>
      </w:r>
    </w:p>
    <w:p>
      <w:pPr>
        <w:spacing w:line="360" w:lineRule="auto"/>
        <w:rPr>
          <w:rFonts w:ascii="仿宋" w:hAnsi="仿宋" w:eastAsia="仿宋" w:cs="仿宋"/>
          <w:b/>
          <w:bCs/>
          <w:kern w:val="0"/>
          <w:sz w:val="24"/>
          <w:lang w:bidi="ar"/>
        </w:rPr>
      </w:pPr>
      <w:r>
        <w:rPr>
          <w:rFonts w:hint="eastAsia" w:ascii="仿宋" w:hAnsi="仿宋" w:eastAsia="仿宋" w:cs="仿宋"/>
          <w:b/>
          <w:bCs/>
          <w:kern w:val="0"/>
          <w:sz w:val="24"/>
          <w:lang w:bidi="ar"/>
        </w:rPr>
        <w:t>五、联系方式</w:t>
      </w:r>
    </w:p>
    <w:p>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 xml:space="preserve">报名负责人：聂红军 主任18211071700（微信）   </w:t>
      </w:r>
    </w:p>
    <w:p>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 xml:space="preserve">电  话：13141289128        邮    箱：zqgphwz@126.com  </w:t>
      </w:r>
    </w:p>
    <w:p>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qq咨询：3177524020        网    址：http://www.zqgpchina.cn</w:t>
      </w:r>
      <w:r>
        <w:rPr>
          <w:rFonts w:hint="eastAsia" w:ascii="仿宋" w:hAnsi="仿宋" w:eastAsia="仿宋" w:cs="仿宋"/>
          <w:kern w:val="0"/>
          <w:sz w:val="24"/>
          <w:lang w:bidi="ar"/>
        </w:rPr>
        <w:drawing>
          <wp:anchor distT="0" distB="0" distL="114300" distR="114300" simplePos="0" relativeHeight="251660288" behindDoc="1" locked="0" layoutInCell="1" allowOverlap="1">
            <wp:simplePos x="0" y="0"/>
            <wp:positionH relativeFrom="column">
              <wp:posOffset>3258820</wp:posOffset>
            </wp:positionH>
            <wp:positionV relativeFrom="paragraph">
              <wp:posOffset>248285</wp:posOffset>
            </wp:positionV>
            <wp:extent cx="2679700" cy="1905000"/>
            <wp:effectExtent l="0" t="0" r="0" b="0"/>
            <wp:wrapNone/>
            <wp:docPr id="3" name="图片 3" descr="建术公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术公章12"/>
                    <pic:cNvPicPr>
                      <a:picLocks noChangeAspect="1"/>
                    </pic:cNvPicPr>
                  </pic:nvPicPr>
                  <pic:blipFill>
                    <a:blip r:embed="rId4"/>
                    <a:stretch>
                      <a:fillRect/>
                    </a:stretch>
                  </pic:blipFill>
                  <pic:spPr>
                    <a:xfrm>
                      <a:off x="0" y="0"/>
                      <a:ext cx="2679700" cy="1905000"/>
                    </a:xfrm>
                    <a:prstGeom prst="rect">
                      <a:avLst/>
                    </a:prstGeom>
                    <a:noFill/>
                    <a:ln>
                      <a:noFill/>
                    </a:ln>
                  </pic:spPr>
                </pic:pic>
              </a:graphicData>
            </a:graphic>
          </wp:anchor>
        </w:drawing>
      </w:r>
    </w:p>
    <w:p>
      <w:pPr>
        <w:rPr>
          <w:rFonts w:ascii="仿宋" w:hAnsi="仿宋" w:eastAsia="仿宋" w:cs="仿宋"/>
          <w:kern w:val="0"/>
          <w:sz w:val="24"/>
          <w:lang w:bidi="ar"/>
        </w:rPr>
      </w:pPr>
    </w:p>
    <w:p>
      <w:pPr>
        <w:rPr>
          <w:rFonts w:ascii="仿宋" w:hAnsi="仿宋" w:eastAsia="仿宋" w:cs="仿宋"/>
          <w:kern w:val="0"/>
          <w:sz w:val="24"/>
          <w:lang w:bidi="ar"/>
        </w:rPr>
      </w:pPr>
    </w:p>
    <w:p>
      <w:pPr>
        <w:pStyle w:val="2"/>
        <w:rPr>
          <w:rFonts w:ascii="仿宋" w:hAnsi="仿宋" w:eastAsia="仿宋" w:cs="仿宋"/>
          <w:kern w:val="0"/>
          <w:sz w:val="24"/>
          <w:lang w:bidi="ar"/>
        </w:rPr>
      </w:pPr>
    </w:p>
    <w:p>
      <w:pPr>
        <w:pStyle w:val="2"/>
        <w:rPr>
          <w:rFonts w:ascii="仿宋" w:hAnsi="仿宋" w:eastAsia="仿宋" w:cs="仿宋"/>
          <w:kern w:val="0"/>
          <w:sz w:val="24"/>
          <w:lang w:bidi="ar"/>
        </w:rPr>
      </w:pPr>
    </w:p>
    <w:p>
      <w:pPr>
        <w:jc w:val="right"/>
      </w:pPr>
      <w:r>
        <w:rPr>
          <w:rFonts w:hint="eastAsia" w:ascii="仿宋" w:hAnsi="仿宋" w:eastAsia="仿宋" w:cs="仿宋"/>
          <w:kern w:val="0"/>
          <w:sz w:val="24"/>
          <w:lang w:bidi="ar"/>
        </w:rPr>
        <w:t>北京建术信息科技研究院有限公司</w:t>
      </w:r>
    </w:p>
    <w:p>
      <w:pPr>
        <w:ind w:right="480"/>
        <w:jc w:val="center"/>
        <w:rPr>
          <w:rFonts w:ascii="仿宋" w:hAnsi="仿宋" w:eastAsia="仿宋" w:cs="仿宋"/>
        </w:rPr>
      </w:pPr>
      <w:r>
        <w:rPr>
          <w:rFonts w:hint="eastAsia" w:ascii="仿宋" w:hAnsi="仿宋" w:eastAsia="仿宋" w:cs="仿宋"/>
          <w:kern w:val="0"/>
          <w:sz w:val="24"/>
          <w:lang w:bidi="ar"/>
        </w:rPr>
        <w:t xml:space="preserve">                                                2023年9月20日</w:t>
      </w:r>
    </w:p>
    <w:p>
      <w:pPr>
        <w:spacing w:line="400" w:lineRule="exact"/>
        <w:ind w:right="80" w:rightChars="38"/>
        <w:rPr>
          <w:rStyle w:val="12"/>
          <w:rFonts w:ascii="黑体" w:hAnsi="黑体" w:eastAsia="黑体" w:cs="宋体"/>
          <w:color w:val="000000"/>
          <w:sz w:val="28"/>
          <w:szCs w:val="28"/>
        </w:rPr>
      </w:pPr>
    </w:p>
    <w:p>
      <w:pPr>
        <w:spacing w:line="400" w:lineRule="exact"/>
        <w:ind w:right="80" w:rightChars="38"/>
        <w:rPr>
          <w:rStyle w:val="12"/>
          <w:rFonts w:ascii="黑体" w:hAnsi="黑体" w:eastAsia="黑体" w:cs="宋体"/>
          <w:color w:val="000000"/>
          <w:sz w:val="28"/>
          <w:szCs w:val="28"/>
        </w:rPr>
      </w:pPr>
    </w:p>
    <w:p>
      <w:pPr>
        <w:pStyle w:val="2"/>
        <w:ind w:firstLine="480"/>
      </w:pPr>
    </w:p>
    <w:p>
      <w:pPr>
        <w:pStyle w:val="2"/>
        <w:ind w:left="0" w:leftChars="0" w:firstLine="0" w:firstLineChars="0"/>
        <w:rPr>
          <w:rFonts w:hint="eastAsia"/>
        </w:rPr>
      </w:pPr>
    </w:p>
    <w:p>
      <w:pPr>
        <w:pStyle w:val="2"/>
        <w:ind w:left="0" w:leftChars="0" w:firstLine="0" w:firstLineChars="0"/>
        <w:rPr>
          <w:rFonts w:hint="eastAsia"/>
        </w:rPr>
      </w:pPr>
      <w:bookmarkStart w:id="0" w:name="_GoBack"/>
      <w:bookmarkEnd w:id="0"/>
    </w:p>
    <w:p>
      <w:pPr>
        <w:pStyle w:val="2"/>
        <w:ind w:firstLine="480"/>
        <w:rPr>
          <w:rFonts w:hint="eastAsia"/>
        </w:rPr>
      </w:pPr>
    </w:p>
    <w:p>
      <w:pPr>
        <w:spacing w:line="400" w:lineRule="exact"/>
        <w:ind w:right="80" w:rightChars="38"/>
        <w:rPr>
          <w:rFonts w:ascii="黑体" w:hAnsi="黑体" w:eastAsia="黑体" w:cs="Arial"/>
          <w:color w:val="000000"/>
          <w:sz w:val="32"/>
          <w:szCs w:val="32"/>
        </w:rPr>
      </w:pPr>
      <w:r>
        <w:rPr>
          <w:rStyle w:val="12"/>
          <w:rFonts w:hint="eastAsia" w:ascii="黑体" w:hAnsi="黑体" w:eastAsia="黑体" w:cs="宋体"/>
          <w:color w:val="000000"/>
          <w:sz w:val="28"/>
          <w:szCs w:val="28"/>
        </w:rPr>
        <w:t>附件</w:t>
      </w:r>
      <w:r>
        <w:rPr>
          <w:rStyle w:val="12"/>
          <w:rFonts w:ascii="黑体" w:hAnsi="黑体" w:eastAsia="黑体" w:cs="宋体"/>
          <w:color w:val="000000"/>
          <w:sz w:val="28"/>
          <w:szCs w:val="28"/>
        </w:rPr>
        <w:t>2</w:t>
      </w:r>
      <w:r>
        <w:rPr>
          <w:rStyle w:val="12"/>
          <w:rFonts w:hint="eastAsia" w:ascii="黑体" w:hAnsi="黑体" w:eastAsia="黑体" w:cs="宋体"/>
          <w:color w:val="000000"/>
          <w:sz w:val="28"/>
          <w:szCs w:val="28"/>
        </w:rPr>
        <w:t>：</w:t>
      </w:r>
      <w:r>
        <w:rPr>
          <w:rStyle w:val="12"/>
          <w:rFonts w:ascii="黑体" w:hAnsi="黑体" w:eastAsia="黑体" w:cs="宋体"/>
          <w:color w:val="000000"/>
          <w:sz w:val="28"/>
          <w:szCs w:val="28"/>
        </w:rPr>
        <w:t xml:space="preserve">                   </w:t>
      </w:r>
      <w:r>
        <w:rPr>
          <w:rFonts w:hint="eastAsia" w:ascii="黑体" w:hAnsi="黑体" w:eastAsia="黑体" w:cs="Arial"/>
          <w:color w:val="000000"/>
          <w:sz w:val="32"/>
          <w:szCs w:val="32"/>
        </w:rPr>
        <w:t>报名回执表</w:t>
      </w:r>
    </w:p>
    <w:tbl>
      <w:tblPr>
        <w:tblStyle w:val="10"/>
        <w:tblpPr w:leftFromText="180" w:rightFromText="180" w:vertAnchor="text" w:horzAnchor="page" w:tblpXSpec="center" w:tblpY="187"/>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35"/>
        <w:gridCol w:w="1208"/>
        <w:gridCol w:w="1417"/>
        <w:gridCol w:w="807"/>
        <w:gridCol w:w="1175"/>
        <w:gridCol w:w="50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单位名称</w:t>
            </w:r>
          </w:p>
        </w:tc>
        <w:tc>
          <w:tcPr>
            <w:tcW w:w="4371" w:type="dxa"/>
            <w:gridSpan w:val="4"/>
            <w:noWrap/>
            <w:vAlign w:val="center"/>
          </w:tcPr>
          <w:p>
            <w:pPr>
              <w:spacing w:line="360" w:lineRule="exact"/>
              <w:ind w:right="80" w:rightChars="38"/>
              <w:rPr>
                <w:rFonts w:ascii="仿宋" w:hAnsi="仿宋" w:eastAsia="仿宋" w:cs="仿宋"/>
                <w:bCs/>
                <w:sz w:val="24"/>
              </w:rPr>
            </w:pPr>
          </w:p>
        </w:tc>
        <w:tc>
          <w:tcPr>
            <w:tcW w:w="1176"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邮编</w:t>
            </w:r>
          </w:p>
        </w:tc>
        <w:tc>
          <w:tcPr>
            <w:tcW w:w="1447" w:type="dxa"/>
            <w:gridSpan w:val="2"/>
            <w:noWrap/>
            <w:vAlign w:val="center"/>
          </w:tcPr>
          <w:p>
            <w:pPr>
              <w:spacing w:line="360" w:lineRule="exact"/>
              <w:ind w:left="149" w:right="80" w:rightChars="38" w:hanging="148" w:hangingChars="62"/>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详细地址</w:t>
            </w:r>
          </w:p>
        </w:tc>
        <w:tc>
          <w:tcPr>
            <w:tcW w:w="6994" w:type="dxa"/>
            <w:gridSpan w:val="7"/>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联系人</w:t>
            </w:r>
          </w:p>
        </w:tc>
        <w:tc>
          <w:tcPr>
            <w:tcW w:w="3563" w:type="dxa"/>
            <w:gridSpan w:val="3"/>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keepNext/>
              <w:spacing w:line="360" w:lineRule="exact"/>
              <w:ind w:right="80" w:rightChars="38"/>
              <w:outlineLvl w:val="0"/>
              <w:rPr>
                <w:rFonts w:ascii="仿宋" w:hAnsi="仿宋" w:eastAsia="仿宋" w:cs="仿宋"/>
                <w:bCs/>
                <w:sz w:val="24"/>
              </w:rPr>
            </w:pPr>
            <w:r>
              <w:rPr>
                <w:rFonts w:hint="eastAsia" w:ascii="仿宋" w:hAnsi="仿宋" w:eastAsia="仿宋" w:cs="仿宋"/>
                <w:bCs/>
                <w:sz w:val="24"/>
              </w:rPr>
              <w:t>E-mail</w:t>
            </w: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电话（区号）</w:t>
            </w:r>
          </w:p>
        </w:tc>
        <w:tc>
          <w:tcPr>
            <w:tcW w:w="3563" w:type="dxa"/>
            <w:gridSpan w:val="3"/>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传真</w:t>
            </w: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参班代表姓名</w:t>
            </w:r>
          </w:p>
        </w:tc>
        <w:tc>
          <w:tcPr>
            <w:tcW w:w="936"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性别</w:t>
            </w:r>
          </w:p>
        </w:tc>
        <w:tc>
          <w:tcPr>
            <w:tcW w:w="1209"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部门</w:t>
            </w:r>
          </w:p>
        </w:tc>
        <w:tc>
          <w:tcPr>
            <w:tcW w:w="1418" w:type="dxa"/>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职务</w:t>
            </w:r>
          </w:p>
        </w:tc>
        <w:tc>
          <w:tcPr>
            <w:tcW w:w="1984" w:type="dxa"/>
            <w:gridSpan w:val="2"/>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手机</w:t>
            </w:r>
          </w:p>
        </w:tc>
        <w:tc>
          <w:tcPr>
            <w:tcW w:w="1447" w:type="dxa"/>
            <w:gridSpan w:val="2"/>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ind w:right="80" w:rightChars="38"/>
              <w:rPr>
                <w:rFonts w:ascii="仿宋" w:hAnsi="仿宋" w:eastAsia="仿宋" w:cs="仿宋"/>
                <w:bCs/>
                <w:sz w:val="24"/>
              </w:rPr>
            </w:pPr>
          </w:p>
        </w:tc>
        <w:tc>
          <w:tcPr>
            <w:tcW w:w="936" w:type="dxa"/>
            <w:noWrap/>
            <w:vAlign w:val="center"/>
          </w:tcPr>
          <w:p>
            <w:pPr>
              <w:spacing w:line="360" w:lineRule="exact"/>
              <w:ind w:right="80" w:rightChars="38"/>
              <w:rPr>
                <w:rFonts w:ascii="仿宋" w:hAnsi="仿宋" w:eastAsia="仿宋" w:cs="仿宋"/>
                <w:bCs/>
                <w:sz w:val="24"/>
              </w:rPr>
            </w:pPr>
          </w:p>
        </w:tc>
        <w:tc>
          <w:tcPr>
            <w:tcW w:w="1209" w:type="dxa"/>
            <w:noWrap/>
            <w:vAlign w:val="center"/>
          </w:tcPr>
          <w:p>
            <w:pPr>
              <w:spacing w:line="360" w:lineRule="exact"/>
              <w:ind w:right="80" w:rightChars="38"/>
              <w:rPr>
                <w:rFonts w:ascii="仿宋" w:hAnsi="仿宋" w:eastAsia="仿宋" w:cs="仿宋"/>
                <w:bCs/>
                <w:sz w:val="24"/>
              </w:rPr>
            </w:pPr>
          </w:p>
        </w:tc>
        <w:tc>
          <w:tcPr>
            <w:tcW w:w="1418" w:type="dxa"/>
            <w:noWrap/>
            <w:vAlign w:val="center"/>
          </w:tcPr>
          <w:p>
            <w:pPr>
              <w:spacing w:line="360" w:lineRule="exact"/>
              <w:ind w:right="80" w:rightChars="38"/>
              <w:rPr>
                <w:rFonts w:ascii="仿宋" w:hAnsi="仿宋" w:eastAsia="仿宋" w:cs="仿宋"/>
                <w:bCs/>
                <w:sz w:val="24"/>
              </w:rPr>
            </w:pPr>
          </w:p>
        </w:tc>
        <w:tc>
          <w:tcPr>
            <w:tcW w:w="1984" w:type="dxa"/>
            <w:gridSpan w:val="2"/>
            <w:noWrap/>
            <w:vAlign w:val="center"/>
          </w:tcPr>
          <w:p>
            <w:pPr>
              <w:spacing w:line="360" w:lineRule="exact"/>
              <w:ind w:right="80" w:rightChars="38"/>
              <w:rPr>
                <w:rFonts w:ascii="仿宋" w:hAnsi="仿宋" w:eastAsia="仿宋" w:cs="仿宋"/>
                <w:bCs/>
                <w:sz w:val="24"/>
              </w:rPr>
            </w:pPr>
          </w:p>
        </w:tc>
        <w:tc>
          <w:tcPr>
            <w:tcW w:w="1447" w:type="dxa"/>
            <w:gridSpan w:val="2"/>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住宿安排</w:t>
            </w:r>
          </w:p>
        </w:tc>
        <w:tc>
          <w:tcPr>
            <w:tcW w:w="6994" w:type="dxa"/>
            <w:gridSpan w:val="7"/>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参会地点</w:t>
            </w:r>
          </w:p>
        </w:tc>
        <w:tc>
          <w:tcPr>
            <w:tcW w:w="4365" w:type="dxa"/>
            <w:gridSpan w:val="4"/>
            <w:noWrap/>
            <w:vAlign w:val="center"/>
          </w:tcPr>
          <w:p>
            <w:pPr>
              <w:spacing w:line="360" w:lineRule="exact"/>
              <w:ind w:right="80" w:rightChars="38"/>
              <w:jc w:val="center"/>
              <w:rPr>
                <w:rFonts w:ascii="仿宋" w:hAnsi="仿宋" w:eastAsia="仿宋" w:cs="仿宋"/>
                <w:bCs/>
                <w:sz w:val="24"/>
              </w:rPr>
            </w:pPr>
            <w:r>
              <w:rPr>
                <w:rFonts w:hint="eastAsia" w:ascii="仿宋" w:hAnsi="仿宋" w:eastAsia="仿宋" w:cs="仿宋"/>
                <w:bCs/>
                <w:sz w:val="24"/>
              </w:rPr>
              <w:t xml:space="preserve"> □杭州 □</w:t>
            </w:r>
            <w:r>
              <w:rPr>
                <w:rFonts w:hint="eastAsia" w:ascii="仿宋" w:hAnsi="仿宋" w:eastAsia="仿宋" w:cs="仿宋"/>
                <w:bCs/>
                <w:sz w:val="24"/>
                <w:lang w:val="en-US" w:eastAsia="zh-CN"/>
              </w:rPr>
              <w:t>深圳</w:t>
            </w:r>
            <w:r>
              <w:rPr>
                <w:rFonts w:hint="eastAsia" w:ascii="仿宋" w:hAnsi="仿宋" w:eastAsia="仿宋" w:cs="仿宋"/>
                <w:bCs/>
                <w:sz w:val="24"/>
              </w:rPr>
              <w:t xml:space="preserve"> □郑州</w:t>
            </w:r>
          </w:p>
        </w:tc>
        <w:tc>
          <w:tcPr>
            <w:tcW w:w="1680" w:type="dxa"/>
            <w:gridSpan w:val="2"/>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培训费用</w:t>
            </w:r>
          </w:p>
        </w:tc>
        <w:tc>
          <w:tcPr>
            <w:tcW w:w="949" w:type="dxa"/>
            <w:noWrap/>
            <w:vAlign w:val="center"/>
          </w:tcPr>
          <w:p>
            <w:pPr>
              <w:spacing w:line="360" w:lineRule="exact"/>
              <w:ind w:right="80" w:rightChars="38"/>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付款方式</w:t>
            </w:r>
          </w:p>
        </w:tc>
        <w:tc>
          <w:tcPr>
            <w:tcW w:w="6994" w:type="dxa"/>
            <w:gridSpan w:val="7"/>
            <w:noWrap/>
            <w:vAlign w:val="center"/>
          </w:tcPr>
          <w:p>
            <w:pPr>
              <w:spacing w:line="360" w:lineRule="exact"/>
              <w:ind w:right="80" w:rightChars="38" w:firstLine="240" w:firstLineChars="100"/>
              <w:rPr>
                <w:rFonts w:ascii="仿宋" w:hAnsi="仿宋" w:eastAsia="仿宋" w:cs="仿宋"/>
                <w:bCs/>
                <w:sz w:val="24"/>
              </w:rPr>
            </w:pPr>
            <w:r>
              <w:rPr>
                <w:rFonts w:hint="eastAsia" w:ascii="仿宋" w:hAnsi="仿宋" w:eastAsia="仿宋" w:cs="仿宋"/>
                <w:bCs/>
                <w:sz w:val="24"/>
              </w:rPr>
              <w:t>□通过银行        □刷卡      □现金   □微信/支付宝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6994" w:type="dxa"/>
            <w:gridSpan w:val="7"/>
            <w:noWrap/>
          </w:tcPr>
          <w:p>
            <w:pPr>
              <w:ind w:right="80" w:rightChars="38"/>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pPr>
              <w:ind w:right="80" w:rightChars="38"/>
              <w:rPr>
                <w:rFonts w:ascii="仿宋" w:hAnsi="仿宋" w:eastAsia="仿宋" w:cs="仿宋"/>
                <w:b/>
                <w:bCs/>
                <w:sz w:val="24"/>
              </w:rPr>
            </w:pPr>
            <w:r>
              <w:rPr>
                <w:rFonts w:hint="eastAsia" w:ascii="仿宋" w:hAnsi="仿宋" w:eastAsia="仿宋" w:cs="仿宋"/>
                <w:b/>
                <w:bCs/>
                <w:sz w:val="24"/>
              </w:rPr>
              <w:t>单 位 名 称：</w:t>
            </w:r>
          </w:p>
          <w:p>
            <w:pPr>
              <w:ind w:right="80" w:rightChars="38"/>
              <w:rPr>
                <w:rFonts w:ascii="仿宋" w:hAnsi="仿宋" w:eastAsia="仿宋" w:cs="仿宋"/>
                <w:b/>
                <w:bCs/>
                <w:sz w:val="24"/>
              </w:rPr>
            </w:pPr>
            <w:r>
              <w:rPr>
                <w:rFonts w:hint="eastAsia" w:ascii="仿宋" w:hAnsi="仿宋" w:eastAsia="仿宋" w:cs="仿宋"/>
                <w:b/>
                <w:bCs/>
                <w:sz w:val="24"/>
              </w:rPr>
              <w:t>税       号：</w:t>
            </w:r>
          </w:p>
          <w:p>
            <w:pPr>
              <w:ind w:right="80" w:rightChars="38"/>
              <w:rPr>
                <w:rFonts w:ascii="仿宋" w:hAnsi="仿宋" w:eastAsia="仿宋" w:cs="仿宋"/>
                <w:b/>
                <w:bCs/>
                <w:sz w:val="24"/>
              </w:rPr>
            </w:pPr>
            <w:r>
              <w:rPr>
                <w:rFonts w:hint="eastAsia" w:ascii="仿宋" w:hAnsi="仿宋" w:eastAsia="仿宋" w:cs="仿宋"/>
                <w:b/>
                <w:bCs/>
                <w:sz w:val="24"/>
              </w:rPr>
              <w:t>地址、 电话：</w:t>
            </w:r>
          </w:p>
          <w:p>
            <w:pPr>
              <w:ind w:right="80" w:rightChars="38"/>
              <w:rPr>
                <w:rFonts w:ascii="仿宋" w:hAnsi="仿宋" w:eastAsia="仿宋" w:cs="仿宋"/>
                <w:bCs/>
                <w:sz w:val="24"/>
              </w:rPr>
            </w:pPr>
            <w:r>
              <w:rPr>
                <w:rFonts w:hint="eastAsia" w:ascii="仿宋" w:hAnsi="仿宋" w:eastAsia="仿宋" w:cs="仿宋"/>
                <w:b/>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spacing w:line="360" w:lineRule="exact"/>
              <w:ind w:right="80" w:rightChars="38"/>
              <w:rPr>
                <w:rFonts w:ascii="仿宋" w:hAnsi="仿宋" w:eastAsia="仿宋" w:cs="仿宋"/>
                <w:bCs/>
                <w:sz w:val="24"/>
                <w:lang w:val="zh-CN" w:bidi="zh-CN"/>
              </w:rPr>
            </w:pPr>
            <w:r>
              <w:rPr>
                <w:rFonts w:hint="eastAsia" w:ascii="仿宋" w:hAnsi="仿宋" w:eastAsia="仿宋" w:cs="仿宋"/>
                <w:bCs/>
                <w:sz w:val="24"/>
              </w:rPr>
              <w:t>指定收款账户</w:t>
            </w:r>
          </w:p>
        </w:tc>
        <w:tc>
          <w:tcPr>
            <w:tcW w:w="6994" w:type="dxa"/>
            <w:gridSpan w:val="7"/>
            <w:noWrap/>
            <w:vAlign w:val="center"/>
          </w:tcPr>
          <w:p>
            <w:pPr>
              <w:spacing w:line="340" w:lineRule="exact"/>
              <w:ind w:right="80" w:rightChars="38"/>
              <w:rPr>
                <w:rFonts w:ascii="仿宋" w:hAnsi="仿宋" w:eastAsia="仿宋" w:cs="仿宋"/>
                <w:bCs/>
                <w:sz w:val="24"/>
                <w:lang w:val="ru-RU"/>
              </w:rPr>
            </w:pPr>
            <w:r>
              <w:rPr>
                <w:rFonts w:hint="eastAsia" w:ascii="仿宋" w:hAnsi="仿宋" w:eastAsia="仿宋" w:cs="仿宋"/>
                <w:bCs/>
                <w:sz w:val="24"/>
                <w:lang w:val="ru-RU"/>
              </w:rPr>
              <w:t>户  名：北京建术信息科技研究院有限公司</w:t>
            </w:r>
          </w:p>
          <w:p>
            <w:pPr>
              <w:spacing w:line="340" w:lineRule="exact"/>
              <w:ind w:right="80" w:rightChars="38"/>
              <w:rPr>
                <w:rFonts w:ascii="仿宋" w:hAnsi="仿宋" w:eastAsia="仿宋" w:cs="仿宋"/>
                <w:bCs/>
                <w:sz w:val="24"/>
                <w:lang w:val="ru-RU"/>
              </w:rPr>
            </w:pPr>
            <w:r>
              <w:rPr>
                <w:rFonts w:hint="eastAsia" w:ascii="仿宋" w:hAnsi="仿宋" w:eastAsia="仿宋" w:cs="仿宋"/>
                <w:bCs/>
                <w:sz w:val="24"/>
                <w:lang w:val="ru-RU"/>
              </w:rPr>
              <w:t>开户行：中国建设银行股份有限公司北京昌平小汤山支行</w:t>
            </w:r>
          </w:p>
          <w:p>
            <w:pPr>
              <w:spacing w:line="340" w:lineRule="exact"/>
              <w:ind w:right="80" w:rightChars="38"/>
              <w:rPr>
                <w:rFonts w:ascii="仿宋" w:hAnsi="仿宋" w:eastAsia="仿宋" w:cs="仿宋"/>
                <w:bCs/>
                <w:sz w:val="24"/>
              </w:rPr>
            </w:pPr>
            <w:r>
              <w:rPr>
                <w:rFonts w:hint="eastAsia" w:ascii="仿宋" w:hAnsi="仿宋" w:eastAsia="仿宋" w:cs="仿宋"/>
                <w:bCs/>
                <w:sz w:val="24"/>
                <w:lang w:val="ru-RU"/>
              </w:rPr>
              <w:t>账  号：1105 0110 2401 0900 0164</w:t>
            </w:r>
          </w:p>
          <w:p>
            <w:pPr>
              <w:spacing w:line="360" w:lineRule="exact"/>
              <w:ind w:right="80" w:rightChars="38"/>
              <w:rPr>
                <w:rFonts w:hint="default" w:ascii="仿宋" w:hAnsi="仿宋" w:eastAsia="仿宋" w:cs="仿宋"/>
                <w:bCs/>
                <w:sz w:val="24"/>
                <w:lang w:val="en-US" w:eastAsia="zh-CN" w:bidi="zh-CN"/>
              </w:rPr>
            </w:pPr>
            <w:r>
              <w:rPr>
                <w:rFonts w:hint="eastAsia" w:ascii="仿宋" w:hAnsi="仿宋" w:eastAsia="仿宋" w:cs="仿宋"/>
                <w:sz w:val="24"/>
              </w:rPr>
              <w:t>汇款后，请将银行电汇凭证传真至：010-</w:t>
            </w:r>
            <w:r>
              <w:rPr>
                <w:rFonts w:hint="eastAsia" w:ascii="仿宋" w:hAnsi="仿宋" w:eastAsia="仿宋" w:cs="仿宋"/>
                <w:sz w:val="24"/>
                <w:lang w:val="en-US" w:eastAsia="zh-CN"/>
              </w:rPr>
              <w:t>87697580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参会方式</w:t>
            </w:r>
          </w:p>
        </w:tc>
        <w:tc>
          <w:tcPr>
            <w:tcW w:w="6994" w:type="dxa"/>
            <w:gridSpan w:val="7"/>
            <w:noWrap/>
            <w:vAlign w:val="center"/>
          </w:tcPr>
          <w:p>
            <w:pPr>
              <w:spacing w:line="360" w:lineRule="exact"/>
              <w:ind w:right="80" w:rightChars="38"/>
              <w:rPr>
                <w:rFonts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pPr>
        <w:spacing w:line="480" w:lineRule="exact"/>
        <w:ind w:right="80" w:rightChars="38"/>
        <w:rPr>
          <w:rStyle w:val="12"/>
          <w:rFonts w:ascii="黑体" w:hAnsi="黑体" w:eastAsia="黑体" w:cs="宋体"/>
          <w:color w:val="000000"/>
          <w:lang w:val="zh-CN"/>
        </w:rPr>
      </w:pPr>
      <w:r>
        <w:rPr>
          <w:rStyle w:val="12"/>
          <w:rFonts w:hint="eastAsia" w:ascii="黑体" w:hAnsi="黑体" w:eastAsia="黑体" w:cs="宋体"/>
          <w:color w:val="000000"/>
          <w:lang w:val="zh-CN"/>
        </w:rPr>
        <w:t>注：为保证培训质量，培训班名额有限，额满为止，请确定人员后及早报名。</w:t>
      </w:r>
    </w:p>
    <w:p>
      <w:pPr>
        <w:pStyle w:val="2"/>
        <w:spacing w:line="400" w:lineRule="exact"/>
        <w:ind w:left="0" w:leftChars="0" w:firstLine="0" w:firstLineChars="0"/>
        <w:rPr>
          <w:rFonts w:hint="eastAsia" w:ascii="仿宋" w:hAnsi="仿宋" w:eastAsia="仿宋" w:cs="仿宋"/>
          <w:bCs/>
        </w:rPr>
      </w:pPr>
      <w:r>
        <w:rPr>
          <w:rFonts w:hint="eastAsia" w:ascii="仿宋" w:hAnsi="仿宋" w:eastAsia="仿宋" w:cs="仿宋"/>
          <w:bCs/>
        </w:rPr>
        <w:t xml:space="preserve">  报名负责人：聂红军 主任18211071700（微信）   </w:t>
      </w:r>
    </w:p>
    <w:p>
      <w:pPr>
        <w:pStyle w:val="2"/>
        <w:spacing w:line="400" w:lineRule="exact"/>
        <w:ind w:left="0" w:leftChars="0" w:firstLine="240" w:firstLineChars="100"/>
        <w:rPr>
          <w:rFonts w:hint="eastAsia" w:ascii="仿宋" w:hAnsi="仿宋" w:eastAsia="仿宋" w:cs="仿宋"/>
          <w:bCs/>
        </w:rPr>
      </w:pPr>
      <w:r>
        <w:rPr>
          <w:rFonts w:hint="eastAsia" w:ascii="仿宋" w:hAnsi="仿宋" w:eastAsia="仿宋" w:cs="仿宋"/>
          <w:bCs/>
        </w:rPr>
        <w:t xml:space="preserve">电  话：13141289128        邮    箱：zqgphwz@126.com  </w:t>
      </w:r>
    </w:p>
    <w:p>
      <w:pPr>
        <w:pStyle w:val="2"/>
        <w:spacing w:line="400" w:lineRule="exact"/>
        <w:ind w:left="0" w:leftChars="0" w:firstLine="240" w:firstLineChars="100"/>
        <w:rPr>
          <w:rFonts w:hint="eastAsia" w:ascii="仿宋" w:hAnsi="仿宋" w:eastAsia="仿宋" w:cs="仿宋"/>
          <w:bCs/>
        </w:rPr>
      </w:pPr>
      <w:r>
        <w:rPr>
          <w:rFonts w:hint="eastAsia" w:ascii="仿宋" w:hAnsi="仿宋" w:eastAsia="仿宋" w:cs="仿宋"/>
          <w:bCs/>
        </w:rPr>
        <w:t>qq咨询：3177524020        网    址：http://www.zqgpchina.cn</w:t>
      </w:r>
    </w:p>
    <w:p>
      <w:pPr>
        <w:pStyle w:val="2"/>
        <w:spacing w:line="400" w:lineRule="exact"/>
        <w:ind w:left="0" w:leftChars="0" w:firstLine="0" w:firstLineChars="0"/>
        <w:rPr>
          <w:rFonts w:ascii="仿宋" w:hAnsi="仿宋" w:eastAsia="仿宋"/>
          <w:sz w:val="28"/>
          <w:szCs w:val="28"/>
        </w:rPr>
      </w:pPr>
    </w:p>
    <w:sectPr>
      <w:pgSz w:w="11906" w:h="16838"/>
      <w:pgMar w:top="1270" w:right="1349"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s>
  <w:rsids>
    <w:rsidRoot w:val="567915C1"/>
    <w:rsid w:val="00172B04"/>
    <w:rsid w:val="002D7FB3"/>
    <w:rsid w:val="008C691E"/>
    <w:rsid w:val="00B077DA"/>
    <w:rsid w:val="00EA360F"/>
    <w:rsid w:val="02E72041"/>
    <w:rsid w:val="05E35235"/>
    <w:rsid w:val="061340E1"/>
    <w:rsid w:val="08DC3904"/>
    <w:rsid w:val="09194E53"/>
    <w:rsid w:val="0D046532"/>
    <w:rsid w:val="0F236E71"/>
    <w:rsid w:val="10946796"/>
    <w:rsid w:val="10E00BDA"/>
    <w:rsid w:val="123E24E6"/>
    <w:rsid w:val="16427E16"/>
    <w:rsid w:val="16F11CE2"/>
    <w:rsid w:val="1732013F"/>
    <w:rsid w:val="187C78C4"/>
    <w:rsid w:val="1BB25C21"/>
    <w:rsid w:val="1C0320AA"/>
    <w:rsid w:val="1DB45C88"/>
    <w:rsid w:val="1DDD7E1F"/>
    <w:rsid w:val="1DE5415D"/>
    <w:rsid w:val="22A719E1"/>
    <w:rsid w:val="274937B1"/>
    <w:rsid w:val="285A699E"/>
    <w:rsid w:val="2A077209"/>
    <w:rsid w:val="2A4D4BC6"/>
    <w:rsid w:val="2BF43026"/>
    <w:rsid w:val="2EB14AAA"/>
    <w:rsid w:val="2F594DA5"/>
    <w:rsid w:val="30990A71"/>
    <w:rsid w:val="338F44F8"/>
    <w:rsid w:val="358856A2"/>
    <w:rsid w:val="36211653"/>
    <w:rsid w:val="39F11051"/>
    <w:rsid w:val="3A607F67"/>
    <w:rsid w:val="3AA116F9"/>
    <w:rsid w:val="3B2A0FAA"/>
    <w:rsid w:val="3C9B30AD"/>
    <w:rsid w:val="3D6A5092"/>
    <w:rsid w:val="3DAD0C9B"/>
    <w:rsid w:val="3E2E6070"/>
    <w:rsid w:val="3EEC487C"/>
    <w:rsid w:val="3F1C5C4C"/>
    <w:rsid w:val="40326890"/>
    <w:rsid w:val="40B01F51"/>
    <w:rsid w:val="40FA21DE"/>
    <w:rsid w:val="42264450"/>
    <w:rsid w:val="456A124D"/>
    <w:rsid w:val="46541393"/>
    <w:rsid w:val="49105B3C"/>
    <w:rsid w:val="4A2E64F0"/>
    <w:rsid w:val="4CDF4EDB"/>
    <w:rsid w:val="4E4430E7"/>
    <w:rsid w:val="4EB55A7E"/>
    <w:rsid w:val="4FFA0AF3"/>
    <w:rsid w:val="508322F1"/>
    <w:rsid w:val="52BA18DC"/>
    <w:rsid w:val="551537AA"/>
    <w:rsid w:val="567915C1"/>
    <w:rsid w:val="58A81A34"/>
    <w:rsid w:val="59A655AE"/>
    <w:rsid w:val="5CB92357"/>
    <w:rsid w:val="602C2F4B"/>
    <w:rsid w:val="61EF4230"/>
    <w:rsid w:val="62F37D50"/>
    <w:rsid w:val="63B84AF5"/>
    <w:rsid w:val="66A3108B"/>
    <w:rsid w:val="68C77B59"/>
    <w:rsid w:val="69D41F5D"/>
    <w:rsid w:val="6A002D52"/>
    <w:rsid w:val="6AD71D05"/>
    <w:rsid w:val="6C87416E"/>
    <w:rsid w:val="6ED21161"/>
    <w:rsid w:val="6ED24CBD"/>
    <w:rsid w:val="7055034D"/>
    <w:rsid w:val="73D17C39"/>
    <w:rsid w:val="73F105B0"/>
    <w:rsid w:val="75306BE1"/>
    <w:rsid w:val="76076649"/>
    <w:rsid w:val="79863274"/>
    <w:rsid w:val="79E2443C"/>
    <w:rsid w:val="7A3902E6"/>
    <w:rsid w:val="7A6F4D38"/>
    <w:rsid w:val="7B0D6E8B"/>
    <w:rsid w:val="7B446F42"/>
    <w:rsid w:val="7D8817BD"/>
    <w:rsid w:val="7DBD6255"/>
    <w:rsid w:val="7EFE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24"/>
    </w:rPr>
  </w:style>
  <w:style w:type="paragraph" w:styleId="3">
    <w:name w:val="Body Text Indent"/>
    <w:basedOn w:val="1"/>
    <w:next w:val="1"/>
    <w:qFormat/>
    <w:uiPriority w:val="0"/>
    <w:pPr>
      <w:spacing w:after="120"/>
      <w:ind w:left="420" w:leftChars="200"/>
    </w:pPr>
    <w:rPr>
      <w:rFonts w:ascii="Times New Roman" w:hAnsi="Times New Roman" w:eastAsia="宋体" w:cs="Times New Roman"/>
    </w:rPr>
  </w:style>
  <w:style w:type="paragraph" w:styleId="5">
    <w:name w:val="Body Text"/>
    <w:basedOn w:val="1"/>
    <w:qFormat/>
    <w:uiPriority w:val="99"/>
    <w:pPr>
      <w:ind w:left="103"/>
      <w:jc w:val="left"/>
    </w:pPr>
    <w:rPr>
      <w:rFonts w:ascii="宋体" w:hAnsi="宋体"/>
      <w:kern w:val="0"/>
      <w:szCs w:val="21"/>
      <w:lang w:eastAsia="en-US"/>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5"/>
    <w:qFormat/>
    <w:uiPriority w:val="0"/>
    <w:pPr>
      <w:spacing w:line="312" w:lineRule="auto"/>
      <w:ind w:firstLine="420"/>
    </w:pPr>
  </w:style>
  <w:style w:type="character" w:styleId="12">
    <w:name w:val="Strong"/>
    <w:qFormat/>
    <w:uiPriority w:val="0"/>
    <w:rPr>
      <w:rFonts w:cs="Times New Roman"/>
      <w:b/>
    </w:rPr>
  </w:style>
  <w:style w:type="character" w:customStyle="1" w:styleId="13">
    <w:name w:val="font14 fontb"/>
    <w:basedOn w:val="11"/>
    <w:qFormat/>
    <w:uiPriority w:val="0"/>
  </w:style>
  <w:style w:type="character" w:customStyle="1" w:styleId="14">
    <w:name w:val="页眉 字符"/>
    <w:basedOn w:val="11"/>
    <w:link w:val="7"/>
    <w:qFormat/>
    <w:uiPriority w:val="0"/>
    <w:rPr>
      <w:rFonts w:asciiTheme="minorHAnsi" w:hAnsiTheme="minorHAnsi" w:eastAsiaTheme="minorEastAsia" w:cstheme="minorBidi"/>
      <w:kern w:val="2"/>
      <w:sz w:val="18"/>
      <w:szCs w:val="18"/>
    </w:rPr>
  </w:style>
  <w:style w:type="character" w:customStyle="1" w:styleId="15">
    <w:name w:val="页脚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611</Words>
  <Characters>3489</Characters>
  <Lines>29</Lines>
  <Paragraphs>8</Paragraphs>
  <TotalTime>30</TotalTime>
  <ScaleCrop>false</ScaleCrop>
  <LinksUpToDate>false</LinksUpToDate>
  <CharactersWithSpaces>4092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2023-09-28T03:52:00Z</dcterms:created>
  <dc:creator>86189</dc:creator>
  <cp:lastModifiedBy>聂红军</cp:lastModifiedBy>
  <dcterms:modified xsi:type="dcterms:W3CDTF">2023-12-07T00:04:18Z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8BD09D8186CD48339F7F8B40F5455A4D_13</vt:lpwstr>
  </property>
</Properties>
</file>