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distribute"/>
        <w:rPr>
          <w:rFonts w:hint="eastAsia" w:ascii="仿宋" w:hAnsi="仿宋" w:eastAsia="仿宋" w:cs="仿宋"/>
          <w:color w:val="000000" w:themeColor="text1"/>
          <w:spacing w:val="-12"/>
          <w:sz w:val="28"/>
          <w:szCs w:val="28"/>
          <w14:textFill>
            <w14:solidFill>
              <w14:schemeClr w14:val="tx1"/>
            </w14:solidFill>
          </w14:textFill>
        </w:rPr>
      </w:pPr>
      <w:r>
        <w:rPr>
          <w:rFonts w:hint="eastAsia" w:asciiTheme="majorEastAsia" w:hAnsiTheme="majorEastAsia" w:eastAsiaTheme="majorEastAsia" w:cstheme="majorEastAsia"/>
          <w:b/>
          <w:bCs/>
          <w:color w:val="FF0000"/>
          <w:w w:val="80"/>
          <w:sz w:val="84"/>
          <w:szCs w:val="84"/>
        </w:rPr>
        <w:t>中国国际工程咨询协会</w:t>
      </w:r>
    </w:p>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71755</wp:posOffset>
                </wp:positionV>
                <wp:extent cx="5537835" cy="5715"/>
                <wp:effectExtent l="0" t="13970" r="5715" b="18415"/>
                <wp:wrapNone/>
                <wp:docPr id="1" name="直接连接符 1"/>
                <wp:cNvGraphicFramePr/>
                <a:graphic xmlns:a="http://schemas.openxmlformats.org/drawingml/2006/main">
                  <a:graphicData uri="http://schemas.microsoft.com/office/word/2010/wordprocessingShape">
                    <wps:wsp>
                      <wps:cNvCnPr/>
                      <wps:spPr>
                        <a:xfrm flipV="1">
                          <a:off x="409575" y="2267585"/>
                          <a:ext cx="5537835" cy="571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6.75pt;margin-top:5.65pt;height:0.45pt;width:436.05pt;z-index:251660288;mso-width-relative:page;mso-height-relative:page;" filled="f" stroked="t" coordsize="21600,21600" o:gfxdata="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NfBENoAAAAIAQAADwAAAAAAAAABACAA&#10;AAAiAAAAZHJzL2Rvd25yZXYueG1sUEsBAhQAFAAAAAgAh07iQF5AZxQLAgAA/wMAAA4AAAAAAAAA&#10;AQAgAAAAKQEAAGRycy9lMm9Eb2MueG1sUEsFBgAAAAAGAAYAWQEAAKY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华文中宋"/>
          <w:b/>
          <w:bCs/>
          <w:color w:val="000000" w:themeColor="text1"/>
          <w:kern w:val="0"/>
          <w:sz w:val="32"/>
          <w:szCs w:val="32"/>
          <w:shd w:val="clear" w:color="000000" w:fill="auto"/>
          <w14:textFill>
            <w14:solidFill>
              <w14:schemeClr w14:val="tx1"/>
            </w14:solidFill>
          </w14:textFill>
        </w:rPr>
      </w:pPr>
      <w:r>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t>关于举办危大工程安全管控、重大事故隐患排查整治与建筑施工安全双重预防体系建设专题培训班的通知</w:t>
      </w:r>
    </w:p>
    <w:p>
      <w:pPr>
        <w:adjustRightInd w:val="0"/>
        <w:snapToGrid w:val="0"/>
        <w:spacing w:line="300" w:lineRule="exact"/>
        <w:jc w:val="center"/>
        <w:rPr>
          <w:rFonts w:hint="eastAsia" w:ascii="仿宋" w:hAnsi="仿宋" w:eastAsia="仿宋" w:cs="仿宋"/>
          <w:b/>
          <w:bCs/>
          <w:color w:val="000000" w:themeColor="text1"/>
          <w:sz w:val="30"/>
          <w:szCs w:val="30"/>
          <w14:textFill>
            <w14:solidFill>
              <w14:schemeClr w14:val="tx1"/>
            </w14:solidFill>
          </w14:textFill>
        </w:rPr>
      </w:pPr>
    </w:p>
    <w:p>
      <w:pPr>
        <w:pStyle w:val="8"/>
        <w:ind w:firstLine="5399" w:firstLineChars="2100"/>
        <w:rPr>
          <w:rFonts w:hint="eastAsia" w:ascii="仿宋" w:hAnsi="仿宋" w:eastAsia="仿宋" w:cs="仿宋"/>
          <w:b/>
          <w:bCs/>
          <w:color w:val="000000" w:themeColor="text1"/>
          <w14:textFill>
            <w14:solidFill>
              <w14:schemeClr w14:val="tx1"/>
            </w14:solidFill>
          </w14:textFill>
        </w:rPr>
      </w:pPr>
      <w:r>
        <w:rPr>
          <w:rFonts w:hint="eastAsia" w:ascii="宋体" w:hAnsi="宋体" w:eastAsia="宋体" w:cs="宋体"/>
          <w:b/>
          <w:bCs/>
          <w:color w:val="000000" w:themeColor="text1"/>
          <w:spacing w:val="-12"/>
          <w:sz w:val="28"/>
          <w:szCs w:val="28"/>
          <w14:textFill>
            <w14:solidFill>
              <w14:schemeClr w14:val="tx1"/>
            </w14:solidFill>
          </w14:textFill>
        </w:rPr>
        <w:t>国咨协［202</w:t>
      </w:r>
      <w:r>
        <w:rPr>
          <w:rFonts w:hint="eastAsia" w:ascii="宋体" w:hAnsi="宋体" w:eastAsia="宋体" w:cs="宋体"/>
          <w:b/>
          <w:bCs/>
          <w:color w:val="000000" w:themeColor="text1"/>
          <w:spacing w:val="-12"/>
          <w:sz w:val="28"/>
          <w:szCs w:val="28"/>
          <w:lang w:val="en-US" w:eastAsia="zh-CN"/>
          <w14:textFill>
            <w14:solidFill>
              <w14:schemeClr w14:val="tx1"/>
            </w14:solidFill>
          </w14:textFill>
        </w:rPr>
        <w:t>3</w:t>
      </w:r>
      <w:r>
        <w:rPr>
          <w:rFonts w:hint="eastAsia" w:ascii="宋体" w:hAnsi="宋体" w:eastAsia="宋体" w:cs="宋体"/>
          <w:b/>
          <w:bCs/>
          <w:color w:val="000000" w:themeColor="text1"/>
          <w:spacing w:val="-12"/>
          <w:sz w:val="28"/>
          <w:szCs w:val="28"/>
          <w14:textFill>
            <w14:solidFill>
              <w14:schemeClr w14:val="tx1"/>
            </w14:solidFill>
          </w14:textFill>
        </w:rPr>
        <w:t>］</w:t>
      </w:r>
      <w:r>
        <w:rPr>
          <w:rFonts w:hint="eastAsia" w:ascii="宋体" w:hAnsi="宋体" w:cs="宋体"/>
          <w:b/>
          <w:bCs/>
          <w:color w:val="000000" w:themeColor="text1"/>
          <w:spacing w:val="-12"/>
          <w:sz w:val="28"/>
          <w:szCs w:val="28"/>
          <w:lang w:val="en-US" w:eastAsia="zh-CN"/>
          <w14:textFill>
            <w14:solidFill>
              <w14:schemeClr w14:val="tx1"/>
            </w14:solidFill>
          </w14:textFill>
        </w:rPr>
        <w:t>05</w:t>
      </w:r>
      <w:r>
        <w:rPr>
          <w:rFonts w:hint="eastAsia" w:ascii="宋体" w:hAnsi="宋体" w:eastAsia="宋体" w:cs="宋体"/>
          <w:b/>
          <w:bCs/>
          <w:color w:val="000000" w:themeColor="text1"/>
          <w:spacing w:val="-12"/>
          <w:sz w:val="28"/>
          <w:szCs w:val="28"/>
          <w14:textFill>
            <w14:solidFill>
              <w14:schemeClr w14:val="tx1"/>
            </w14:solidFill>
          </w14:textFill>
        </w:rPr>
        <w:t>号</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各有关单位：</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00" w:firstLineChars="200"/>
        <w:jc w:val="both"/>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2023年我国共发生生产安全事故4.9万起，死亡3.46万人，19起重特大安全事故，安全生产形势异常严峻复杂。近期住房和城乡建设部安全生产管理委员会对多起安全生产事故发出查处督办通知书，要求强化工程施工安全监管，全面排查风险隐患，切实加强建筑施工安全生产管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00" w:firstLineChars="200"/>
        <w:jc w:val="both"/>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今年是全面贯彻落实党的二十大精神的开局之年，做好安全生产工作责任重大、任务艰巨。住房和城乡建设部印发《“十四五”建筑业发展规划》提出开展对危险性较大的分部分项工程专项治理，要求到2025年重大安全风险管控和隐患排查治理机制更加健全，安全生产责任体系更加完善，安全科技支撑能力显著增强，施工安全事故得到有效遏制。国家颁布并强制执行的《建筑与市政施工现场安全卫生与职业健康通用规范》（GB55034-2022）、《施工脚手架通用规范》（GB55023-2022），更是把建设工程安全提到新高度</w:t>
      </w:r>
      <w:r>
        <w:rPr>
          <w:rFonts w:hint="eastAsia" w:ascii="仿宋" w:hAnsi="仿宋" w:eastAsia="仿宋" w:cs="仿宋"/>
          <w:i w:val="0"/>
          <w:iCs w:val="0"/>
          <w:caps w:val="0"/>
          <w:color w:val="000000"/>
          <w:spacing w:val="0"/>
          <w:sz w:val="24"/>
          <w:szCs w:val="24"/>
          <w:shd w:val="clear"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00" w:firstLineChars="200"/>
        <w:jc w:val="both"/>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为了深入学习建设领域最新安全政策、标准规范，分析建设项目安全生产形势与安全责任落实、应急管理和处置措施，进一步加强起重机械、深基坑、高支模等危险性较大的分部分项工程安全风险管控能力，提高工程项目建设中的安全意识、责任意识、法律意识和防范意识，我会决定举办“危大工程安全管控、重大事故隐患排查整治与建筑施工安全双重预防体系建设专题培训班”。本次培训班由中国国际工程咨询协会主办，</w:t>
      </w:r>
      <w:r>
        <w:rPr>
          <w:rFonts w:hint="eastAsia" w:ascii="仿宋" w:hAnsi="仿宋" w:eastAsia="仿宋" w:cs="仿宋"/>
          <w:bCs/>
          <w:color w:val="000000"/>
          <w:sz w:val="28"/>
          <w:szCs w:val="28"/>
        </w:rPr>
        <w:t>北京比时教育咨询有限公司</w:t>
      </w:r>
      <w:r>
        <w:rPr>
          <w:rFonts w:hint="eastAsia" w:ascii="仿宋" w:hAnsi="仿宋" w:eastAsia="仿宋" w:cs="仿宋"/>
          <w:color w:val="000000"/>
          <w:spacing w:val="10"/>
          <w:kern w:val="2"/>
          <w:sz w:val="28"/>
          <w:szCs w:val="28"/>
          <w:shd w:val="clear" w:color="auto" w:fill="auto"/>
          <w:lang w:val="en-US" w:eastAsia="zh-CN" w:bidi="ar-SA"/>
        </w:rPr>
        <w:t>承办，请各单位积极组织相关人员参加。现将有关事宜通知如下：</w:t>
      </w:r>
    </w:p>
    <w:p>
      <w:pPr>
        <w:keepNext w:val="0"/>
        <w:keepLines w:val="0"/>
        <w:pageBreakBefore w:val="0"/>
        <w:tabs>
          <w:tab w:val="left" w:pos="567"/>
          <w:tab w:val="left" w:pos="709"/>
        </w:tabs>
        <w:kinsoku/>
        <w:wordWrap/>
        <w:overflowPunct/>
        <w:topLinePunct w:val="0"/>
        <w:autoSpaceDE/>
        <w:autoSpaceDN/>
        <w:bidi w:val="0"/>
        <w:adjustRightInd/>
        <w:snapToGrid/>
        <w:spacing w:line="540" w:lineRule="exact"/>
        <w:ind w:leftChars="0" w:firstLine="506" w:firstLineChars="200"/>
        <w:textAlignment w:val="baseline"/>
        <w:outlineLvl w:val="0"/>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sz w:val="28"/>
          <w:szCs w:val="28"/>
        </w:rPr>
        <w:t>一、培训内容</w:t>
      </w:r>
    </w:p>
    <w:p>
      <w:pPr>
        <w:keepNext w:val="0"/>
        <w:keepLines w:val="0"/>
        <w:pageBreakBefore w:val="0"/>
        <w:kinsoku/>
        <w:wordWrap/>
        <w:overflowPunct/>
        <w:topLinePunct w:val="0"/>
        <w:autoSpaceDE/>
        <w:autoSpaceDN/>
        <w:bidi w:val="0"/>
        <w:adjustRightInd/>
        <w:snapToGrid/>
        <w:spacing w:line="480" w:lineRule="exact"/>
        <w:ind w:firstLine="506" w:firstLineChars="200"/>
        <w:jc w:val="left"/>
        <w:rPr>
          <w:rFonts w:hint="default" w:ascii="仿宋" w:hAnsi="仿宋" w:eastAsia="仿宋" w:cs="仿宋"/>
          <w:b/>
          <w:bCs/>
          <w:color w:val="000000"/>
          <w:w w:val="90"/>
          <w:kern w:val="2"/>
          <w:sz w:val="28"/>
          <w:szCs w:val="28"/>
          <w:lang w:val="en-US" w:eastAsia="zh-CN" w:bidi="ar-SA"/>
        </w:rPr>
      </w:pPr>
      <w:r>
        <w:rPr>
          <w:rFonts w:hint="eastAsia" w:ascii="仿宋" w:hAnsi="仿宋" w:eastAsia="仿宋" w:cs="仿宋"/>
          <w:b/>
          <w:bCs/>
          <w:color w:val="000000"/>
          <w:w w:val="90"/>
          <w:kern w:val="2"/>
          <w:sz w:val="28"/>
          <w:szCs w:val="28"/>
          <w:lang w:val="en-US" w:eastAsia="zh-CN" w:bidi="ar-SA"/>
        </w:rPr>
        <w:t>第一部分：</w:t>
      </w:r>
      <w:r>
        <w:rPr>
          <w:rFonts w:hint="eastAsia" w:ascii="仿宋" w:hAnsi="仿宋" w:eastAsia="仿宋" w:cs="仿宋"/>
          <w:b/>
          <w:bCs/>
          <w:color w:val="000000"/>
          <w:spacing w:val="10"/>
          <w:kern w:val="2"/>
          <w:sz w:val="28"/>
          <w:szCs w:val="28"/>
          <w:shd w:val="clear" w:color="auto" w:fill="auto"/>
          <w:lang w:val="en-US" w:eastAsia="zh-CN" w:bidi="ar-SA"/>
        </w:rPr>
        <w:t>建筑施工安全法制建设与强制性通用规范解读</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1.企业主要负责人和安全生产管理人员安全生产方面的基本职责与常见的刑事法律风险；</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2.第一责任人的责任主体和主体责任的认知误区；</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3.法律法规对第一责任人的主体责任规定；</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4.典型的安全事故追责案件辩护实录及精解；</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5.刑辩律师视角下企业主要负责人和安全生产管理人员应如何规避安全事故引发的刑事法律风险；</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6.国标《建筑与市政施工现场安全卫生与职业健康通用规范》GB 55034-2022规范解析。</w:t>
      </w:r>
    </w:p>
    <w:p>
      <w:pPr>
        <w:pStyle w:val="14"/>
        <w:keepNext w:val="0"/>
        <w:keepLines w:val="0"/>
        <w:pageBreakBefore w:val="0"/>
        <w:numPr>
          <w:ilvl w:val="0"/>
          <w:numId w:val="0"/>
        </w:numPr>
        <w:kinsoku/>
        <w:wordWrap/>
        <w:overflowPunct/>
        <w:topLinePunct w:val="0"/>
        <w:autoSpaceDE/>
        <w:autoSpaceDN/>
        <w:bidi w:val="0"/>
        <w:adjustRightInd/>
        <w:snapToGrid/>
        <w:spacing w:line="480" w:lineRule="exact"/>
        <w:ind w:firstLine="506" w:firstLineChars="200"/>
        <w:rPr>
          <w:rFonts w:hint="default" w:ascii="仿宋" w:hAnsi="仿宋" w:eastAsia="仿宋" w:cs="仿宋"/>
          <w:b/>
          <w:bCs/>
          <w:color w:val="000000"/>
          <w:w w:val="90"/>
          <w:kern w:val="2"/>
          <w:sz w:val="28"/>
          <w:szCs w:val="28"/>
          <w:lang w:val="en-US" w:eastAsia="zh-CN" w:bidi="ar-SA"/>
        </w:rPr>
      </w:pPr>
      <w:r>
        <w:rPr>
          <w:rFonts w:hint="eastAsia" w:ascii="仿宋" w:hAnsi="仿宋" w:eastAsia="仿宋" w:cs="仿宋"/>
          <w:b/>
          <w:bCs/>
          <w:color w:val="000000"/>
          <w:w w:val="90"/>
          <w:kern w:val="2"/>
          <w:sz w:val="28"/>
          <w:szCs w:val="28"/>
          <w:lang w:val="en-US" w:eastAsia="zh-CN" w:bidi="ar-SA"/>
        </w:rPr>
        <w:t>第二部分：危大工程安全管控实务</w:t>
      </w:r>
    </w:p>
    <w:p>
      <w:pPr>
        <w:keepNext w:val="0"/>
        <w:keepLines w:val="0"/>
        <w:pageBreakBefore w:val="0"/>
        <w:shd w:val="clear" w:color="auto" w:fill="FFFFFF"/>
        <w:kinsoku/>
        <w:wordWrap/>
        <w:overflowPunct/>
        <w:topLinePunct w:val="0"/>
        <w:autoSpaceDE/>
        <w:autoSpaceDN/>
        <w:bidi w:val="0"/>
        <w:adjustRightInd/>
        <w:snapToGrid/>
        <w:spacing w:line="480" w:lineRule="exact"/>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  </w:t>
      </w:r>
      <w:r>
        <w:rPr>
          <w:rFonts w:hint="eastAsia" w:ascii="仿宋" w:hAnsi="仿宋" w:eastAsia="仿宋" w:cs="仿宋"/>
          <w:b/>
          <w:bCs/>
          <w:color w:val="000000"/>
          <w:spacing w:val="10"/>
          <w:kern w:val="2"/>
          <w:sz w:val="28"/>
          <w:szCs w:val="28"/>
          <w:shd w:val="clear" w:color="auto" w:fill="auto"/>
          <w:lang w:val="en-US" w:eastAsia="zh-CN" w:bidi="ar-SA"/>
        </w:rPr>
        <w:t>（一）建设工程安全风险分级管控与关键技术实务操作</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1.深基坑工程设计施工中的安全问题与管控</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（1）深基坑工程的特点及重点；</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（2）深基坑工程的概念设计；</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（3）深基坑工程的施工方法；</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（4）基坑支护结构设计与施工；</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（5）深基坑设计及施工安全问题与管控案例及分析；</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2.建筑施工脚手架安全技术标准及案例分析</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（1）专项施工方案及论证；</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（2）安全技术标准及监管要点；</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3.建筑施工高处作业吊篮安全管理的标准及案例分析</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（1）高处作业吊篮施工安全监管现状；</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（2）高处作业吊篮相关标准解读；</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（3）高处作业吊篮事故案例分析；</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4.模板支架应用技术。</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Chars="0" w:firstLine="301"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spacing w:val="10"/>
          <w:kern w:val="2"/>
          <w:sz w:val="28"/>
          <w:szCs w:val="28"/>
          <w:shd w:val="clear" w:color="auto" w:fill="auto"/>
          <w:lang w:val="en-US" w:eastAsia="zh-CN" w:bidi="ar-SA"/>
        </w:rPr>
        <w:t>（二）</w:t>
      </w:r>
      <w:r>
        <w:rPr>
          <w:rFonts w:hint="eastAsia" w:ascii="仿宋" w:hAnsi="仿宋" w:eastAsia="仿宋" w:cs="仿宋"/>
          <w:b/>
          <w:bCs/>
          <w:color w:val="000000"/>
          <w:w w:val="90"/>
          <w:kern w:val="2"/>
          <w:sz w:val="28"/>
          <w:szCs w:val="28"/>
        </w:rPr>
        <w:t>建设施工过程中安全隐患排查治理</w:t>
      </w:r>
    </w:p>
    <w:p>
      <w:pPr>
        <w:keepNext w:val="0"/>
        <w:keepLines w:val="0"/>
        <w:pageBreakBefore w:val="0"/>
        <w:shd w:val="clear" w:color="auto" w:fill="FFFFFF"/>
        <w:kinsoku/>
        <w:wordWrap/>
        <w:overflowPunct/>
        <w:topLinePunct w:val="0"/>
        <w:autoSpaceDE/>
        <w:autoSpaceDN/>
        <w:bidi w:val="0"/>
        <w:adjustRightInd/>
        <w:snapToGrid/>
        <w:spacing w:line="480" w:lineRule="exact"/>
        <w:ind w:left="838" w:leftChars="285" w:hanging="240" w:hangingChars="8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1.住建部及各地对于建筑施工安全隐患排查与治理的规范性文件解读；</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2.建设施工工程中安全隐患种类划分；</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3.建设项目安全隐患排查的常用方法；</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4.建设施工过程中安全隐患排查治理的技术应用与创新。</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Chars="0" w:firstLine="301"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spacing w:val="10"/>
          <w:kern w:val="2"/>
          <w:sz w:val="28"/>
          <w:szCs w:val="28"/>
          <w:shd w:val="clear" w:color="auto" w:fill="auto"/>
          <w:lang w:val="en-US" w:eastAsia="zh-CN" w:bidi="ar-SA"/>
        </w:rPr>
        <w:t>（三）</w:t>
      </w:r>
      <w:r>
        <w:rPr>
          <w:rFonts w:hint="eastAsia" w:ascii="仿宋" w:hAnsi="仿宋" w:eastAsia="仿宋" w:cs="仿宋"/>
          <w:b/>
          <w:bCs/>
          <w:color w:val="000000"/>
          <w:w w:val="90"/>
          <w:kern w:val="2"/>
          <w:sz w:val="28"/>
          <w:szCs w:val="28"/>
        </w:rPr>
        <w:t>危大工程安全管理实务</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1.建设工程超过一定规模的危险性较大的分部分项范围；</w:t>
      </w:r>
    </w:p>
    <w:p>
      <w:pPr>
        <w:keepNext w:val="0"/>
        <w:keepLines w:val="0"/>
        <w:pageBreakBefore w:val="0"/>
        <w:shd w:val="clear" w:color="auto" w:fill="FFFFFF"/>
        <w:kinsoku/>
        <w:wordWrap/>
        <w:overflowPunct/>
        <w:topLinePunct w:val="0"/>
        <w:autoSpaceDE/>
        <w:autoSpaceDN/>
        <w:bidi w:val="0"/>
        <w:adjustRightInd/>
        <w:snapToGrid/>
        <w:spacing w:line="480" w:lineRule="exact"/>
        <w:ind w:left="838" w:leftChars="285" w:hanging="240" w:hangingChars="8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2.危大工程专项施工方案编制、审核、实施及验收中存在的疑点、难点问题解析；</w:t>
      </w:r>
    </w:p>
    <w:p>
      <w:pPr>
        <w:keepNext w:val="0"/>
        <w:keepLines w:val="0"/>
        <w:pageBreakBefore w:val="0"/>
        <w:shd w:val="clear" w:color="auto" w:fill="FFFFFF"/>
        <w:kinsoku/>
        <w:wordWrap/>
        <w:overflowPunct/>
        <w:topLinePunct w:val="0"/>
        <w:autoSpaceDE/>
        <w:autoSpaceDN/>
        <w:bidi w:val="0"/>
        <w:adjustRightInd/>
        <w:snapToGrid/>
        <w:spacing w:line="480" w:lineRule="exact"/>
        <w:ind w:left="833" w:leftChars="284" w:hanging="237" w:hangingChars="79"/>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3.建设各方工程技术风险的控制职责及各阶段的风险控制要点深度解析；</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4.危大工程安全违法行为查处、事故问责与刑事责任追究；</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5.安全事故预防与安全管控措施，经验交流等；</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6.大型工程勘察、设计、施工各阶段的风险控制要点；</w:t>
      </w:r>
    </w:p>
    <w:p>
      <w:pPr>
        <w:keepNext w:val="0"/>
        <w:keepLines w:val="0"/>
        <w:pageBreakBefore w:val="0"/>
        <w:shd w:val="clear" w:color="auto" w:fill="FFFFFF"/>
        <w:kinsoku/>
        <w:wordWrap/>
        <w:overflowPunct/>
        <w:topLinePunct w:val="0"/>
        <w:autoSpaceDE/>
        <w:autoSpaceDN/>
        <w:bidi w:val="0"/>
        <w:adjustRightInd/>
        <w:snapToGrid/>
        <w:spacing w:line="480" w:lineRule="exact"/>
        <w:ind w:left="838" w:leftChars="285" w:hanging="240" w:hangingChars="8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7.大型工程技术风险评估报告、总结报告、工作月报等格式要求与要点。</w:t>
      </w:r>
    </w:p>
    <w:p>
      <w:pPr>
        <w:pStyle w:val="14"/>
        <w:keepNext w:val="0"/>
        <w:keepLines w:val="0"/>
        <w:pageBreakBefore w:val="0"/>
        <w:numPr>
          <w:ilvl w:val="0"/>
          <w:numId w:val="0"/>
        </w:numPr>
        <w:kinsoku/>
        <w:wordWrap/>
        <w:overflowPunct/>
        <w:topLinePunct w:val="0"/>
        <w:autoSpaceDE/>
        <w:autoSpaceDN/>
        <w:bidi w:val="0"/>
        <w:adjustRightInd/>
        <w:snapToGrid/>
        <w:spacing w:line="480" w:lineRule="exact"/>
        <w:ind w:firstLine="506" w:firstLineChars="200"/>
        <w:rPr>
          <w:rFonts w:hint="eastAsia" w:ascii="仿宋" w:hAnsi="仿宋" w:eastAsia="仿宋" w:cs="仿宋"/>
          <w:b/>
          <w:bCs/>
          <w:color w:val="000000"/>
          <w:w w:val="90"/>
          <w:kern w:val="2"/>
          <w:sz w:val="28"/>
          <w:szCs w:val="28"/>
          <w:lang w:val="en-US" w:eastAsia="zh-CN" w:bidi="ar-SA"/>
        </w:rPr>
      </w:pPr>
      <w:r>
        <w:rPr>
          <w:rFonts w:hint="eastAsia" w:ascii="仿宋" w:hAnsi="仿宋" w:eastAsia="仿宋" w:cs="仿宋"/>
          <w:b/>
          <w:bCs/>
          <w:color w:val="000000"/>
          <w:w w:val="90"/>
          <w:kern w:val="2"/>
          <w:sz w:val="28"/>
          <w:szCs w:val="28"/>
          <w:lang w:val="en-US" w:eastAsia="zh-CN" w:bidi="ar-SA"/>
        </w:rPr>
        <w:t>第三部分：建筑施工安全双重预防体系建设</w:t>
      </w:r>
    </w:p>
    <w:p>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（一）双重预防组织体系建设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1.成立组织机构；</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2.制定工作方案；</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3.明确岗位职责；</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4.完善工作制度；</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微软雅黑" w:hAnsi="微软雅黑" w:eastAsia="微软雅黑" w:cs="微软雅黑"/>
          <w:sz w:val="24"/>
          <w:szCs w:val="24"/>
        </w:rPr>
      </w:pPr>
      <w:r>
        <w:rPr>
          <w:rFonts w:hint="eastAsia" w:ascii="仿宋" w:hAnsi="仿宋" w:eastAsia="仿宋" w:cs="仿宋"/>
          <w:color w:val="000000"/>
          <w:spacing w:val="10"/>
          <w:kern w:val="2"/>
          <w:sz w:val="28"/>
          <w:szCs w:val="28"/>
          <w:shd w:val="clear" w:color="auto" w:fill="auto"/>
          <w:lang w:val="en-US" w:eastAsia="zh-CN" w:bidi="ar-SA"/>
        </w:rPr>
        <w:t>5.保障工作经费。</w:t>
      </w:r>
    </w:p>
    <w:p>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（二）双重预防体系教育培训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1.制定培训计划；</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2.明确培训内容；</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3.分层级开展培训。</w:t>
      </w:r>
    </w:p>
    <w:p>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（三）全过程的风险管控管理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1.风险点确定；</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2.危险源辨识与分析；</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3.风险评价；</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4.风险控制措施；</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5.风险分级管控；</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微软雅黑" w:hAnsi="微软雅黑" w:eastAsia="微软雅黑" w:cs="微软雅黑"/>
          <w:sz w:val="24"/>
          <w:szCs w:val="24"/>
        </w:rPr>
      </w:pPr>
      <w:r>
        <w:rPr>
          <w:rFonts w:hint="eastAsia" w:ascii="仿宋" w:hAnsi="仿宋" w:eastAsia="仿宋" w:cs="仿宋"/>
          <w:color w:val="000000"/>
          <w:spacing w:val="10"/>
          <w:kern w:val="2"/>
          <w:sz w:val="28"/>
          <w:szCs w:val="28"/>
          <w:shd w:val="clear" w:color="auto" w:fill="auto"/>
          <w:lang w:val="en-US" w:eastAsia="zh-CN" w:bidi="ar-SA"/>
        </w:rPr>
        <w:t>6.风险告知。</w:t>
      </w:r>
    </w:p>
    <w:p>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（四）双重预防体系过程管控</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1.管控要求；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2.综合管控；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3.专业管控；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4.动态管控；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5.风险隐患公示；</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微软雅黑" w:hAnsi="微软雅黑" w:eastAsia="微软雅黑" w:cs="微软雅黑"/>
          <w:sz w:val="24"/>
          <w:szCs w:val="24"/>
        </w:rPr>
      </w:pPr>
      <w:r>
        <w:rPr>
          <w:rFonts w:hint="eastAsia" w:ascii="仿宋" w:hAnsi="仿宋" w:eastAsia="仿宋" w:cs="仿宋"/>
          <w:color w:val="000000"/>
          <w:spacing w:val="10"/>
          <w:kern w:val="2"/>
          <w:sz w:val="28"/>
          <w:szCs w:val="28"/>
          <w:shd w:val="clear" w:color="auto" w:fill="auto"/>
          <w:lang w:val="en-US" w:eastAsia="zh-CN" w:bidi="ar-SA"/>
        </w:rPr>
        <w:t>6.信息上报。</w:t>
      </w:r>
    </w:p>
    <w:p>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（五）双重预防体系持续改进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1.评估；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2.更新；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3.沟通；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4.考核。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default"/>
          <w:lang w:val="en-US" w:eastAsia="zh-CN"/>
        </w:rPr>
      </w:pPr>
      <w:r>
        <w:rPr>
          <w:rFonts w:hint="eastAsia" w:ascii="仿宋" w:hAnsi="仿宋" w:eastAsia="仿宋" w:cs="仿宋"/>
          <w:color w:val="000000"/>
          <w:spacing w:val="10"/>
          <w:kern w:val="2"/>
          <w:sz w:val="28"/>
          <w:szCs w:val="28"/>
          <w:shd w:val="clear" w:color="auto" w:fill="auto"/>
          <w:lang w:val="en-US" w:eastAsia="zh-CN" w:bidi="ar-SA"/>
        </w:rPr>
        <w:t xml:space="preserve">（六）双重预防体系的信息化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Chars="0" w:firstLine="506" w:firstLineChars="2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二、培训对象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各建设工程质量安全监督主管领导和有关人员；各建设单位主要安全负责人、技术、安全、法务、相关部门负责人员、专职安全生产管理人员；监理单位项目总监和安全监理工程师；设计院总工程师、技术、安全、法务负责人等。</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Chars="0" w:firstLine="506" w:firstLineChars="2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三、授课师资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届时邀请住建部有关部门、北京建筑大学、建设工程质量监督站等有关部门具有丰富实践经验的专家授课。培训将结合经典案例分析，进行现场答疑和互动交流。</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Chars="0" w:firstLine="506" w:firstLineChars="200"/>
        <w:jc w:val="both"/>
        <w:rPr>
          <w:rFonts w:hint="eastAsia" w:ascii="仿宋" w:hAnsi="仿宋" w:eastAsia="仿宋" w:cs="仿宋"/>
          <w:b/>
          <w:bCs/>
          <w:color w:val="000000"/>
          <w:w w:val="90"/>
          <w:kern w:val="2"/>
          <w:sz w:val="28"/>
          <w:szCs w:val="28"/>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Chars="0" w:firstLine="506" w:firstLineChars="200"/>
        <w:jc w:val="both"/>
        <w:rPr>
          <w:rFonts w:hint="eastAsia" w:ascii="仿宋" w:hAnsi="仿宋" w:eastAsia="仿宋" w:cs="仿宋"/>
          <w:b/>
          <w:bCs/>
          <w:color w:val="000000"/>
          <w:w w:val="90"/>
          <w:kern w:val="2"/>
          <w:sz w:val="28"/>
          <w:szCs w:val="28"/>
          <w:lang w:val="en-US" w:eastAsia="zh-CN"/>
        </w:rPr>
      </w:pPr>
      <w:r>
        <w:rPr>
          <w:rFonts w:hint="eastAsia" w:ascii="仿宋" w:hAnsi="仿宋" w:eastAsia="仿宋" w:cs="仿宋"/>
          <w:b/>
          <w:bCs/>
          <w:color w:val="000000"/>
          <w:w w:val="90"/>
          <w:kern w:val="2"/>
          <w:sz w:val="28"/>
          <w:szCs w:val="28"/>
          <w:lang w:val="en-US" w:eastAsia="zh-CN"/>
        </w:rPr>
        <w:t>四、</w:t>
      </w:r>
      <w:r>
        <w:rPr>
          <w:rFonts w:hint="eastAsia" w:ascii="仿宋" w:hAnsi="仿宋" w:eastAsia="仿宋" w:cs="仿宋"/>
          <w:b/>
          <w:bCs/>
          <w:color w:val="000000"/>
          <w:w w:val="90"/>
          <w:kern w:val="2"/>
          <w:sz w:val="28"/>
          <w:szCs w:val="28"/>
        </w:rPr>
        <w:t>培训时间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color="auto" w:fill="auto"/>
          <w:lang w:val="en-US" w:eastAsia="zh-CN" w:bidi="ar-SA"/>
        </w:rPr>
        <w:t>2024年3月22日一3月25日  厦门市  (22日全天报到)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color="auto" w:fill="auto"/>
          <w:lang w:val="en-US" w:eastAsia="zh-CN" w:bidi="ar-SA"/>
        </w:rPr>
        <w:t>2024年4月19日一4月22日  杭州市  (19日全天报到)</w:t>
      </w:r>
    </w:p>
    <w:p>
      <w:pPr>
        <w:spacing w:line="500" w:lineRule="exact"/>
        <w:ind w:firstLine="560" w:firstLineChars="200"/>
        <w:rPr>
          <w:rFonts w:hint="eastAsia"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color="auto" w:fill="auto"/>
          <w:lang w:val="en-US" w:eastAsia="zh-CN" w:bidi="ar-SA"/>
        </w:rPr>
        <w:t>2024年5月24日—5月27日  郑州市  （24日全天报到）</w:t>
      </w:r>
    </w:p>
    <w:p>
      <w:pPr>
        <w:keepNext w:val="0"/>
        <w:keepLines w:val="0"/>
        <w:pageBreakBefore w:val="0"/>
        <w:tabs>
          <w:tab w:val="left" w:pos="567"/>
          <w:tab w:val="left" w:pos="709"/>
        </w:tabs>
        <w:kinsoku/>
        <w:wordWrap/>
        <w:overflowPunct/>
        <w:topLinePunct w:val="0"/>
        <w:autoSpaceDE/>
        <w:autoSpaceDN/>
        <w:bidi w:val="0"/>
        <w:adjustRightInd/>
        <w:snapToGrid/>
        <w:spacing w:line="480" w:lineRule="exact"/>
        <w:ind w:leftChars="0" w:firstLine="506" w:firstLineChars="200"/>
        <w:textAlignment w:val="baseline"/>
        <w:outlineLvl w:val="0"/>
        <w:rPr>
          <w:rFonts w:hint="eastAsia" w:ascii="仿宋" w:hAnsi="仿宋" w:eastAsia="仿宋" w:cs="仿宋"/>
          <w:b/>
          <w:bCs/>
          <w:color w:val="000000"/>
          <w:w w:val="90"/>
          <w:sz w:val="28"/>
          <w:szCs w:val="28"/>
        </w:rPr>
      </w:pPr>
      <w:r>
        <w:rPr>
          <w:rFonts w:hint="eastAsia" w:ascii="仿宋" w:hAnsi="仿宋" w:eastAsia="仿宋" w:cs="仿宋"/>
          <w:b/>
          <w:bCs/>
          <w:color w:val="000000"/>
          <w:w w:val="90"/>
          <w:sz w:val="28"/>
          <w:szCs w:val="28"/>
        </w:rPr>
        <w:t>五、收费标准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A.3880元/人（含培训、资料、电子课件、场地及培训期间午餐），住宿统一安排，费用自理。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B.5880元/人（含培训、资料、电子课件、场地、证书及培训期间午餐），住宿统一安排，费用自理。证书由我会颁发《安全总监》或《安全管理工程师》”。所需资料:二寸蓝底免冠彩色照片、身份证正反面、学历证书复印件等电子版材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06" w:firstLineChars="200"/>
        <w:textAlignment w:val="auto"/>
        <w:rPr>
          <w:rFonts w:hint="eastAsia" w:ascii="仿宋" w:hAnsi="仿宋" w:eastAsia="仿宋" w:cs="仿宋"/>
          <w:b/>
          <w:bCs/>
          <w:color w:val="000000"/>
          <w:w w:val="90"/>
          <w:sz w:val="28"/>
          <w:szCs w:val="28"/>
        </w:rPr>
      </w:pPr>
      <w:r>
        <w:rPr>
          <w:rFonts w:hint="eastAsia" w:ascii="仿宋" w:hAnsi="仿宋" w:eastAsia="仿宋" w:cs="仿宋"/>
          <w:b/>
          <w:bCs/>
          <w:color w:val="000000"/>
          <w:w w:val="90"/>
          <w:sz w:val="28"/>
          <w:szCs w:val="28"/>
          <w:lang w:val="en-US" w:eastAsia="zh-CN"/>
        </w:rPr>
        <w:t>六</w:t>
      </w:r>
      <w:r>
        <w:rPr>
          <w:rFonts w:hint="eastAsia" w:ascii="仿宋" w:hAnsi="仿宋" w:eastAsia="仿宋" w:cs="仿宋"/>
          <w:b/>
          <w:bCs/>
          <w:color w:val="000000"/>
          <w:w w:val="90"/>
          <w:sz w:val="28"/>
          <w:szCs w:val="28"/>
        </w:rPr>
        <w:t>、报名办法</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 xml:space="preserve">报名负责人：聂红军 主任18211071700（微信）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 xml:space="preserve">电  话：13141289128        邮    箱：zqgphwz@126.com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textAlignment w:val="auto"/>
        <w:rPr>
          <w:rFonts w:hint="eastAsia" w:ascii="仿宋" w:hAnsi="仿宋" w:eastAsia="仿宋"/>
          <w:bCs/>
          <w:color w:val="000000"/>
          <w:w w:val="90"/>
          <w:sz w:val="28"/>
          <w:szCs w:val="28"/>
        </w:rPr>
      </w:pPr>
      <w:r>
        <w:rPr>
          <w:rFonts w:hint="eastAsia" w:ascii="仿宋" w:hAnsi="仿宋" w:eastAsia="仿宋" w:cs="仿宋"/>
          <w:color w:val="000000"/>
          <w:spacing w:val="10"/>
          <w:kern w:val="2"/>
          <w:sz w:val="28"/>
          <w:szCs w:val="28"/>
          <w:shd w:val="clear" w:color="auto" w:fill="auto"/>
          <w:lang w:val="en-US" w:eastAsia="zh-CN"/>
        </w:rPr>
        <w:t>qq咨询：3177524020      网    址：http://www.zqgpchina.cn</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08" w:firstLineChars="253"/>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宋体"/>
          <w:kern w:val="0"/>
          <w:sz w:val="28"/>
          <w:szCs w:val="28"/>
          <w:shd w:val="clear"/>
          <w:lang w:val="en-US" w:eastAsia="zh-CN" w:bidi="ar-SA"/>
        </w:rPr>
        <w:drawing>
          <wp:anchor distT="0" distB="0" distL="114300" distR="114300" simplePos="0" relativeHeight="251661312" behindDoc="1" locked="0" layoutInCell="1" allowOverlap="1">
            <wp:simplePos x="0" y="0"/>
            <wp:positionH relativeFrom="column">
              <wp:posOffset>3407410</wp:posOffset>
            </wp:positionH>
            <wp:positionV relativeFrom="paragraph">
              <wp:posOffset>262255</wp:posOffset>
            </wp:positionV>
            <wp:extent cx="1522095" cy="1511935"/>
            <wp:effectExtent l="0" t="0" r="1905" b="12065"/>
            <wp:wrapNone/>
            <wp:docPr id="10"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中国国际工程咨询协会（无背景）"/>
                    <pic:cNvPicPr>
                      <a:picLocks noChangeAspect="1" noChangeArrowheads="1"/>
                    </pic:cNvPicPr>
                  </pic:nvPicPr>
                  <pic:blipFill>
                    <a:blip r:embed="rId5">
                      <a:lum bright="22000"/>
                    </a:blip>
                    <a:srcRect/>
                    <a:stretch>
                      <a:fillRect/>
                    </a:stretch>
                  </pic:blipFill>
                  <pic:spPr>
                    <a:xfrm>
                      <a:off x="0" y="0"/>
                      <a:ext cx="1522095" cy="1511935"/>
                    </a:xfrm>
                    <a:prstGeom prst="rect">
                      <a:avLst/>
                    </a:prstGeom>
                    <a:noFill/>
                    <a:ln w="9525">
                      <a:noFill/>
                      <a:miter lim="800000"/>
                      <a:headEnd/>
                      <a:tailEnd/>
                    </a:ln>
                  </pic:spPr>
                </pic:pic>
              </a:graphicData>
            </a:graphic>
          </wp:anchor>
        </w:drawing>
      </w:r>
      <w:r>
        <w:rPr>
          <w:rFonts w:hint="eastAsia" w:ascii="仿宋" w:hAnsi="仿宋" w:eastAsia="仿宋"/>
          <w:bCs/>
          <w:color w:val="000000"/>
          <w:w w:val="90"/>
          <w:sz w:val="28"/>
          <w:szCs w:val="28"/>
        </w:rPr>
        <w:t xml:space="preserve">附件：报名回执表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5100" w:firstLineChars="17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中国国际工程咨询协会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default"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 xml:space="preserve">                               二〇二四一月八日</w:t>
      </w:r>
    </w:p>
    <w:p>
      <w:pPr>
        <w:keepNext w:val="0"/>
        <w:keepLines w:val="0"/>
        <w:pageBreakBefore w:val="0"/>
        <w:tabs>
          <w:tab w:val="left" w:pos="567"/>
          <w:tab w:val="left" w:pos="709"/>
        </w:tabs>
        <w:kinsoku/>
        <w:wordWrap/>
        <w:overflowPunct/>
        <w:topLinePunct w:val="0"/>
        <w:autoSpaceDE/>
        <w:autoSpaceDN/>
        <w:bidi w:val="0"/>
        <w:adjustRightInd/>
        <w:snapToGrid/>
        <w:spacing w:line="400" w:lineRule="exact"/>
        <w:ind w:firstLine="253" w:firstLineChars="100"/>
        <w:jc w:val="center"/>
        <w:textAlignment w:val="baseline"/>
        <w:outlineLvl w:val="0"/>
        <w:rPr>
          <w:rFonts w:ascii="宋体" w:hAnsi="宋体"/>
          <w:b/>
          <w:w w:val="90"/>
          <w:sz w:val="28"/>
          <w:szCs w:val="28"/>
        </w:rPr>
      </w:pPr>
    </w:p>
    <w:p>
      <w:pPr>
        <w:pStyle w:val="8"/>
        <w:ind w:left="0" w:leftChars="0" w:firstLine="0" w:firstLineChars="0"/>
        <w:rPr>
          <w:rFonts w:ascii="宋体" w:hAnsi="宋体"/>
          <w:b/>
          <w:w w:val="90"/>
          <w:sz w:val="28"/>
          <w:szCs w:val="28"/>
        </w:rPr>
      </w:pPr>
    </w:p>
    <w:p>
      <w:pPr>
        <w:tabs>
          <w:tab w:val="left" w:pos="567"/>
          <w:tab w:val="left" w:pos="709"/>
        </w:tabs>
        <w:spacing w:line="240" w:lineRule="auto"/>
        <w:jc w:val="center"/>
        <w:textAlignment w:val="baseline"/>
        <w:outlineLvl w:val="0"/>
        <w:rPr>
          <w:rFonts w:hint="eastAsia" w:ascii="仿宋" w:hAnsi="仿宋" w:eastAsia="仿宋" w:cs="仿宋_GB2312"/>
          <w:b/>
          <w:bCs/>
          <w:color w:val="000000"/>
          <w:sz w:val="32"/>
          <w:szCs w:val="32"/>
          <w:lang w:val="en-US" w:eastAsia="zh-CN"/>
        </w:rPr>
      </w:pPr>
    </w:p>
    <w:p>
      <w:pPr>
        <w:pStyle w:val="8"/>
        <w:rPr>
          <w:rFonts w:hint="eastAsia" w:ascii="仿宋" w:hAnsi="仿宋" w:eastAsia="仿宋" w:cs="仿宋_GB2312"/>
          <w:b/>
          <w:bCs/>
          <w:color w:val="000000"/>
          <w:sz w:val="32"/>
          <w:szCs w:val="32"/>
          <w:lang w:val="en-US" w:eastAsia="zh-CN"/>
        </w:rPr>
      </w:pPr>
    </w:p>
    <w:p>
      <w:pPr>
        <w:pStyle w:val="8"/>
        <w:rPr>
          <w:rFonts w:hint="eastAsia" w:ascii="仿宋" w:hAnsi="仿宋" w:eastAsia="仿宋" w:cs="仿宋_GB2312"/>
          <w:b/>
          <w:bCs/>
          <w:color w:val="000000"/>
          <w:sz w:val="32"/>
          <w:szCs w:val="32"/>
          <w:lang w:val="en-US" w:eastAsia="zh-CN"/>
        </w:rPr>
      </w:pPr>
    </w:p>
    <w:p>
      <w:pPr>
        <w:pStyle w:val="8"/>
        <w:rPr>
          <w:rFonts w:hint="eastAsia" w:ascii="仿宋" w:hAnsi="仿宋" w:eastAsia="仿宋" w:cs="仿宋_GB2312"/>
          <w:b/>
          <w:bCs/>
          <w:color w:val="000000"/>
          <w:sz w:val="32"/>
          <w:szCs w:val="32"/>
          <w:lang w:val="en-US" w:eastAsia="zh-CN"/>
        </w:rPr>
      </w:pPr>
    </w:p>
    <w:p>
      <w:pPr>
        <w:pStyle w:val="8"/>
        <w:rPr>
          <w:rFonts w:hint="eastAsia" w:ascii="仿宋" w:hAnsi="仿宋" w:eastAsia="仿宋" w:cs="仿宋_GB2312"/>
          <w:b/>
          <w:bCs/>
          <w:color w:val="000000"/>
          <w:sz w:val="32"/>
          <w:szCs w:val="32"/>
          <w:lang w:val="en-US" w:eastAsia="zh-CN"/>
        </w:rPr>
      </w:pPr>
    </w:p>
    <w:p>
      <w:pPr>
        <w:tabs>
          <w:tab w:val="left" w:pos="567"/>
          <w:tab w:val="left" w:pos="709"/>
        </w:tabs>
        <w:spacing w:line="240" w:lineRule="auto"/>
        <w:jc w:val="center"/>
        <w:textAlignment w:val="baseline"/>
        <w:outlineLvl w:val="0"/>
        <w:rPr>
          <w:rFonts w:hint="eastAsia" w:ascii="仿宋" w:hAnsi="仿宋" w:eastAsia="仿宋" w:cs="仿宋_GB2312"/>
          <w:b/>
          <w:bCs/>
          <w:color w:val="000000"/>
          <w:sz w:val="32"/>
          <w:szCs w:val="32"/>
          <w:lang w:val="en-US" w:eastAsia="zh-CN"/>
        </w:rPr>
      </w:pPr>
    </w:p>
    <w:p>
      <w:pPr>
        <w:tabs>
          <w:tab w:val="left" w:pos="567"/>
          <w:tab w:val="left" w:pos="709"/>
        </w:tabs>
        <w:spacing w:line="240" w:lineRule="auto"/>
        <w:jc w:val="center"/>
        <w:textAlignment w:val="baseline"/>
        <w:outlineLvl w:val="0"/>
        <w:rPr>
          <w:rFonts w:hint="eastAsia" w:ascii="仿宋" w:hAnsi="仿宋" w:eastAsia="仿宋" w:cs="仿宋_GB2312"/>
          <w:b/>
          <w:bCs/>
          <w:color w:val="000000"/>
          <w:sz w:val="32"/>
          <w:szCs w:val="32"/>
        </w:rPr>
      </w:pPr>
      <w:r>
        <w:rPr>
          <w:rFonts w:hint="eastAsia" w:ascii="仿宋" w:hAnsi="仿宋" w:eastAsia="仿宋" w:cs="仿宋_GB2312"/>
          <w:b/>
          <w:bCs/>
          <w:color w:val="000000"/>
          <w:sz w:val="32"/>
          <w:szCs w:val="32"/>
          <w:lang w:val="en-US" w:eastAsia="zh-CN"/>
        </w:rPr>
        <w:t>危大工程安全管控、重大事故隐患排查整治与建筑施工安全双重预防体系建设</w:t>
      </w:r>
      <w:r>
        <w:rPr>
          <w:rFonts w:hint="eastAsia" w:ascii="仿宋" w:hAnsi="仿宋" w:eastAsia="仿宋" w:cs="仿宋_GB2312"/>
          <w:b/>
          <w:bCs/>
          <w:color w:val="000000"/>
          <w:sz w:val="32"/>
          <w:szCs w:val="32"/>
        </w:rPr>
        <w:t>专题培训班报名回执表</w:t>
      </w:r>
    </w:p>
    <w:tbl>
      <w:tblPr>
        <w:tblStyle w:val="9"/>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both"/>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性别</w:t>
            </w:r>
          </w:p>
        </w:tc>
        <w:tc>
          <w:tcPr>
            <w:tcW w:w="1293"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单住□      合住□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证书申报</w:t>
            </w:r>
          </w:p>
        </w:tc>
        <w:tc>
          <w:tcPr>
            <w:tcW w:w="8159" w:type="dxa"/>
            <w:gridSpan w:val="5"/>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left"/>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kern w:val="0"/>
                <w:sz w:val="28"/>
                <w:szCs w:val="28"/>
                <w:lang w:val="zh-CN"/>
              </w:rPr>
              <w:t xml:space="preserve">安全总监□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lang w:val="zh-CN"/>
              </w:rPr>
              <w:t xml:space="preserve">安全管理工程师□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pPr>
              <w:tabs>
                <w:tab w:val="left" w:pos="567"/>
                <w:tab w:val="left" w:pos="709"/>
              </w:tabs>
              <w:spacing w:line="300" w:lineRule="exact"/>
              <w:jc w:val="both"/>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转账□      现场□</w:t>
            </w: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收款信息</w:t>
            </w:r>
          </w:p>
        </w:tc>
        <w:tc>
          <w:tcPr>
            <w:tcW w:w="8159" w:type="dxa"/>
            <w:gridSpan w:val="5"/>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开户名称：北京比时教育咨询有限公司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开 户 行：中国工商银行股份有限公司北京公主坟支行</w:t>
            </w:r>
          </w:p>
          <w:p>
            <w:pPr>
              <w:keepNext w:val="0"/>
              <w:keepLines w:val="0"/>
              <w:pageBreakBefore w:val="0"/>
              <w:widowControl w:val="0"/>
              <w:tabs>
                <w:tab w:val="left" w:pos="567"/>
                <w:tab w:val="left" w:pos="709"/>
              </w:tabs>
              <w:kinsoku/>
              <w:wordWrap/>
              <w:overflowPunct/>
              <w:topLinePunct w:val="0"/>
              <w:autoSpaceDE/>
              <w:autoSpaceDN/>
              <w:bidi w:val="0"/>
              <w:adjustRightInd/>
              <w:snapToGrid/>
              <w:spacing w:line="44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sz w:val="28"/>
                <w:szCs w:val="28"/>
              </w:rPr>
              <w:t>账    号：0200004609200665735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本</w:t>
            </w:r>
            <w:r>
              <w:rPr>
                <w:rFonts w:ascii="仿宋" w:hAnsi="仿宋" w:eastAsia="仿宋" w:cs="仿宋"/>
                <w:bCs/>
                <w:color w:val="000000" w:themeColor="text1"/>
                <w:sz w:val="28"/>
                <w:szCs w:val="28"/>
                <w14:textFill>
                  <w14:solidFill>
                    <w14:schemeClr w14:val="tx1"/>
                  </w14:solidFill>
                </w14:textFill>
              </w:rPr>
              <w:t>课程可</w:t>
            </w:r>
            <w:r>
              <w:rPr>
                <w:rFonts w:hint="eastAsia" w:ascii="仿宋" w:hAnsi="仿宋" w:eastAsia="仿宋" w:cs="仿宋"/>
                <w:bCs/>
                <w:color w:val="000000" w:themeColor="text1"/>
                <w:sz w:val="28"/>
                <w:szCs w:val="28"/>
                <w:lang w:val="en-US" w:eastAsia="zh-CN"/>
                <w14:textFill>
                  <w14:solidFill>
                    <w14:schemeClr w14:val="tx1"/>
                  </w14:solidFill>
                </w14:textFill>
              </w:rPr>
              <w:t>根</w:t>
            </w:r>
            <w:r>
              <w:rPr>
                <w:rFonts w:ascii="仿宋" w:hAnsi="仿宋" w:eastAsia="仿宋" w:cs="仿宋"/>
                <w:bCs/>
                <w:color w:val="000000" w:themeColor="text1"/>
                <w:sz w:val="28"/>
                <w:szCs w:val="28"/>
                <w14:textFill>
                  <w14:solidFill>
                    <w14:schemeClr w14:val="tx1"/>
                  </w14:solidFill>
                </w14:textFill>
              </w:rPr>
              <w:t>据</w:t>
            </w:r>
            <w:r>
              <w:rPr>
                <w:rFonts w:hint="eastAsia" w:ascii="仿宋" w:hAnsi="仿宋" w:eastAsia="仿宋" w:cs="仿宋"/>
                <w:bCs/>
                <w:color w:val="000000" w:themeColor="text1"/>
                <w:sz w:val="28"/>
                <w:szCs w:val="28"/>
                <w:lang w:val="en-US" w:eastAsia="zh-CN"/>
                <w14:textFill>
                  <w14:solidFill>
                    <w14:schemeClr w14:val="tx1"/>
                  </w14:solidFill>
                </w14:textFill>
              </w:rPr>
              <w:t>单位实际</w:t>
            </w:r>
            <w:r>
              <w:rPr>
                <w:rFonts w:ascii="仿宋" w:hAnsi="仿宋" w:eastAsia="仿宋" w:cs="仿宋"/>
                <w:bCs/>
                <w:color w:val="000000" w:themeColor="text1"/>
                <w:sz w:val="28"/>
                <w:szCs w:val="28"/>
                <w14:textFill>
                  <w14:solidFill>
                    <w14:schemeClr w14:val="tx1"/>
                  </w14:solidFill>
                </w14:textFill>
              </w:rPr>
              <w:t>需</w:t>
            </w:r>
          </w:p>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求</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提供</w:t>
            </w:r>
            <w:r>
              <w:rPr>
                <w:rFonts w:ascii="仿宋" w:hAnsi="仿宋" w:eastAsia="仿宋" w:cs="仿宋"/>
                <w:bCs/>
                <w:color w:val="000000" w:themeColor="text1"/>
                <w:sz w:val="28"/>
                <w:szCs w:val="28"/>
                <w14:textFill>
                  <w14:solidFill>
                    <w14:schemeClr w14:val="tx1"/>
                  </w14:solidFill>
                </w14:textFill>
              </w:rPr>
              <w:t>内部培训</w:t>
            </w:r>
            <w:r>
              <w:rPr>
                <w:rFonts w:hint="eastAsia" w:ascii="仿宋" w:hAnsi="仿宋" w:eastAsia="仿宋" w:cs="仿宋"/>
                <w:bCs/>
                <w:color w:val="000000" w:themeColor="text1"/>
                <w:sz w:val="28"/>
                <w:szCs w:val="28"/>
                <w:lang w:eastAsia="zh-CN"/>
                <w14:textFill>
                  <w14:solidFill>
                    <w14:schemeClr w14:val="tx1"/>
                  </w14:solidFill>
                </w14:textFill>
              </w:rPr>
              <w:t>。</w:t>
            </w:r>
          </w:p>
        </w:tc>
        <w:tc>
          <w:tcPr>
            <w:tcW w:w="4060" w:type="dxa"/>
            <w:gridSpan w:val="2"/>
            <w:vAlign w:val="center"/>
          </w:tcPr>
          <w:p>
            <w:pPr>
              <w:tabs>
                <w:tab w:val="left" w:pos="567"/>
                <w:tab w:val="left" w:pos="709"/>
              </w:tabs>
              <w:spacing w:line="300" w:lineRule="exact"/>
              <w:ind w:firstLine="280" w:firstLineChars="1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参加</w:t>
            </w:r>
            <w:r>
              <w:rPr>
                <w:rFonts w:ascii="仿宋" w:hAnsi="仿宋" w:eastAsia="仿宋" w:cs="仿宋"/>
                <w:bCs/>
                <w:color w:val="000000" w:themeColor="text1"/>
                <w:sz w:val="28"/>
                <w:szCs w:val="28"/>
                <w14:textFill>
                  <w14:solidFill>
                    <w14:schemeClr w14:val="tx1"/>
                  </w14:solidFill>
                </w14:textFill>
              </w:rPr>
              <w:t>单位</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盖章</w:t>
            </w:r>
            <w:r>
              <w:rPr>
                <w:rFonts w:hint="eastAsia" w:ascii="仿宋" w:hAnsi="仿宋" w:eastAsia="仿宋" w:cs="仿宋"/>
                <w:bCs/>
                <w:color w:val="000000" w:themeColor="text1"/>
                <w:sz w:val="28"/>
                <w:szCs w:val="28"/>
                <w:lang w:eastAsia="zh-CN"/>
                <w14:textFill>
                  <w14:solidFill>
                    <w14:schemeClr w14:val="tx1"/>
                  </w14:solidFill>
                </w14:textFill>
              </w:rPr>
              <w:t>）</w:t>
            </w:r>
          </w:p>
          <w:p>
            <w:pPr>
              <w:pStyle w:val="8"/>
              <w:tabs>
                <w:tab w:val="left" w:pos="-1440"/>
              </w:tabs>
              <w:rPr>
                <w:rFonts w:hint="default"/>
              </w:rPr>
            </w:pPr>
          </w:p>
          <w:p>
            <w:pPr>
              <w:tabs>
                <w:tab w:val="left" w:pos="567"/>
                <w:tab w:val="left" w:pos="709"/>
              </w:tabs>
              <w:spacing w:line="300" w:lineRule="exact"/>
              <w:ind w:firstLine="280" w:firstLineChars="100"/>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4</w:t>
            </w:r>
            <w:r>
              <w:rPr>
                <w:rFonts w:ascii="仿宋" w:hAnsi="仿宋" w:eastAsia="仿宋" w:cs="仿宋"/>
                <w:bCs/>
                <w:color w:val="000000" w:themeColor="text1"/>
                <w:sz w:val="28"/>
                <w:szCs w:val="28"/>
                <w14:textFill>
                  <w14:solidFill>
                    <w14:schemeClr w14:val="tx1"/>
                  </w14:solidFill>
                </w14:textFill>
              </w:rPr>
              <w:t>年  月  日</w:t>
            </w:r>
          </w:p>
        </w:tc>
      </w:tr>
    </w:tbl>
    <w:p>
      <w:pPr>
        <w:spacing w:line="400" w:lineRule="exact"/>
        <w:rPr>
          <w:rStyle w:val="11"/>
          <w:rFonts w:hint="eastAsia" w:ascii="仿宋" w:hAnsi="仿宋" w:eastAsia="仿宋" w:cs="仿宋"/>
          <w:b w:val="0"/>
          <w:bCs w:val="0"/>
          <w:color w:val="000000"/>
          <w:sz w:val="28"/>
          <w:szCs w:val="28"/>
          <w:lang w:val="zh-CN"/>
        </w:rPr>
      </w:pPr>
      <w:r>
        <w:rPr>
          <w:rStyle w:val="11"/>
          <w:rFonts w:hint="eastAsia" w:ascii="仿宋" w:hAnsi="仿宋" w:eastAsia="仿宋" w:cs="仿宋"/>
          <w:b w:val="0"/>
          <w:bCs w:val="0"/>
          <w:color w:val="000000"/>
          <w:sz w:val="28"/>
          <w:szCs w:val="28"/>
          <w:lang w:val="zh-CN"/>
        </w:rPr>
        <w:t xml:space="preserve">报名负责人：聂红军 主任18211071700（微信）   </w:t>
      </w:r>
    </w:p>
    <w:p>
      <w:pPr>
        <w:spacing w:line="400" w:lineRule="exact"/>
        <w:rPr>
          <w:rStyle w:val="11"/>
          <w:rFonts w:hint="eastAsia" w:ascii="仿宋" w:hAnsi="仿宋" w:eastAsia="仿宋" w:cs="仿宋"/>
          <w:b w:val="0"/>
          <w:bCs w:val="0"/>
          <w:color w:val="000000"/>
          <w:sz w:val="28"/>
          <w:szCs w:val="28"/>
          <w:lang w:val="zh-CN"/>
        </w:rPr>
      </w:pPr>
      <w:r>
        <w:rPr>
          <w:rStyle w:val="11"/>
          <w:rFonts w:hint="eastAsia" w:ascii="仿宋" w:hAnsi="仿宋" w:eastAsia="仿宋" w:cs="仿宋"/>
          <w:b w:val="0"/>
          <w:bCs w:val="0"/>
          <w:color w:val="000000"/>
          <w:sz w:val="28"/>
          <w:szCs w:val="28"/>
          <w:lang w:val="zh-CN"/>
        </w:rPr>
        <w:t xml:space="preserve">电  话：13141289128        邮    箱：zqgphwz@126.com  </w:t>
      </w:r>
    </w:p>
    <w:p>
      <w:pPr>
        <w:spacing w:line="400" w:lineRule="exact"/>
        <w:rPr>
          <w:rFonts w:ascii="仿宋" w:hAnsi="仿宋" w:eastAsia="仿宋" w:cs="仿宋_GB2312"/>
          <w:bCs/>
          <w:color w:val="000000"/>
          <w:sz w:val="28"/>
          <w:szCs w:val="28"/>
        </w:rPr>
      </w:pPr>
      <w:r>
        <w:rPr>
          <w:rStyle w:val="11"/>
          <w:rFonts w:hint="eastAsia" w:ascii="仿宋" w:hAnsi="仿宋" w:eastAsia="仿宋" w:cs="仿宋"/>
          <w:b w:val="0"/>
          <w:bCs w:val="0"/>
          <w:color w:val="000000"/>
          <w:sz w:val="28"/>
          <w:szCs w:val="28"/>
          <w:lang w:val="zh-CN"/>
        </w:rPr>
        <w:t>qq咨询：3177524020        网    址：http://www.zqgpchina.cn</w:t>
      </w:r>
      <w:bookmarkStart w:id="0" w:name="_GoBack"/>
      <w:bookmarkEnd w:id="0"/>
    </w:p>
    <w:sectPr>
      <w:footerReference r:id="rId3" w:type="default"/>
      <w:pgSz w:w="11906" w:h="16838"/>
      <w:pgMar w:top="1270" w:right="1366" w:bottom="1100" w:left="142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BoyU3yNgIAAGAEAAAOAAAAAAAAAAEAIAAAACA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WM5NTU3NmQwMzYzZGY2NjUyMjZkNDUzMDVhNDkifQ=="/>
    <w:docVar w:name="KSO_WPS_MARK_KEY" w:val="04948db4-c2c6-4cef-bd05-440a987e6d40"/>
  </w:docVars>
  <w:rsids>
    <w:rsidRoot w:val="00262547"/>
    <w:rsid w:val="000429A6"/>
    <w:rsid w:val="000635BD"/>
    <w:rsid w:val="00066FC8"/>
    <w:rsid w:val="00086FD1"/>
    <w:rsid w:val="000D623B"/>
    <w:rsid w:val="00252A19"/>
    <w:rsid w:val="00262547"/>
    <w:rsid w:val="00277DD1"/>
    <w:rsid w:val="002F0B09"/>
    <w:rsid w:val="002F6C5F"/>
    <w:rsid w:val="003A6EAE"/>
    <w:rsid w:val="00442A90"/>
    <w:rsid w:val="004B3B4B"/>
    <w:rsid w:val="004E5835"/>
    <w:rsid w:val="00503116"/>
    <w:rsid w:val="00625061"/>
    <w:rsid w:val="00734CF6"/>
    <w:rsid w:val="007921F3"/>
    <w:rsid w:val="007A06B4"/>
    <w:rsid w:val="007E5692"/>
    <w:rsid w:val="00861FC2"/>
    <w:rsid w:val="009E2C08"/>
    <w:rsid w:val="00A07D70"/>
    <w:rsid w:val="00B55B6B"/>
    <w:rsid w:val="00B66847"/>
    <w:rsid w:val="00B97CF5"/>
    <w:rsid w:val="00BE182B"/>
    <w:rsid w:val="00C57CC7"/>
    <w:rsid w:val="00C82A2D"/>
    <w:rsid w:val="00CB2F51"/>
    <w:rsid w:val="00CC29D9"/>
    <w:rsid w:val="00D35C76"/>
    <w:rsid w:val="00D36F84"/>
    <w:rsid w:val="00D870D9"/>
    <w:rsid w:val="00DA7144"/>
    <w:rsid w:val="00DE1821"/>
    <w:rsid w:val="00E14F97"/>
    <w:rsid w:val="00EC7C83"/>
    <w:rsid w:val="00F20FDA"/>
    <w:rsid w:val="00F820DE"/>
    <w:rsid w:val="03B3582F"/>
    <w:rsid w:val="03CE231F"/>
    <w:rsid w:val="046223BE"/>
    <w:rsid w:val="063F1274"/>
    <w:rsid w:val="07097292"/>
    <w:rsid w:val="07D01B5E"/>
    <w:rsid w:val="07D45C0F"/>
    <w:rsid w:val="086B2BCC"/>
    <w:rsid w:val="08C2594B"/>
    <w:rsid w:val="094B11BC"/>
    <w:rsid w:val="0A971D96"/>
    <w:rsid w:val="0B30198C"/>
    <w:rsid w:val="0E767C02"/>
    <w:rsid w:val="101133B7"/>
    <w:rsid w:val="105129C5"/>
    <w:rsid w:val="107C6D27"/>
    <w:rsid w:val="1149633E"/>
    <w:rsid w:val="1427110F"/>
    <w:rsid w:val="149061D5"/>
    <w:rsid w:val="14AE254B"/>
    <w:rsid w:val="14F2095A"/>
    <w:rsid w:val="15AA6BE9"/>
    <w:rsid w:val="173533D7"/>
    <w:rsid w:val="1FB12AFA"/>
    <w:rsid w:val="22D84291"/>
    <w:rsid w:val="232178B1"/>
    <w:rsid w:val="23F80E16"/>
    <w:rsid w:val="24743B45"/>
    <w:rsid w:val="24DC4D6F"/>
    <w:rsid w:val="26E522F3"/>
    <w:rsid w:val="27F96D69"/>
    <w:rsid w:val="281612B4"/>
    <w:rsid w:val="2944586D"/>
    <w:rsid w:val="2B7546E9"/>
    <w:rsid w:val="2C2354FA"/>
    <w:rsid w:val="2C9F5E1F"/>
    <w:rsid w:val="2DC203B6"/>
    <w:rsid w:val="2E58122D"/>
    <w:rsid w:val="2F555843"/>
    <w:rsid w:val="30ED12C3"/>
    <w:rsid w:val="3391591B"/>
    <w:rsid w:val="33A41AA3"/>
    <w:rsid w:val="343F5187"/>
    <w:rsid w:val="357B0FAE"/>
    <w:rsid w:val="3699743B"/>
    <w:rsid w:val="37610C7D"/>
    <w:rsid w:val="379813FB"/>
    <w:rsid w:val="37C82AE4"/>
    <w:rsid w:val="39491CE4"/>
    <w:rsid w:val="3A2B124D"/>
    <w:rsid w:val="3AD429C2"/>
    <w:rsid w:val="3D2A7B71"/>
    <w:rsid w:val="3D7229E8"/>
    <w:rsid w:val="3E664B6D"/>
    <w:rsid w:val="437B6926"/>
    <w:rsid w:val="438651D3"/>
    <w:rsid w:val="446529ED"/>
    <w:rsid w:val="44A616A1"/>
    <w:rsid w:val="451E56DB"/>
    <w:rsid w:val="458E7036"/>
    <w:rsid w:val="460D2589"/>
    <w:rsid w:val="471843AC"/>
    <w:rsid w:val="47415467"/>
    <w:rsid w:val="4777325F"/>
    <w:rsid w:val="4B6556D7"/>
    <w:rsid w:val="4B8359A5"/>
    <w:rsid w:val="4BE0656F"/>
    <w:rsid w:val="4DD354BD"/>
    <w:rsid w:val="50957218"/>
    <w:rsid w:val="50C81726"/>
    <w:rsid w:val="5236594B"/>
    <w:rsid w:val="527F2630"/>
    <w:rsid w:val="5453405A"/>
    <w:rsid w:val="54683335"/>
    <w:rsid w:val="55067F3A"/>
    <w:rsid w:val="57CA5049"/>
    <w:rsid w:val="57E15B41"/>
    <w:rsid w:val="5AC66506"/>
    <w:rsid w:val="5BDF1AF2"/>
    <w:rsid w:val="5C3816D7"/>
    <w:rsid w:val="5CD2597C"/>
    <w:rsid w:val="5FB47DE5"/>
    <w:rsid w:val="600F05EB"/>
    <w:rsid w:val="615D0EE2"/>
    <w:rsid w:val="638A686D"/>
    <w:rsid w:val="63B84051"/>
    <w:rsid w:val="648D71A0"/>
    <w:rsid w:val="64A102C0"/>
    <w:rsid w:val="657137AC"/>
    <w:rsid w:val="65CF4766"/>
    <w:rsid w:val="66EB6240"/>
    <w:rsid w:val="674E429C"/>
    <w:rsid w:val="67684FD9"/>
    <w:rsid w:val="68DB306A"/>
    <w:rsid w:val="699279AE"/>
    <w:rsid w:val="69DE4C53"/>
    <w:rsid w:val="6BAB44AE"/>
    <w:rsid w:val="6DE0518A"/>
    <w:rsid w:val="6F7A39B4"/>
    <w:rsid w:val="6FEC567C"/>
    <w:rsid w:val="707F6656"/>
    <w:rsid w:val="7102558A"/>
    <w:rsid w:val="713F0DB2"/>
    <w:rsid w:val="715E40C3"/>
    <w:rsid w:val="72002506"/>
    <w:rsid w:val="72A23D76"/>
    <w:rsid w:val="74953ACF"/>
    <w:rsid w:val="74E27C24"/>
    <w:rsid w:val="75A16B17"/>
    <w:rsid w:val="75DA632B"/>
    <w:rsid w:val="767F63B8"/>
    <w:rsid w:val="769B49DF"/>
    <w:rsid w:val="76C03B43"/>
    <w:rsid w:val="78415CB0"/>
    <w:rsid w:val="78CC06D3"/>
    <w:rsid w:val="791D53D0"/>
    <w:rsid w:val="796B7EBB"/>
    <w:rsid w:val="79C96EB1"/>
    <w:rsid w:val="79E20DA5"/>
    <w:rsid w:val="7CDE6F23"/>
    <w:rsid w:val="7D597B1F"/>
    <w:rsid w:val="7ED25187"/>
    <w:rsid w:val="7EFE5871"/>
    <w:rsid w:val="7FC0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宋体"/>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qFormat/>
    <w:uiPriority w:val="0"/>
    <w:pPr>
      <w:spacing w:before="100" w:beforeAutospacing="1" w:after="100" w:afterAutospacing="1"/>
      <w:jc w:val="left"/>
      <w:outlineLvl w:val="2"/>
    </w:pPr>
    <w:rPr>
      <w:rFonts w:hint="eastAsia" w:ascii="宋体" w:hAnsi="宋体" w:cs="Times New Roman"/>
      <w:b/>
      <w:kern w:val="0"/>
      <w:sz w:val="27"/>
      <w:szCs w:val="27"/>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autoRedefine/>
    <w:unhideWhenUsed/>
    <w:qFormat/>
    <w:uiPriority w:val="99"/>
    <w:pPr>
      <w:spacing w:after="120"/>
      <w:ind w:left="420" w:leftChars="200"/>
    </w:p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spacing w:before="100" w:beforeAutospacing="1" w:after="100" w:afterAutospacing="1"/>
      <w:jc w:val="left"/>
    </w:pPr>
    <w:rPr>
      <w:rFonts w:cs="Times New Roman"/>
      <w:kern w:val="0"/>
      <w:sz w:val="24"/>
    </w:rPr>
  </w:style>
  <w:style w:type="paragraph" w:styleId="8">
    <w:name w:val="Body Text First Indent 2"/>
    <w:basedOn w:val="4"/>
    <w:autoRedefine/>
    <w:qFormat/>
    <w:uiPriority w:val="99"/>
    <w:pPr>
      <w:widowControl w:val="0"/>
      <w:spacing w:after="0" w:line="360" w:lineRule="auto"/>
      <w:ind w:left="176" w:leftChars="0" w:firstLine="420" w:firstLineChars="200"/>
    </w:pPr>
    <w:rPr>
      <w:rFonts w:ascii="仿宋" w:eastAsia="仿宋"/>
      <w:kern w:val="2"/>
      <w:sz w:val="24"/>
      <w:szCs w:val="24"/>
      <w:shd w:val="clear" w:color="auto" w:fill="auto"/>
    </w:rPr>
  </w:style>
  <w:style w:type="character" w:styleId="11">
    <w:name w:val="Strong"/>
    <w:basedOn w:val="10"/>
    <w:autoRedefine/>
    <w:qFormat/>
    <w:uiPriority w:val="22"/>
    <w:rPr>
      <w:rFonts w:cs="Times New Roman"/>
      <w:b/>
      <w:bCs/>
    </w:rPr>
  </w:style>
  <w:style w:type="character" w:styleId="12">
    <w:name w:val="Emphasis"/>
    <w:basedOn w:val="10"/>
    <w:autoRedefine/>
    <w:qFormat/>
    <w:uiPriority w:val="20"/>
    <w:rPr>
      <w:i/>
      <w:iCs/>
    </w:rPr>
  </w:style>
  <w:style w:type="character" w:styleId="13">
    <w:name w:val="Hyperlink"/>
    <w:basedOn w:val="10"/>
    <w:autoRedefine/>
    <w:qFormat/>
    <w:uiPriority w:val="0"/>
    <w:rPr>
      <w:color w:val="0000FF"/>
      <w:u w:val="single"/>
    </w:rPr>
  </w:style>
  <w:style w:type="paragraph" w:styleId="14">
    <w:name w:val="List Paragraph"/>
    <w:basedOn w:val="1"/>
    <w:autoRedefine/>
    <w:qFormat/>
    <w:uiPriority w:val="34"/>
    <w:pPr>
      <w:ind w:firstLine="420" w:firstLineChars="200"/>
    </w:pPr>
  </w:style>
  <w:style w:type="character" w:customStyle="1" w:styleId="15">
    <w:name w:val="页眉 Char"/>
    <w:basedOn w:val="10"/>
    <w:link w:val="6"/>
    <w:autoRedefine/>
    <w:qFormat/>
    <w:uiPriority w:val="0"/>
    <w:rPr>
      <w:rFonts w:cs="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928A1F-2CB6-4AB2-AED5-97CDB1DAC649}">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2582</Words>
  <Characters>2869</Characters>
  <Lines>25</Lines>
  <Paragraphs>7</Paragraphs>
  <TotalTime>0</TotalTime>
  <ScaleCrop>false</ScaleCrop>
  <LinksUpToDate>false</LinksUpToDate>
  <CharactersWithSpaces>3068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2020-12-26T01:41:00Z</dcterms:created>
  <dc:creator>Administrator</dc:creator>
  <cp:lastModifiedBy>聂红军</cp:lastModifiedBy>
  <dcterms:modified xsi:type="dcterms:W3CDTF">2024-01-19T02:11:35Z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52802698054442629EDE7B3DA453C978_13</vt:lpwstr>
  </property>
</Properties>
</file>