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关于举办国有企业招标采购合规化管理、风险管控实战、审计监督及案例分析专题培训班的通知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10"/>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2024年是国家和政府着力优化营商环境、深化政采和采购招投标制度改革的重要一年。国家发改委等13个部委于2022年联合印发了《关于严格执行招标投标法规制度进一步规范招标投标主体行为的若干意见》（发改法规规〔2022〕1117号），意见从五方面提出了20项务实举措，旨在进一步夯实各方主体责任，强化自律意识，确保招标投标法规制度得以严格执行，推动招标投标市场规范有序健康发展。2023年中国物流与采购联合会也发布了《国有企业采购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如何全面规范采购行为、提高招投标的工作效率、降低企业成本，解决在招投标过程中的困惑和操作技巧，提升招投标的风险管控，增强国有企业市场竞争优势，获得较高经济利润是目前国有企业负责招投标人员面临的难题。鉴于此，我会决定举办“国有企业招标采购合规化管理、风险管控实战、审计监督及案例分析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掌握国有企业招标采购的各种采购方式和组织形式，帮助学员理解国家有关部委对招标投标领域专项治理的要求，从而营造更加公平公正、规范高效、阳光透明的招标投标市场环境，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（一）招标投标相关法律法规制度问题解读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1.招标投标、政府采购法律制度体系解读；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2.十三部门联合发文公安部介入的招投标新政解读；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3.最新招投标法及政采法修订趋势及解读；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4.评标办法及民法典相关法规解读。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（二）招标投标操作实战应用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1.一个招投标项目的全流程；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【案例分析】：一则招标公告中是否允许联合体投标案例引发的思考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3.招标文件的编制技巧；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（1）标文件编写如何准确的表达招标人意图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（2）招标采购单位如何设定相关的强制性要求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（3）招标文件如何编写合法合规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（4）把好招标文件编制三关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4.手把手教你——编制一份完整的工程量清单；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5.补充、澄清、发售招标文件中应注意的技术和法律问题；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【案例分析】：公开招标项目可以限制特定区域投标人吗？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6.如何选择合适的采购招标方式？如何组织资格预审？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【案例分析】：关于招标采购方式选择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7.现场踏勘、招标答疑问题（如何保护招标人）。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8.如何组织开标？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9.开标会议常见异议问题及处理方法；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10.评标\定标环节注意事项；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11.评标过程问题汇总（评标标准、投标文件澄清、联合体投标、废标、重大偏差、专家答疑）；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【案例分析】：投标人：企业合同章在投标中是否有效？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【案例分析】：第三中标候选人中标了？原来是因为...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12.评标复议、重新评审常见问题分析及应对策略；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13.招标程序中的时间问题把握；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【案例分析】：投标样品的作用不明确导致废标。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【案例分析】：评标后复议，如何选择评标专家？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【案例分析】：重新招标合法吗?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【案例分析】：招标人如何应对投标中的“不平衡报价”？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【案例分析】：评标委员会能否决定废标?</w:t>
      </w:r>
      <w:r>
        <w:rPr>
          <w:rFonts w:hint="eastAsia" w:ascii="仿宋" w:hAnsi="仿宋" w:eastAsia="仿宋" w:cs="仿宋"/>
          <w:color w:val="000000" w:themeColor="text1"/>
          <w:kern w:val="0"/>
          <w:sz w:val="28"/>
          <w:szCs w:val="28"/>
          <w:lang w:val="en-US"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【案例分析】：一张表格，带你了解联合体投标的那些法律法规；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【案例分析】：关于联合体投标资质评定问题；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【案例分析】：招标投标 N 个热点问题解析。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（三）新形势下国企采购合规化运作体系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1.情景案例</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：从一则1.2亿的公开招标的围标来看企业采购管控合规化的解决方案；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（1）采购异议、质疑、投诉等争议的解决策略；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（2）采购招投标围标和串标的十大漏洞和对策分析；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（3）新形势下国企公开招标&amp;邀请招标&amp;非招标采购方式的管控重点；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（4）如何合规化招标，评标，定标以及签订采购合同各个环节？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（5）签订采购合同的六项原则；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（6）采购合同管控六个要点；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（7）采购澄清与质疑处理六个方面；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（8）国有企业的采购风险体系建设五大步骤；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（9）国企采购规范的操作方法--九类采购方式灵活运用；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【经典案例解读】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解读以某房地产采购腐败案为例谈国企反腐败合规化建设。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（五）招标采购监督审计实务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2.审计方式、审计流程及重点关注的热点、重点问题解析；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5.招标人应如何应对审计监督部门/巡视组的审计监督？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2024年3月13日一3月16日  重庆市  (13日全天报到)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2024年3月22日一3月25日  厦门市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2024年4月12日一4月15日  长沙市  (12日全天报到)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2024年4月17日一4月20日  济南市  (17日全天报到)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2024年5月10日—05月13日  武汉市（19日全天报到）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2024年5月22日—05月25日  南宁市（22日全天报到）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pStyle w:val="1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pStyle w:val="1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pStyle w:val="10"/>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3596640</wp:posOffset>
            </wp:positionH>
            <wp:positionV relativeFrom="paragraph">
              <wp:posOffset>262255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p>
    <w:p>
      <w:pPr>
        <w:rPr>
          <w:rFonts w:hint="eastAsia"/>
        </w:rPr>
      </w:pPr>
    </w:p>
    <w:p>
      <w:pPr>
        <w:pStyle w:val="10"/>
        <w:ind w:left="0" w:leftChars="0" w:firstLine="5600" w:firstLineChars="20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w:t>
      </w:r>
      <w:r>
        <w:rPr>
          <w:rFonts w:hint="eastAsia" w:ascii="仿宋" w:hAnsi="仿宋" w:eastAsia="仿宋" w:cs="仿宋"/>
          <w:color w:val="000000"/>
          <w:kern w:val="20"/>
          <w:position w:val="-4"/>
          <w:sz w:val="28"/>
          <w:szCs w:val="28"/>
          <w:lang w:val="en-US" w:eastAsia="zh-CN"/>
        </w:rPr>
        <w:t>一</w:t>
      </w:r>
      <w:r>
        <w:rPr>
          <w:rFonts w:hint="eastAsia" w:ascii="仿宋" w:hAnsi="仿宋" w:eastAsia="仿宋" w:cs="仿宋"/>
          <w:sz w:val="28"/>
          <w:szCs w:val="28"/>
          <w:lang w:val="en-US" w:eastAsia="zh-CN"/>
        </w:rPr>
        <w:t>月八日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10"/>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7376160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80085" y="8376285"/>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580.8pt;height:81pt;width:492pt;z-index:251660288;mso-width-relative:page;mso-height-relative:page;" fillcolor="#FFFFFF [3201]" filled="t" stroked="t" coordsize="21600,21600" o:gfxdata="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1l6/XAAAADQEAAA8AAAAAAAAAAQAgAAAAIgAAAGRycy9kb3ducmV2LnhtbFBLAQIUABQA&#10;AAAIAIdO4kCxriWVYwIAAMM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国有企业招标采购合规化管理、风险管控实战、审计监督及案例</w:t>
      </w:r>
      <w:bookmarkStart w:id="0" w:name="_GoBack"/>
      <w:bookmarkEnd w:id="0"/>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分析专题培训班报名表</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A1C6B89"/>
    <w:rsid w:val="0A2827EF"/>
    <w:rsid w:val="0B4A62F6"/>
    <w:rsid w:val="0B613480"/>
    <w:rsid w:val="0B637863"/>
    <w:rsid w:val="0BAA06F0"/>
    <w:rsid w:val="0BF55298"/>
    <w:rsid w:val="0C3E5D0A"/>
    <w:rsid w:val="0C892991"/>
    <w:rsid w:val="0CEC7AC4"/>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E010233"/>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904E8B"/>
    <w:rsid w:val="59BD7460"/>
    <w:rsid w:val="5A231AE8"/>
    <w:rsid w:val="5A2C4116"/>
    <w:rsid w:val="5A324F4B"/>
    <w:rsid w:val="5A7F2E36"/>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503C1C"/>
    <w:rsid w:val="646A1129"/>
    <w:rsid w:val="64895786"/>
    <w:rsid w:val="64CD3806"/>
    <w:rsid w:val="652A390E"/>
    <w:rsid w:val="65303BEA"/>
    <w:rsid w:val="653F1202"/>
    <w:rsid w:val="6556312C"/>
    <w:rsid w:val="65F523A6"/>
    <w:rsid w:val="66AA3B93"/>
    <w:rsid w:val="67074059"/>
    <w:rsid w:val="673E2ADB"/>
    <w:rsid w:val="676104D8"/>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jc w:val="center"/>
      <w:outlineLvl w:val="0"/>
    </w:pPr>
    <w:rPr>
      <w:rFonts w:eastAsia="楷体_GB2312"/>
      <w:sz w:val="28"/>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68"/>
    </w:pPr>
    <w:rPr>
      <w:sz w:val="32"/>
      <w:szCs w:val="32"/>
    </w:rPr>
  </w:style>
  <w:style w:type="paragraph" w:styleId="4">
    <w:name w:val="Body Text Indent"/>
    <w:basedOn w:val="1"/>
    <w:next w:val="5"/>
    <w:autoRedefine/>
    <w:qFormat/>
    <w:uiPriority w:val="0"/>
    <w:pPr>
      <w:ind w:left="420" w:leftChars="200"/>
    </w:pPr>
  </w:style>
  <w:style w:type="paragraph" w:styleId="5">
    <w:name w:val="header"/>
    <w:basedOn w:val="1"/>
    <w:link w:val="17"/>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Body Text 2"/>
    <w:basedOn w:val="1"/>
    <w:link w:val="18"/>
    <w:autoRedefine/>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autoRedefine/>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locked/>
    <w:uiPriority w:val="99"/>
    <w:rPr>
      <w:b/>
      <w:bCs/>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5"/>
    <w:autoRedefine/>
    <w:semiHidden/>
    <w:qFormat/>
    <w:locked/>
    <w:uiPriority w:val="0"/>
    <w:rPr>
      <w:rFonts w:cs="Times New Roman"/>
      <w:sz w:val="18"/>
      <w:szCs w:val="18"/>
    </w:rPr>
  </w:style>
  <w:style w:type="character" w:customStyle="1" w:styleId="18">
    <w:name w:val="正文文本 2 Char"/>
    <w:link w:val="7"/>
    <w:autoRedefine/>
    <w:qFormat/>
    <w:uiPriority w:val="0"/>
    <w:rPr>
      <w:rFonts w:ascii="华文中宋" w:hAnsi="宋体" w:eastAsia="华文中宋"/>
      <w:b/>
      <w:sz w:val="36"/>
      <w:szCs w:val="32"/>
    </w:rPr>
  </w:style>
  <w:style w:type="character" w:customStyle="1" w:styleId="19">
    <w:name w:val="标题 Char"/>
    <w:link w:val="9"/>
    <w:autoRedefine/>
    <w:qFormat/>
    <w:uiPriority w:val="0"/>
    <w:rPr>
      <w:rFonts w:ascii="Cambria" w:hAnsi="Cambria" w:cs="Times New Roman"/>
      <w:b/>
      <w:bCs/>
      <w:kern w:val="2"/>
      <w:sz w:val="32"/>
      <w:szCs w:val="32"/>
    </w:rPr>
  </w:style>
  <w:style w:type="character" w:customStyle="1" w:styleId="20">
    <w:name w:val="正文文本 2 Char1"/>
    <w:autoRedefine/>
    <w:qFormat/>
    <w:uiPriority w:val="0"/>
    <w:rPr>
      <w:kern w:val="2"/>
      <w:sz w:val="21"/>
      <w:szCs w:val="22"/>
    </w:rPr>
  </w:style>
  <w:style w:type="paragraph" w:customStyle="1" w:styleId="21">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autoRedefine/>
    <w:qFormat/>
    <w:uiPriority w:val="34"/>
    <w:pPr>
      <w:spacing w:line="360" w:lineRule="auto"/>
      <w:ind w:firstLine="420" w:firstLineChars="200"/>
    </w:pPr>
  </w:style>
  <w:style w:type="paragraph" w:customStyle="1" w:styleId="2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autoRedefine/>
    <w:qFormat/>
    <w:uiPriority w:val="0"/>
    <w:pPr>
      <w:widowControl/>
      <w:spacing w:line="240" w:lineRule="exact"/>
      <w:jc w:val="left"/>
    </w:pPr>
  </w:style>
  <w:style w:type="paragraph" w:customStyle="1" w:styleId="26">
    <w:name w:val="List Paragraph1"/>
    <w:basedOn w:val="1"/>
    <w:autoRedefine/>
    <w:qFormat/>
    <w:uiPriority w:val="0"/>
    <w:pPr>
      <w:ind w:firstLine="420" w:firstLineChars="200"/>
    </w:pPr>
  </w:style>
  <w:style w:type="paragraph" w:styleId="27">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autoRedefine/>
    <w:qFormat/>
    <w:uiPriority w:val="1"/>
    <w:pPr>
      <w:spacing w:line="300" w:lineRule="exact"/>
      <w:ind w:left="1307"/>
    </w:pPr>
  </w:style>
  <w:style w:type="character" w:customStyle="1" w:styleId="29">
    <w:name w:val="Book Title"/>
    <w:basedOn w:val="12"/>
    <w:autoRedefine/>
    <w:qFormat/>
    <w:uiPriority w:val="33"/>
    <w:rPr>
      <w:b/>
      <w:bCs/>
      <w:smallCap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2842</Words>
  <Characters>3105</Characters>
  <Lines>24</Lines>
  <Paragraphs>6</Paragraphs>
  <TotalTime>1</TotalTime>
  <ScaleCrop>false</ScaleCrop>
  <LinksUpToDate>false</LinksUpToDate>
  <CharactersWithSpaces>3232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2024-01-19T02:10:49Z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81E7E268CCE647B68E66EE14E061D026_13</vt:lpwstr>
  </property>
</Properties>
</file>