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8" w:line="222" w:lineRule="auto"/>
        <w:ind w:left="336"/>
        <w:outlineLvl w:val="0"/>
        <w:rPr>
          <w:rFonts w:ascii="黑体" w:hAnsi="黑体" w:eastAsia="黑体" w:cs="黑体"/>
          <w:sz w:val="44"/>
          <w:szCs w:val="4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4812665</wp:posOffset>
            </wp:positionH>
            <wp:positionV relativeFrom="page">
              <wp:posOffset>8228965</wp:posOffset>
            </wp:positionV>
            <wp:extent cx="1574800" cy="153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49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pacing w:val="-14"/>
          <w:sz w:val="44"/>
          <w:szCs w:val="44"/>
        </w:rPr>
        <w:t>海外项目</w:t>
      </w:r>
      <w:r>
        <w:rPr>
          <w:rFonts w:ascii="黑体" w:hAnsi="黑体" w:eastAsia="黑体" w:cs="黑体"/>
          <w:color w:val="C00000"/>
          <w:spacing w:val="-14"/>
          <w:sz w:val="44"/>
          <w:szCs w:val="44"/>
        </w:rPr>
        <w:t xml:space="preserve"> </w:t>
      </w:r>
      <w:r>
        <w:rPr>
          <w:b/>
          <w:bCs/>
          <w:color w:val="C00000"/>
          <w:spacing w:val="-14"/>
          <w:sz w:val="44"/>
          <w:szCs w:val="44"/>
        </w:rPr>
        <w:t>(EPC</w:t>
      </w:r>
      <w:r>
        <w:rPr>
          <w:color w:val="C00000"/>
          <w:spacing w:val="-66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pacing w:val="-14"/>
          <w:sz w:val="44"/>
          <w:szCs w:val="44"/>
        </w:rPr>
        <w:t>项目、联合体、隐形分包商)</w:t>
      </w:r>
    </w:p>
    <w:p>
      <w:pPr>
        <w:spacing w:before="80" w:line="610" w:lineRule="exact"/>
        <w:ind w:left="4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color w:val="C00000"/>
          <w:spacing w:val="-19"/>
          <w:position w:val="11"/>
          <w:sz w:val="44"/>
          <w:szCs w:val="44"/>
        </w:rPr>
        <w:t>“避税架构搭建、转让定价与税收筹划风险</w:t>
      </w:r>
    </w:p>
    <w:p>
      <w:pPr>
        <w:spacing w:before="2" w:line="220" w:lineRule="auto"/>
        <w:ind w:left="23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color w:val="C00000"/>
          <w:spacing w:val="-16"/>
          <w:sz w:val="44"/>
          <w:szCs w:val="44"/>
        </w:rPr>
        <w:t>合规管理”高端进修班</w:t>
      </w:r>
    </w:p>
    <w:p>
      <w:pPr>
        <w:spacing w:before="85" w:line="60" w:lineRule="exact"/>
      </w:pPr>
      <w:r>
        <w:rPr>
          <w:position w:val="-1"/>
        </w:rPr>
        <w:drawing>
          <wp:inline distT="0" distB="0" distL="0" distR="0">
            <wp:extent cx="560705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6" w:lineRule="auto"/>
        <w:rPr>
          <w:rFonts w:ascii="Arial"/>
          <w:sz w:val="21"/>
        </w:rPr>
      </w:pPr>
    </w:p>
    <w:p>
      <w:pPr>
        <w:pStyle w:val="2"/>
        <w:spacing w:before="133" w:line="220" w:lineRule="auto"/>
        <w:ind w:left="3495"/>
        <w:rPr>
          <w:sz w:val="41"/>
          <w:szCs w:val="41"/>
        </w:rPr>
      </w:pPr>
      <w:r>
        <w:rPr>
          <w:b/>
          <w:bCs/>
          <w:color w:val="C00000"/>
          <w:spacing w:val="-20"/>
          <w:sz w:val="41"/>
          <w:szCs w:val="41"/>
        </w:rPr>
        <w:t>邀</w:t>
      </w:r>
      <w:r>
        <w:rPr>
          <w:color w:val="C00000"/>
          <w:spacing w:val="-20"/>
          <w:sz w:val="41"/>
          <w:szCs w:val="41"/>
        </w:rPr>
        <w:t xml:space="preserve">  </w:t>
      </w:r>
      <w:r>
        <w:rPr>
          <w:b/>
          <w:bCs/>
          <w:color w:val="C00000"/>
          <w:spacing w:val="-20"/>
          <w:sz w:val="41"/>
          <w:szCs w:val="41"/>
        </w:rPr>
        <w:t>请</w:t>
      </w:r>
      <w:r>
        <w:rPr>
          <w:color w:val="C00000"/>
          <w:spacing w:val="18"/>
          <w:sz w:val="41"/>
          <w:szCs w:val="41"/>
        </w:rPr>
        <w:t xml:space="preserve">  </w:t>
      </w:r>
      <w:r>
        <w:rPr>
          <w:b/>
          <w:bCs/>
          <w:color w:val="C00000"/>
          <w:spacing w:val="-20"/>
          <w:sz w:val="41"/>
          <w:szCs w:val="41"/>
        </w:rPr>
        <w:t>函</w:t>
      </w: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81" w:line="461" w:lineRule="exact"/>
        <w:ind w:left="570"/>
      </w:pPr>
      <w:r>
        <w:rPr>
          <w:color w:val="FF0000"/>
          <w:spacing w:val="-9"/>
          <w:position w:val="15"/>
        </w:rPr>
        <w:t>★主办单位：  中国世界贸易组织研究会对外经济合作咨询专业委员会</w:t>
      </w:r>
    </w:p>
    <w:p>
      <w:pPr>
        <w:pStyle w:val="2"/>
        <w:spacing w:line="219" w:lineRule="auto"/>
        <w:ind w:left="570"/>
      </w:pPr>
      <w:r>
        <w:rPr>
          <w:color w:val="FF0000"/>
        </w:rPr>
        <w:t>★承办单位：  华企融合国际管理咨询(北京)有限公司</w:t>
      </w:r>
    </w:p>
    <w:p>
      <w:pPr>
        <w:pStyle w:val="2"/>
        <w:spacing w:before="193" w:line="219" w:lineRule="auto"/>
        <w:ind w:left="570"/>
      </w:pPr>
      <w:r>
        <w:rPr>
          <w:color w:val="FF0000"/>
          <w:spacing w:val="12"/>
        </w:rPr>
        <w:t>★时间地点：  2024年4月13日-14日</w:t>
      </w:r>
      <w:r>
        <w:rPr>
          <w:color w:val="FF0000"/>
          <w:spacing w:val="90"/>
        </w:rPr>
        <w:t xml:space="preserve"> </w:t>
      </w:r>
      <w:r>
        <w:rPr>
          <w:color w:val="FF0000"/>
          <w:spacing w:val="12"/>
        </w:rPr>
        <w:t>(北京市★君顾润华酒店)</w:t>
      </w:r>
    </w:p>
    <w:p>
      <w:pPr>
        <w:pStyle w:val="2"/>
        <w:spacing w:before="104" w:line="219" w:lineRule="auto"/>
        <w:ind w:left="2229"/>
      </w:pPr>
      <w:r>
        <w:rPr>
          <w:color w:val="FF0000"/>
          <w:spacing w:val="19"/>
        </w:rPr>
        <w:t>2024年4月20日-21日</w:t>
      </w:r>
      <w:r>
        <w:rPr>
          <w:color w:val="FF0000"/>
          <w:spacing w:val="94"/>
        </w:rPr>
        <w:t xml:space="preserve"> </w:t>
      </w:r>
      <w:r>
        <w:rPr>
          <w:color w:val="FF0000"/>
          <w:spacing w:val="19"/>
        </w:rPr>
        <w:t>(成都市★檀香花园酒店)</w:t>
      </w:r>
    </w:p>
    <w:p>
      <w:pPr>
        <w:pStyle w:val="2"/>
        <w:spacing w:before="183" w:line="219" w:lineRule="auto"/>
        <w:ind w:left="570"/>
      </w:pPr>
      <w:r>
        <w:rPr>
          <w:color w:val="FF0000"/>
          <w:spacing w:val="-10"/>
        </w:rPr>
        <w:t>★课程收益：  针对性强、系统性强、理论引领</w:t>
      </w:r>
      <w:r>
        <w:rPr>
          <w:color w:val="FF0000"/>
          <w:spacing w:val="-11"/>
        </w:rPr>
        <w:t>、落地实践、持续服务</w:t>
      </w:r>
    </w:p>
    <w:p>
      <w:pPr>
        <w:pStyle w:val="2"/>
        <w:spacing w:before="281" w:line="220" w:lineRule="auto"/>
        <w:ind w:left="333"/>
      </w:pPr>
      <w:r>
        <w:rPr>
          <w:b/>
          <w:bCs/>
          <w:spacing w:val="-19"/>
        </w:rPr>
        <w:t>尊敬的单位领导：</w:t>
      </w:r>
    </w:p>
    <w:p>
      <w:pPr>
        <w:pStyle w:val="2"/>
        <w:spacing w:before="31" w:line="244" w:lineRule="auto"/>
        <w:ind w:left="329" w:right="227" w:firstLine="470"/>
        <w:jc w:val="both"/>
      </w:pPr>
      <w:r>
        <w:rPr>
          <w:spacing w:val="-15"/>
        </w:rPr>
        <w:t>目前，国际工程市场竞争激烈，项目利润空间大幅压缩，要提升企业的竞争</w:t>
      </w:r>
      <w:r>
        <w:rPr>
          <w:spacing w:val="14"/>
        </w:rPr>
        <w:t xml:space="preserve"> </w:t>
      </w:r>
      <w:r>
        <w:rPr>
          <w:spacing w:val="-14"/>
        </w:rPr>
        <w:t>力则需要认真把控每一个盈利点。面对复杂的国际税收政策和严峻的市场竞争环</w:t>
      </w:r>
      <w:r>
        <w:rPr>
          <w:spacing w:val="11"/>
        </w:rPr>
        <w:t xml:space="preserve"> </w:t>
      </w:r>
      <w:r>
        <w:rPr>
          <w:spacing w:val="-14"/>
        </w:rPr>
        <w:t>境，加强国际税务筹划与管理，合理、有效降低税负无疑对企业发展有着非常重</w:t>
      </w:r>
      <w:r>
        <w:rPr>
          <w:spacing w:val="10"/>
        </w:rPr>
        <w:t xml:space="preserve"> </w:t>
      </w:r>
      <w:r>
        <w:rPr>
          <w:spacing w:val="-17"/>
        </w:rPr>
        <w:t>要的意义。</w:t>
      </w:r>
    </w:p>
    <w:p>
      <w:pPr>
        <w:pStyle w:val="2"/>
        <w:spacing w:before="49" w:line="244" w:lineRule="auto"/>
        <w:ind w:left="329" w:right="226" w:firstLine="470"/>
        <w:jc w:val="both"/>
      </w:pPr>
      <w:r>
        <w:rPr>
          <w:spacing w:val="-14"/>
        </w:rPr>
        <w:t>为使我国企业管理人员提高国际税收筹划能力，境外账务与凭证管理，巧妙</w:t>
      </w:r>
      <w:r>
        <w:rPr>
          <w:spacing w:val="13"/>
        </w:rPr>
        <w:t xml:space="preserve"> </w:t>
      </w:r>
      <w:r>
        <w:rPr>
          <w:spacing w:val="-14"/>
        </w:rPr>
        <w:t>运用税种抵免，国际工程涉及的主要税种，规避国际税收风险，掌握国际税收筹</w:t>
      </w:r>
      <w:r>
        <w:rPr>
          <w:spacing w:val="12"/>
        </w:rPr>
        <w:t xml:space="preserve"> </w:t>
      </w:r>
      <w:r>
        <w:rPr>
          <w:spacing w:val="4"/>
        </w:rPr>
        <w:t>划技巧，以最小成本获取最大利润。我司定于2024年4月13日—14日在</w:t>
      </w:r>
      <w:r>
        <w:rPr>
          <w:spacing w:val="3"/>
        </w:rPr>
        <w:t>北京</w:t>
      </w:r>
      <w:r>
        <w:t xml:space="preserve"> </w:t>
      </w:r>
      <w:r>
        <w:rPr>
          <w:spacing w:val="-7"/>
        </w:rPr>
        <w:t xml:space="preserve">市和4月20日-21日在成都市分期举办： </w:t>
      </w:r>
      <w:r>
        <w:rPr>
          <w:b/>
          <w:bCs/>
          <w:spacing w:val="-7"/>
        </w:rPr>
        <w:t>海外项目(EPC</w:t>
      </w:r>
      <w:r>
        <w:rPr>
          <w:spacing w:val="-39"/>
        </w:rPr>
        <w:t xml:space="preserve"> </w:t>
      </w:r>
      <w:r>
        <w:rPr>
          <w:b/>
          <w:bCs/>
          <w:spacing w:val="-7"/>
        </w:rPr>
        <w:t>项目、联合体、隐形分</w:t>
      </w:r>
      <w:r>
        <w:t xml:space="preserve"> </w:t>
      </w:r>
      <w:r>
        <w:rPr>
          <w:b/>
          <w:bCs/>
          <w:spacing w:val="-14"/>
        </w:rPr>
        <w:t>包商)</w:t>
      </w:r>
      <w:r>
        <w:rPr>
          <w:spacing w:val="39"/>
        </w:rPr>
        <w:t xml:space="preserve"> </w:t>
      </w:r>
      <w:r>
        <w:rPr>
          <w:b/>
          <w:bCs/>
          <w:spacing w:val="-14"/>
        </w:rPr>
        <w:t>“避税架构搭建、转让定价与税收筹划风险</w:t>
      </w:r>
      <w:r>
        <w:rPr>
          <w:b/>
          <w:bCs/>
          <w:spacing w:val="-15"/>
        </w:rPr>
        <w:t>合规管理”高端进修班。</w:t>
      </w:r>
    </w:p>
    <w:p>
      <w:pPr>
        <w:pStyle w:val="2"/>
        <w:spacing w:before="50" w:line="238" w:lineRule="auto"/>
        <w:ind w:left="329" w:right="227" w:firstLine="470"/>
        <w:jc w:val="both"/>
      </w:pPr>
      <w:r>
        <w:rPr>
          <w:spacing w:val="-14"/>
        </w:rPr>
        <w:t>本次研修班将邀请企业一线实操专家就“国际税收合作双边税收协定的相关</w:t>
      </w:r>
      <w:r>
        <w:rPr>
          <w:spacing w:val="12"/>
        </w:rPr>
        <w:t xml:space="preserve"> </w:t>
      </w:r>
      <w:r>
        <w:rPr>
          <w:spacing w:val="-16"/>
        </w:rPr>
        <w:t>条款，税种总结概述，国际工程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EPC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6"/>
        </w:rPr>
        <w:t>税务实务详解，境外税</w:t>
      </w:r>
      <w:r>
        <w:rPr>
          <w:spacing w:val="-17"/>
        </w:rPr>
        <w:t>收抵扣，境外投资税</w:t>
      </w:r>
      <w:r>
        <w:t xml:space="preserve"> </w:t>
      </w:r>
      <w:r>
        <w:rPr>
          <w:spacing w:val="-14"/>
        </w:rPr>
        <w:t>务架构风险控制分析与合规管理”等实际问题，结合典型案例与企业进行实战操</w:t>
      </w:r>
      <w:r>
        <w:rPr>
          <w:spacing w:val="11"/>
        </w:rPr>
        <w:t xml:space="preserve"> </w:t>
      </w:r>
      <w:r>
        <w:rPr>
          <w:spacing w:val="-20"/>
        </w:rPr>
        <w:t>作演练。</w:t>
      </w:r>
    </w:p>
    <w:p>
      <w:pPr>
        <w:pStyle w:val="2"/>
        <w:spacing w:before="70" w:line="351" w:lineRule="exact"/>
        <w:ind w:left="800"/>
      </w:pPr>
      <w:r>
        <w:rPr>
          <w:spacing w:val="-11"/>
          <w:position w:val="7"/>
        </w:rPr>
        <w:t>请接到邀请后尽快组织报名工作，具体内容详见附件。</w:t>
      </w:r>
    </w:p>
    <w:p>
      <w:pPr>
        <w:pStyle w:val="2"/>
        <w:spacing w:before="1" w:line="219" w:lineRule="auto"/>
        <w:ind w:left="800"/>
      </w:pPr>
      <w:r>
        <w:rPr>
          <w:spacing w:val="-7"/>
        </w:rPr>
        <w:t>特此邀请!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5" w:line="236" w:lineRule="auto"/>
        <w:ind w:left="1160"/>
        <w:rPr>
          <w:sz w:val="23"/>
          <w:szCs w:val="23"/>
        </w:rPr>
      </w:pPr>
      <w:r>
        <w:pict>
          <v:shape id="_x0000_s1026" o:spid="_x0000_s1026" o:spt="202" type="#_x0000_t202" style="position:absolute;left:0pt;margin-left:310pt;margin-top:0.9pt;height:18.7pt;width:113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华企融合国际咨询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-605155</wp:posOffset>
            </wp:positionV>
            <wp:extent cx="1536700" cy="1549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7"/>
          <w:sz w:val="23"/>
          <w:szCs w:val="23"/>
        </w:rPr>
        <w:t>中国世界贸易组织研究会</w:t>
      </w:r>
    </w:p>
    <w:p>
      <w:pPr>
        <w:pStyle w:val="2"/>
        <w:spacing w:line="220" w:lineRule="auto"/>
        <w:ind w:left="1450"/>
        <w:rPr>
          <w:sz w:val="28"/>
          <w:szCs w:val="28"/>
        </w:rPr>
      </w:pPr>
      <w:r>
        <w:rPr>
          <w:spacing w:val="-2"/>
          <w:sz w:val="28"/>
          <w:szCs w:val="28"/>
        </w:rPr>
        <w:t>对外经济合作咨询</w:t>
      </w:r>
    </w:p>
    <w:p>
      <w:pPr>
        <w:pStyle w:val="2"/>
        <w:spacing w:before="52" w:line="219" w:lineRule="auto"/>
        <w:ind w:left="2030"/>
        <w:rPr>
          <w:sz w:val="23"/>
          <w:szCs w:val="23"/>
        </w:rPr>
      </w:pPr>
      <w:r>
        <w:rPr>
          <w:spacing w:val="43"/>
          <w:sz w:val="23"/>
          <w:szCs w:val="23"/>
        </w:rPr>
        <w:t>专业委员会</w:t>
      </w:r>
    </w:p>
    <w:p>
      <w:pPr>
        <w:pStyle w:val="2"/>
        <w:spacing w:before="69" w:line="219" w:lineRule="auto"/>
        <w:ind w:left="1849"/>
        <w:rPr>
          <w:sz w:val="23"/>
          <w:szCs w:val="23"/>
        </w:rPr>
      </w:pPr>
      <w:r>
        <w:pict>
          <v:shape id="_x0000_s1027" o:spid="_x0000_s1027" o:spt="202" type="#_x0000_t202" style="position:absolute;left:0pt;margin-left:317.45pt;margin-top:1.95pt;height:16.3pt;width:93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9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26"/>
                      <w:sz w:val="24"/>
                      <w:szCs w:val="24"/>
                    </w:rPr>
                    <w:t>2024年2月17日</w:t>
                  </w:r>
                </w:p>
              </w:txbxContent>
            </v:textbox>
          </v:shape>
        </w:pict>
      </w:r>
      <w:r>
        <w:rPr>
          <w:spacing w:val="36"/>
          <w:sz w:val="23"/>
          <w:szCs w:val="23"/>
        </w:rPr>
        <w:t>2024年2月17日</w:t>
      </w:r>
    </w:p>
    <w:p>
      <w:pPr>
        <w:spacing w:line="219" w:lineRule="auto"/>
        <w:rPr>
          <w:sz w:val="23"/>
          <w:szCs w:val="23"/>
        </w:rPr>
        <w:sectPr>
          <w:pgSz w:w="11900" w:h="16830"/>
          <w:pgMar w:top="1430" w:right="1589" w:bottom="0" w:left="1480" w:header="0" w:footer="0" w:gutter="0"/>
          <w:cols w:space="720" w:num="1"/>
        </w:sectPr>
      </w:pPr>
    </w:p>
    <w:p>
      <w:pPr>
        <w:pStyle w:val="2"/>
        <w:spacing w:before="59" w:line="523" w:lineRule="exact"/>
        <w:ind w:left="405"/>
        <w:rPr>
          <w:sz w:val="30"/>
          <w:szCs w:val="30"/>
        </w:rPr>
      </w:pPr>
      <w:r>
        <w:rPr>
          <w:spacing w:val="18"/>
          <w:position w:val="16"/>
          <w:sz w:val="30"/>
          <w:szCs w:val="30"/>
        </w:rPr>
        <w:t>海外项目</w:t>
      </w:r>
      <w:r>
        <w:rPr>
          <w:spacing w:val="-41"/>
          <w:position w:val="16"/>
          <w:sz w:val="30"/>
          <w:szCs w:val="30"/>
        </w:rPr>
        <w:t xml:space="preserve"> </w:t>
      </w:r>
      <w:r>
        <w:rPr>
          <w:spacing w:val="18"/>
          <w:position w:val="16"/>
          <w:sz w:val="30"/>
          <w:szCs w:val="30"/>
        </w:rPr>
        <w:t>(</w:t>
      </w:r>
      <w:r>
        <w:rPr>
          <w:position w:val="16"/>
          <w:sz w:val="30"/>
          <w:szCs w:val="30"/>
        </w:rPr>
        <w:t>EPC</w:t>
      </w:r>
      <w:r>
        <w:rPr>
          <w:spacing w:val="18"/>
          <w:position w:val="16"/>
          <w:sz w:val="30"/>
          <w:szCs w:val="30"/>
        </w:rPr>
        <w:t xml:space="preserve"> 项目、联合体、隐形分包商)</w:t>
      </w:r>
      <w:r>
        <w:rPr>
          <w:spacing w:val="54"/>
          <w:position w:val="16"/>
          <w:sz w:val="30"/>
          <w:szCs w:val="30"/>
        </w:rPr>
        <w:t xml:space="preserve"> </w:t>
      </w:r>
      <w:r>
        <w:rPr>
          <w:spacing w:val="18"/>
          <w:position w:val="16"/>
          <w:sz w:val="30"/>
          <w:szCs w:val="30"/>
        </w:rPr>
        <w:t>“避税架构搭建、转让定价</w:t>
      </w:r>
    </w:p>
    <w:p>
      <w:pPr>
        <w:pStyle w:val="2"/>
        <w:spacing w:line="219" w:lineRule="auto"/>
        <w:ind w:left="2855"/>
        <w:rPr>
          <w:sz w:val="30"/>
          <w:szCs w:val="30"/>
        </w:rPr>
      </w:pPr>
      <w:r>
        <w:rPr>
          <w:spacing w:val="19"/>
          <w:sz w:val="30"/>
          <w:szCs w:val="30"/>
        </w:rPr>
        <w:t>与税收筹划风险合规管理”高端进修班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71" w:line="172" w:lineRule="auto"/>
        <w:ind w:left="4484"/>
        <w:rPr>
          <w:rFonts w:ascii="LiSu" w:hAnsi="LiSu" w:eastAsia="LiSu" w:cs="LiSu"/>
          <w:sz w:val="22"/>
          <w:szCs w:val="22"/>
        </w:rPr>
      </w:pPr>
      <w:r>
        <w:rPr>
          <w:rFonts w:ascii="LiSu" w:hAnsi="LiSu" w:eastAsia="LiSu" w:cs="LiSu"/>
          <w:spacing w:val="-5"/>
          <w:sz w:val="22"/>
          <w:szCs w:val="22"/>
        </w:rPr>
        <w:t>课</w:t>
      </w:r>
      <w:r>
        <w:rPr>
          <w:rFonts w:ascii="LiSu" w:hAnsi="LiSu" w:eastAsia="LiSu" w:cs="LiSu"/>
          <w:spacing w:val="13"/>
          <w:sz w:val="22"/>
          <w:szCs w:val="22"/>
        </w:rPr>
        <w:t xml:space="preserve">   </w:t>
      </w:r>
      <w:r>
        <w:rPr>
          <w:rFonts w:ascii="LiSu" w:hAnsi="LiSu" w:eastAsia="LiSu" w:cs="LiSu"/>
          <w:spacing w:val="-5"/>
          <w:sz w:val="22"/>
          <w:szCs w:val="22"/>
        </w:rPr>
        <w:t>程</w:t>
      </w:r>
      <w:r>
        <w:rPr>
          <w:rFonts w:ascii="LiSu" w:hAnsi="LiSu" w:eastAsia="LiSu" w:cs="LiSu"/>
          <w:spacing w:val="13"/>
          <w:sz w:val="22"/>
          <w:szCs w:val="22"/>
        </w:rPr>
        <w:t xml:space="preserve">   </w:t>
      </w:r>
      <w:r>
        <w:rPr>
          <w:rFonts w:ascii="LiSu" w:hAnsi="LiSu" w:eastAsia="LiSu" w:cs="LiSu"/>
          <w:spacing w:val="-5"/>
          <w:sz w:val="22"/>
          <w:szCs w:val="22"/>
        </w:rPr>
        <w:t>安</w:t>
      </w:r>
      <w:r>
        <w:rPr>
          <w:rFonts w:ascii="LiSu" w:hAnsi="LiSu" w:eastAsia="LiSu" w:cs="LiSu"/>
          <w:spacing w:val="13"/>
          <w:sz w:val="22"/>
          <w:szCs w:val="22"/>
        </w:rPr>
        <w:t xml:space="preserve">   </w:t>
      </w:r>
      <w:r>
        <w:rPr>
          <w:rFonts w:ascii="LiSu" w:hAnsi="LiSu" w:eastAsia="LiSu" w:cs="LiSu"/>
          <w:spacing w:val="-5"/>
          <w:sz w:val="22"/>
          <w:szCs w:val="22"/>
        </w:rPr>
        <w:t>排</w:t>
      </w:r>
    </w:p>
    <w:p>
      <w:pPr>
        <w:pStyle w:val="2"/>
        <w:spacing w:before="176" w:line="210" w:lineRule="auto"/>
        <w:ind w:left="24"/>
      </w:pPr>
      <w:r>
        <w:rPr>
          <w:spacing w:val="-1"/>
        </w:rPr>
        <w:t>培训时间：   2024年4月13日-14日两天(北京市)               2024年4月20日-21日两天(成都</w:t>
      </w:r>
      <w:r>
        <w:rPr>
          <w:spacing w:val="-2"/>
        </w:rPr>
        <w:t>市)</w:t>
      </w:r>
    </w:p>
    <w:tbl>
      <w:tblPr>
        <w:tblStyle w:val="5"/>
        <w:tblW w:w="11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8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89" w:type="dxa"/>
            <w:gridSpan w:val="2"/>
            <w:vAlign w:val="top"/>
          </w:tcPr>
          <w:p>
            <w:pPr>
              <w:pStyle w:val="6"/>
              <w:spacing w:before="99" w:line="218" w:lineRule="auto"/>
              <w:ind w:left="758"/>
              <w:rPr>
                <w:sz w:val="27"/>
                <w:szCs w:val="27"/>
              </w:rPr>
            </w:pPr>
            <w:r>
              <w:rPr>
                <w:b/>
                <w:bCs/>
                <w:spacing w:val="51"/>
                <w:sz w:val="27"/>
                <w:szCs w:val="27"/>
              </w:rPr>
              <w:t>第</w:t>
            </w:r>
            <w:r>
              <w:rPr>
                <w:spacing w:val="-65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51"/>
                <w:sz w:val="27"/>
                <w:szCs w:val="27"/>
              </w:rPr>
              <w:t>一</w:t>
            </w:r>
            <w:r>
              <w:rPr>
                <w:spacing w:val="-66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51"/>
                <w:sz w:val="27"/>
                <w:szCs w:val="27"/>
              </w:rPr>
              <w:t>部分：海外项目</w:t>
            </w:r>
            <w:r>
              <w:rPr>
                <w:b/>
                <w:bCs/>
                <w:sz w:val="27"/>
                <w:szCs w:val="27"/>
              </w:rPr>
              <w:t>EPC</w:t>
            </w:r>
            <w:r>
              <w:rPr>
                <w:b/>
                <w:bCs/>
                <w:spacing w:val="51"/>
                <w:sz w:val="27"/>
                <w:szCs w:val="27"/>
              </w:rPr>
              <w:t>税收筹划、避税架构搭建、转让定价与管理</w:t>
            </w:r>
          </w:p>
          <w:p>
            <w:pPr>
              <w:pStyle w:val="6"/>
              <w:spacing w:before="32" w:line="207" w:lineRule="auto"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pacing w:val="-9"/>
                <w:sz w:val="27"/>
                <w:szCs w:val="27"/>
              </w:rPr>
              <w:t>(EPC项目避税架构搭建、联合体税收筹划、隐形分包商</w:t>
            </w:r>
            <w:r>
              <w:rPr>
                <w:b/>
                <w:bCs/>
                <w:spacing w:val="-10"/>
                <w:sz w:val="27"/>
                <w:szCs w:val="27"/>
              </w:rPr>
              <w:t>和合作方税务及财务管理)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29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90" w:lineRule="exact"/>
              <w:ind w:left="758"/>
            </w:pPr>
            <w:r>
              <w:rPr>
                <w:b/>
                <w:bCs/>
                <w:spacing w:val="52"/>
                <w:position w:val="13"/>
              </w:rPr>
              <w:t>海外</w:t>
            </w:r>
            <w:r>
              <w:rPr>
                <w:b/>
                <w:bCs/>
                <w:position w:val="13"/>
              </w:rPr>
              <w:t>EP</w:t>
            </w:r>
            <w:r>
              <w:rPr>
                <w:spacing w:val="-51"/>
                <w:position w:val="13"/>
              </w:rPr>
              <w:t xml:space="preserve"> </w:t>
            </w:r>
            <w:r>
              <w:rPr>
                <w:b/>
                <w:bCs/>
                <w:position w:val="13"/>
              </w:rPr>
              <w:t>C</w:t>
            </w:r>
            <w:r>
              <w:rPr>
                <w:b/>
                <w:bCs/>
                <w:spacing w:val="52"/>
                <w:position w:val="13"/>
              </w:rPr>
              <w:t>项目</w:t>
            </w:r>
          </w:p>
          <w:p>
            <w:pPr>
              <w:pStyle w:val="6"/>
              <w:spacing w:line="219" w:lineRule="auto"/>
              <w:ind w:left="828"/>
            </w:pPr>
            <w:r>
              <w:rPr>
                <w:b/>
                <w:bCs/>
                <w:spacing w:val="-4"/>
              </w:rPr>
              <w:t>税务筹划详解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69" w:line="219" w:lineRule="auto"/>
              <w:ind w:left="112"/>
            </w:pPr>
            <w:r>
              <w:rPr>
                <w:spacing w:val="-2"/>
              </w:rPr>
              <w:t>●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国际EPC工程项目税务管理和税务筹划</w:t>
            </w:r>
          </w:p>
          <w:p>
            <w:pPr>
              <w:pStyle w:val="6"/>
              <w:spacing w:before="47" w:line="246" w:lineRule="auto"/>
              <w:ind w:left="523" w:right="42" w:firstLine="12"/>
              <w:jc w:val="both"/>
            </w:pPr>
            <w:r>
              <w:rPr>
                <w:b/>
                <w:bCs/>
              </w:rPr>
              <w:t>投标阶段：</w:t>
            </w:r>
            <w:r>
              <w:t>国际工程项目各阶段需考虑的税务事项，项目当地可能涉及的税种，中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国税收制度，签约方案和机构实体，    “免税”条款风险，EPC项目税负成本测算及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价格选择策略</w:t>
            </w:r>
          </w:p>
          <w:p>
            <w:pPr>
              <w:pStyle w:val="6"/>
              <w:spacing w:before="40" w:line="219" w:lineRule="auto"/>
              <w:ind w:left="526"/>
            </w:pPr>
            <w:r>
              <w:rPr>
                <w:b/>
                <w:bCs/>
                <w:spacing w:val="-1"/>
              </w:rPr>
              <w:t>商务谈判阶段：</w:t>
            </w:r>
            <w:r>
              <w:rPr>
                <w:spacing w:val="-1"/>
              </w:rPr>
              <w:t>免税项目风险识别，税负承担条款</w:t>
            </w:r>
          </w:p>
          <w:p>
            <w:pPr>
              <w:pStyle w:val="6"/>
              <w:spacing w:before="73" w:line="249" w:lineRule="auto"/>
              <w:ind w:left="523" w:right="238" w:firstLine="22"/>
            </w:pPr>
            <w:r>
              <w:rPr>
                <w:b/>
                <w:bCs/>
                <w:spacing w:val="-1"/>
              </w:rPr>
              <w:t>建设和移交阶段：</w:t>
            </w:r>
            <w:r>
              <w:rPr>
                <w:spacing w:val="-1"/>
              </w:rPr>
              <w:t>供应商(分包商)及分包成本，隐形分包商和合作方税务和</w:t>
            </w:r>
            <w:r>
              <w:rPr>
                <w:color w:val="003091"/>
                <w:spacing w:val="-1"/>
              </w:rPr>
              <w:t>财务</w:t>
            </w:r>
            <w:r>
              <w:rPr>
                <w:color w:val="003091"/>
                <w:spacing w:val="2"/>
              </w:rPr>
              <w:t xml:space="preserve">  </w:t>
            </w:r>
            <w:r>
              <w:rPr>
                <w:spacing w:val="1"/>
              </w:rPr>
              <w:t>管理，代扣代缴纳税义务人，</w:t>
            </w:r>
            <w:r>
              <w:t>EPC</w:t>
            </w:r>
            <w:r>
              <w:rPr>
                <w:spacing w:val="1"/>
              </w:rPr>
              <w:t>总承包商境外所得税抵扣问，中国总</w:t>
            </w:r>
            <w:r>
              <w:t>部成本费用 的分摊，利润及其他收益汇回管理</w:t>
            </w:r>
          </w:p>
          <w:p>
            <w:pPr>
              <w:pStyle w:val="6"/>
              <w:spacing w:before="48" w:line="219" w:lineRule="auto"/>
              <w:ind w:left="526"/>
            </w:pPr>
            <w:r>
              <w:rPr>
                <w:b/>
                <w:bCs/>
              </w:rPr>
              <w:t>跨境经营主要税务考量：</w:t>
            </w:r>
            <w:r>
              <w:t>境外业务平台的设立，合</w:t>
            </w:r>
            <w:r>
              <w:rPr>
                <w:spacing w:val="-1"/>
              </w:rPr>
              <w:t>理安排关联交易</w:t>
            </w:r>
          </w:p>
          <w:p>
            <w:pPr>
              <w:pStyle w:val="6"/>
              <w:spacing w:before="50" w:line="234" w:lineRule="auto"/>
              <w:ind w:left="522" w:right="251" w:hanging="410"/>
            </w:pPr>
            <w:r>
              <w:t>●  当地公司与中国总公司(总承包),联合体承包工程，中国设计合作单位，中国“隐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形”分包商，当地合作分包商的商务，法律与税务关系分析及安排</w:t>
            </w:r>
          </w:p>
          <w:p>
            <w:pPr>
              <w:pStyle w:val="6"/>
              <w:spacing w:before="51" w:line="209" w:lineRule="auto"/>
              <w:ind w:left="92"/>
            </w:pPr>
            <w:r>
              <w:t>●  当地公司对中国“隐形”分包商的财税管理、境外“隐形”分包商的税务管理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93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420" w:lineRule="exact"/>
              <w:ind w:left="307"/>
            </w:pPr>
            <w:r>
              <w:rPr>
                <w:b/>
                <w:bCs/>
                <w:spacing w:val="-2"/>
                <w:position w:val="16"/>
              </w:rPr>
              <w:t>国际项目执行机构组织形</w:t>
            </w:r>
          </w:p>
          <w:p>
            <w:pPr>
              <w:pStyle w:val="6"/>
              <w:spacing w:line="219" w:lineRule="auto"/>
              <w:ind w:left="617"/>
            </w:pPr>
            <w:r>
              <w:rPr>
                <w:b/>
                <w:bCs/>
                <w:spacing w:val="-4"/>
              </w:rPr>
              <w:t>式与税收筹划方式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51" w:line="219" w:lineRule="auto"/>
              <w:ind w:left="523"/>
            </w:pPr>
            <w:r>
              <w:t>●  利用常设机构进行税务筹划，利用分公司、子公司进行税务筹划</w:t>
            </w:r>
          </w:p>
          <w:p>
            <w:pPr>
              <w:pStyle w:val="6"/>
              <w:spacing w:before="50" w:line="219" w:lineRule="auto"/>
              <w:ind w:left="523"/>
            </w:pPr>
            <w:r>
              <w:t>●  境外各种机构的税务考量，联合体及税务考量</w:t>
            </w:r>
          </w:p>
          <w:p>
            <w:pPr>
              <w:pStyle w:val="6"/>
              <w:spacing w:before="40" w:line="220" w:lineRule="auto"/>
              <w:ind w:left="526"/>
            </w:pPr>
            <w:r>
              <w:rPr>
                <w:b/>
                <w:bCs/>
                <w:spacing w:val="-4"/>
              </w:rPr>
              <w:t>案例分析：</w:t>
            </w:r>
          </w:p>
          <w:p>
            <w:pPr>
              <w:pStyle w:val="6"/>
              <w:spacing w:before="90" w:line="219" w:lineRule="auto"/>
              <w:ind w:left="523"/>
            </w:pPr>
            <w:r>
              <w:t>1.印度尼西亚对于常设机构的认定</w:t>
            </w:r>
          </w:p>
          <w:p>
            <w:pPr>
              <w:pStyle w:val="6"/>
              <w:spacing w:before="51" w:line="191" w:lineRule="auto"/>
              <w:ind w:left="523"/>
            </w:pPr>
            <w:r>
              <w:t>2.越南对“常设机构”和“营业利润”的相关规定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93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18" w:lineRule="exact"/>
              <w:ind w:left="617"/>
            </w:pPr>
            <w:r>
              <w:rPr>
                <w:b/>
                <w:bCs/>
                <w:spacing w:val="-4"/>
                <w:position w:val="15"/>
              </w:rPr>
              <w:t>跨国公司组织形式</w:t>
            </w:r>
          </w:p>
          <w:p>
            <w:pPr>
              <w:pStyle w:val="6"/>
              <w:spacing w:line="219" w:lineRule="auto"/>
              <w:ind w:left="937"/>
            </w:pPr>
            <w:r>
              <w:rPr>
                <w:b/>
                <w:bCs/>
                <w:spacing w:val="-1"/>
              </w:rPr>
              <w:t>的税务筹划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72" w:line="243" w:lineRule="auto"/>
              <w:ind w:left="522" w:right="136" w:hanging="400"/>
            </w:pPr>
            <w:r>
              <w:t>●  跨国公司经营活动税务筹划：利用居所转移的方式进行税务筹划，利用转让定价方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式进行税务筹划，利用税收优惠进行税务筹划，利用延</w:t>
            </w:r>
            <w:r>
              <w:t>期纳税进行税务筹划，利用 资本弱化进行税务筹划，利用不同国家之间的税收协定的优惠政策</w:t>
            </w:r>
          </w:p>
          <w:p>
            <w:pPr>
              <w:pStyle w:val="6"/>
              <w:spacing w:before="52" w:line="219" w:lineRule="auto"/>
              <w:ind w:left="102"/>
            </w:pPr>
            <w:r>
              <w:t>●  投资汇回的筹划：营业利润的计算原则，利润汇回的时间和比例</w:t>
            </w:r>
          </w:p>
          <w:p>
            <w:pPr>
              <w:pStyle w:val="6"/>
              <w:spacing w:before="30" w:line="219" w:lineRule="auto"/>
              <w:ind w:left="92"/>
            </w:pPr>
            <w:r>
              <w:t>●  投资退出的筹划，个人所得税筹划</w:t>
            </w:r>
          </w:p>
          <w:p>
            <w:pPr>
              <w:pStyle w:val="6"/>
              <w:spacing w:before="88" w:line="220" w:lineRule="auto"/>
              <w:ind w:left="526"/>
            </w:pPr>
            <w:r>
              <w:rPr>
                <w:b/>
                <w:bCs/>
                <w:spacing w:val="-5"/>
              </w:rPr>
              <w:t>案例分析</w:t>
            </w:r>
          </w:p>
          <w:p>
            <w:pPr>
              <w:pStyle w:val="6"/>
              <w:spacing w:before="41" w:line="307" w:lineRule="exact"/>
              <w:ind w:left="523"/>
            </w:pPr>
            <w:r>
              <w:rPr>
                <w:position w:val="7"/>
              </w:rPr>
              <w:t>1.中国和印度双边税收协定中与工程项目有关的条款</w:t>
            </w:r>
          </w:p>
          <w:p>
            <w:pPr>
              <w:pStyle w:val="6"/>
              <w:spacing w:before="1" w:line="182" w:lineRule="auto"/>
              <w:ind w:left="523"/>
            </w:pPr>
            <w:r>
              <w:t>2.印度B项目个人所得税筹划案例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29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20" w:lineRule="exact"/>
              <w:ind w:left="307"/>
            </w:pPr>
            <w:r>
              <w:rPr>
                <w:b/>
                <w:bCs/>
                <w:spacing w:val="-3"/>
                <w:position w:val="16"/>
              </w:rPr>
              <w:t>国际投建营项目税务管理</w:t>
            </w:r>
          </w:p>
          <w:p>
            <w:pPr>
              <w:pStyle w:val="6"/>
              <w:spacing w:line="219" w:lineRule="auto"/>
              <w:ind w:left="937"/>
            </w:pPr>
            <w:r>
              <w:rPr>
                <w:b/>
                <w:bCs/>
                <w:spacing w:val="-4"/>
              </w:rPr>
              <w:t>和税务筹划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87" w:line="250" w:lineRule="auto"/>
              <w:ind w:left="522" w:right="122" w:hanging="400"/>
            </w:pPr>
            <w:r>
              <w:rPr>
                <w:spacing w:val="1"/>
              </w:rPr>
              <w:t>●  国际投建营项目税务管理及筹划：国际</w:t>
            </w:r>
            <w:r>
              <w:t>投资项目四维理论模型，项目所在地及中国 的税制和征管，税收优惠的考虑，利润及其他收益汇回管理，主要税种考量流转税</w:t>
            </w:r>
            <w:r>
              <w:rPr>
                <w:spacing w:val="17"/>
              </w:rPr>
              <w:t xml:space="preserve"> </w:t>
            </w:r>
            <w:r>
              <w:t>关税企业所得税，融资安排税务优化，投资控股架构设计税务考量，税务假</w:t>
            </w:r>
            <w:r>
              <w:rPr>
                <w:spacing w:val="-1"/>
              </w:rPr>
              <w:t>设与财</w:t>
            </w:r>
            <w:r>
              <w:t xml:space="preserve"> </w:t>
            </w:r>
            <w:r>
              <w:rPr>
                <w:spacing w:val="4"/>
              </w:rPr>
              <w:t>务模型</w:t>
            </w:r>
          </w:p>
          <w:p>
            <w:pPr>
              <w:pStyle w:val="6"/>
              <w:spacing w:before="28" w:line="198" w:lineRule="auto"/>
              <w:ind w:left="92"/>
            </w:pPr>
            <w:r>
              <w:t xml:space="preserve">●  </w:t>
            </w:r>
            <w:r>
              <w:rPr>
                <w:b/>
                <w:bCs/>
              </w:rPr>
              <w:t>案例分析：</w:t>
            </w:r>
            <w:r>
              <w:t>国际投建营项目投资控股架</w:t>
            </w:r>
            <w:r>
              <w:rPr>
                <w:spacing w:val="-1"/>
              </w:rPr>
              <w:t>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189" w:type="dxa"/>
            <w:gridSpan w:val="2"/>
            <w:vAlign w:val="top"/>
          </w:tcPr>
          <w:p>
            <w:pPr>
              <w:pStyle w:val="6"/>
              <w:spacing w:before="95" w:line="219" w:lineRule="auto"/>
              <w:ind w:left="1708"/>
              <w:rPr>
                <w:sz w:val="27"/>
                <w:szCs w:val="27"/>
              </w:rPr>
            </w:pPr>
            <w:r>
              <w:rPr>
                <w:b/>
                <w:bCs/>
                <w:spacing w:val="49"/>
                <w:sz w:val="27"/>
                <w:szCs w:val="27"/>
              </w:rPr>
              <w:t>第二部分：国际项目税收协定与合规风险防范</w:t>
            </w:r>
            <w:r>
              <w:rPr>
                <w:b/>
                <w:bCs/>
                <w:spacing w:val="48"/>
                <w:sz w:val="27"/>
                <w:szCs w:val="27"/>
              </w:rPr>
              <w:t>管理梳理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293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90" w:lineRule="exact"/>
              <w:ind w:left="617"/>
            </w:pPr>
            <w:r>
              <w:rPr>
                <w:b/>
                <w:bCs/>
                <w:spacing w:val="-3"/>
                <w:position w:val="13"/>
              </w:rPr>
              <w:t>国际项目税务管理</w:t>
            </w:r>
          </w:p>
          <w:p>
            <w:pPr>
              <w:pStyle w:val="6"/>
              <w:spacing w:line="219" w:lineRule="auto"/>
              <w:ind w:left="617"/>
            </w:pPr>
            <w:r>
              <w:rPr>
                <w:b/>
                <w:bCs/>
                <w:spacing w:val="-2"/>
              </w:rPr>
              <w:t>中国特别纳税调整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66" w:line="219" w:lineRule="auto"/>
              <w:ind w:left="92"/>
            </w:pPr>
            <w:r>
              <w:t>●  国际税收征管合作，关联交易，受控外国公司利润的处理</w:t>
            </w:r>
          </w:p>
          <w:p>
            <w:pPr>
              <w:pStyle w:val="6"/>
              <w:spacing w:before="29" w:line="219" w:lineRule="auto"/>
              <w:ind w:left="102"/>
            </w:pPr>
            <w:r>
              <w:t>●  资本弱化及防范，特别纳税调整中的税款补征及加息问题，税务机关纳税调整期限</w:t>
            </w:r>
          </w:p>
          <w:p>
            <w:pPr>
              <w:pStyle w:val="6"/>
              <w:spacing w:before="71" w:line="250" w:lineRule="auto"/>
              <w:ind w:left="522" w:right="124" w:hanging="420"/>
            </w:pPr>
            <w:r>
              <w:rPr>
                <w:spacing w:val="1"/>
              </w:rPr>
              <w:t>●  税务管理需要考虑的要素，税收筹划的理论框架，尽职调查与税务筹划，外文账目</w:t>
            </w:r>
            <w:r>
              <w:t xml:space="preserve"> 处理方式，与第三方咨询机构的合作，税务审计与税务稽查</w:t>
            </w:r>
          </w:p>
          <w:p>
            <w:pPr>
              <w:pStyle w:val="6"/>
              <w:spacing w:before="29" w:line="220" w:lineRule="auto"/>
              <w:ind w:left="526"/>
            </w:pPr>
            <w:r>
              <w:rPr>
                <w:b/>
                <w:bCs/>
                <w:spacing w:val="-5"/>
              </w:rPr>
              <w:t>案例分析</w:t>
            </w:r>
          </w:p>
          <w:p>
            <w:pPr>
              <w:pStyle w:val="6"/>
              <w:spacing w:before="72" w:line="300" w:lineRule="exact"/>
              <w:ind w:left="523"/>
            </w:pPr>
            <w:r>
              <w:rPr>
                <w:position w:val="6"/>
              </w:rPr>
              <w:t>1.东南亚国家工程行业主要税制比较</w:t>
            </w:r>
          </w:p>
          <w:p>
            <w:pPr>
              <w:pStyle w:val="6"/>
              <w:spacing w:line="219" w:lineRule="auto"/>
              <w:ind w:left="523"/>
            </w:pPr>
            <w:r>
              <w:rPr>
                <w:spacing w:val="-1"/>
              </w:rPr>
              <w:t>2.马其顿税法-企业所得</w:t>
            </w:r>
          </w:p>
          <w:p>
            <w:pPr>
              <w:pStyle w:val="6"/>
              <w:spacing w:before="49" w:line="196" w:lineRule="auto"/>
              <w:ind w:left="523"/>
            </w:pPr>
            <w:r>
              <w:rPr>
                <w:spacing w:val="1"/>
              </w:rPr>
              <w:t>3.菲律宾财税尽职调查报告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932" w:type="dxa"/>
            <w:vAlign w:val="top"/>
          </w:tcPr>
          <w:p>
            <w:pPr>
              <w:pStyle w:val="6"/>
              <w:spacing w:before="295" w:line="420" w:lineRule="exact"/>
              <w:ind w:left="408"/>
            </w:pPr>
            <w:r>
              <w:rPr>
                <w:b/>
                <w:bCs/>
                <w:spacing w:val="-4"/>
                <w:position w:val="16"/>
              </w:rPr>
              <w:t>境外税务合规风险防范</w:t>
            </w:r>
          </w:p>
          <w:p>
            <w:pPr>
              <w:pStyle w:val="6"/>
              <w:spacing w:line="209" w:lineRule="auto"/>
              <w:ind w:left="728"/>
            </w:pPr>
            <w:r>
              <w:rPr>
                <w:b/>
                <w:bCs/>
                <w:spacing w:val="-4"/>
              </w:rPr>
              <w:t>管理总结和梳理</w:t>
            </w:r>
          </w:p>
        </w:tc>
        <w:tc>
          <w:tcPr>
            <w:tcW w:w="8257" w:type="dxa"/>
            <w:vAlign w:val="top"/>
          </w:tcPr>
          <w:p>
            <w:pPr>
              <w:pStyle w:val="6"/>
              <w:spacing w:before="58" w:line="219" w:lineRule="auto"/>
              <w:ind w:left="523"/>
            </w:pPr>
            <w:r>
              <w:t>●  中国“走出去”企业境外税务合规管理相关具体制度、规定、流程和实操办法</w:t>
            </w:r>
          </w:p>
          <w:p>
            <w:pPr>
              <w:pStyle w:val="6"/>
              <w:spacing w:before="10" w:line="219" w:lineRule="auto"/>
              <w:ind w:left="523"/>
            </w:pPr>
            <w:r>
              <w:rPr>
                <w:spacing w:val="-4"/>
              </w:rPr>
              <w:t>●   “走出去”企业对税务风险防范和应对的经验分享</w:t>
            </w:r>
          </w:p>
          <w:p>
            <w:pPr>
              <w:pStyle w:val="6"/>
              <w:spacing w:before="91" w:line="219" w:lineRule="auto"/>
              <w:ind w:left="523"/>
            </w:pPr>
            <w:r>
              <w:rPr>
                <w:spacing w:val="-4"/>
              </w:rPr>
              <w:t>●   “走出去”企业境外税收合规管理及案例解析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699" w:right="355" w:bottom="0" w:left="344" w:header="0" w:footer="0" w:gutter="0"/>
          <w:cols w:space="720" w:num="1"/>
        </w:sectPr>
      </w:pPr>
    </w:p>
    <w:p>
      <w:pPr>
        <w:pStyle w:val="2"/>
        <w:spacing w:before="59" w:line="523" w:lineRule="exact"/>
        <w:ind w:left="395"/>
        <w:rPr>
          <w:sz w:val="30"/>
          <w:szCs w:val="30"/>
        </w:rPr>
      </w:pPr>
      <w:r>
        <w:rPr>
          <w:spacing w:val="18"/>
          <w:position w:val="16"/>
          <w:sz w:val="30"/>
          <w:szCs w:val="30"/>
        </w:rPr>
        <w:t>海外项目</w:t>
      </w:r>
      <w:r>
        <w:rPr>
          <w:spacing w:val="-41"/>
          <w:position w:val="16"/>
          <w:sz w:val="30"/>
          <w:szCs w:val="30"/>
        </w:rPr>
        <w:t xml:space="preserve"> </w:t>
      </w:r>
      <w:r>
        <w:rPr>
          <w:spacing w:val="18"/>
          <w:position w:val="16"/>
          <w:sz w:val="30"/>
          <w:szCs w:val="30"/>
        </w:rPr>
        <w:t>(</w:t>
      </w:r>
      <w:r>
        <w:rPr>
          <w:position w:val="16"/>
          <w:sz w:val="30"/>
          <w:szCs w:val="30"/>
        </w:rPr>
        <w:t>EPC</w:t>
      </w:r>
      <w:r>
        <w:rPr>
          <w:spacing w:val="18"/>
          <w:position w:val="16"/>
          <w:sz w:val="30"/>
          <w:szCs w:val="30"/>
        </w:rPr>
        <w:t xml:space="preserve"> 项目、联合体、隐形分包商)</w:t>
      </w:r>
      <w:r>
        <w:rPr>
          <w:spacing w:val="54"/>
          <w:position w:val="16"/>
          <w:sz w:val="30"/>
          <w:szCs w:val="30"/>
        </w:rPr>
        <w:t xml:space="preserve"> </w:t>
      </w:r>
      <w:r>
        <w:rPr>
          <w:spacing w:val="18"/>
          <w:position w:val="16"/>
          <w:sz w:val="30"/>
          <w:szCs w:val="30"/>
        </w:rPr>
        <w:t>“避税架构搭建、转让定价</w:t>
      </w:r>
    </w:p>
    <w:p>
      <w:pPr>
        <w:pStyle w:val="2"/>
        <w:spacing w:line="219" w:lineRule="auto"/>
        <w:ind w:left="2855"/>
        <w:rPr>
          <w:sz w:val="30"/>
          <w:szCs w:val="30"/>
        </w:rPr>
      </w:pPr>
      <w:r>
        <w:rPr>
          <w:spacing w:val="18"/>
          <w:sz w:val="30"/>
          <w:szCs w:val="30"/>
        </w:rPr>
        <w:t>与税收筹划风险合规管理”高端进修班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75" w:line="176" w:lineRule="auto"/>
        <w:ind w:left="4425"/>
        <w:rPr>
          <w:rFonts w:ascii="LiSu" w:hAnsi="LiSu" w:eastAsia="LiSu" w:cs="LiSu"/>
          <w:sz w:val="23"/>
          <w:szCs w:val="23"/>
        </w:rPr>
      </w:pPr>
      <w:r>
        <w:rPr>
          <w:rFonts w:ascii="LiSu" w:hAnsi="LiSu" w:eastAsia="LiSu" w:cs="LiSu"/>
          <w:spacing w:val="-9"/>
          <w:sz w:val="23"/>
          <w:szCs w:val="23"/>
        </w:rPr>
        <w:t>报</w:t>
      </w:r>
      <w:r>
        <w:rPr>
          <w:rFonts w:ascii="LiSu" w:hAnsi="LiSu" w:eastAsia="LiSu" w:cs="LiSu"/>
          <w:spacing w:val="32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名</w:t>
      </w:r>
      <w:r>
        <w:rPr>
          <w:rFonts w:ascii="LiSu" w:hAnsi="LiSu" w:eastAsia="LiSu" w:cs="LiSu"/>
          <w:spacing w:val="41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回</w:t>
      </w:r>
      <w:r>
        <w:rPr>
          <w:rFonts w:ascii="LiSu" w:hAnsi="LiSu" w:eastAsia="LiSu" w:cs="LiSu"/>
          <w:spacing w:val="29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执</w:t>
      </w:r>
      <w:r>
        <w:rPr>
          <w:rFonts w:ascii="LiSu" w:hAnsi="LiSu" w:eastAsia="LiSu" w:cs="LiSu"/>
          <w:spacing w:val="31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表</w:t>
      </w:r>
    </w:p>
    <w:p>
      <w:pPr>
        <w:spacing w:before="124" w:line="213" w:lineRule="auto"/>
        <w:ind w:left="804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7"/>
          <w:sz w:val="23"/>
          <w:szCs w:val="23"/>
        </w:rPr>
        <w:t>填表日期：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17"/>
          <w:sz w:val="23"/>
          <w:szCs w:val="23"/>
        </w:rPr>
        <w:t>年</w:t>
      </w:r>
      <w:r>
        <w:rPr>
          <w:rFonts w:ascii="黑体" w:hAnsi="黑体" w:eastAsia="黑体" w:cs="黑体"/>
          <w:spacing w:val="15"/>
          <w:sz w:val="23"/>
          <w:szCs w:val="23"/>
        </w:rPr>
        <w:t xml:space="preserve">   </w:t>
      </w:r>
      <w:r>
        <w:rPr>
          <w:rFonts w:ascii="黑体" w:hAnsi="黑体" w:eastAsia="黑体" w:cs="黑体"/>
          <w:spacing w:val="-17"/>
          <w:sz w:val="23"/>
          <w:szCs w:val="23"/>
        </w:rPr>
        <w:t>月</w:t>
      </w:r>
      <w:r>
        <w:rPr>
          <w:rFonts w:ascii="黑体" w:hAnsi="黑体" w:eastAsia="黑体" w:cs="黑体"/>
          <w:spacing w:val="24"/>
          <w:sz w:val="23"/>
          <w:szCs w:val="23"/>
        </w:rPr>
        <w:t xml:space="preserve">   </w:t>
      </w:r>
      <w:r>
        <w:rPr>
          <w:rFonts w:ascii="黑体" w:hAnsi="黑体" w:eastAsia="黑体" w:cs="黑体"/>
          <w:spacing w:val="-17"/>
          <w:sz w:val="23"/>
          <w:szCs w:val="23"/>
        </w:rPr>
        <w:t>日</w:t>
      </w:r>
    </w:p>
    <w:tbl>
      <w:tblPr>
        <w:tblStyle w:val="5"/>
        <w:tblW w:w="11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659"/>
        <w:gridCol w:w="419"/>
        <w:gridCol w:w="849"/>
        <w:gridCol w:w="490"/>
        <w:gridCol w:w="959"/>
        <w:gridCol w:w="110"/>
        <w:gridCol w:w="120"/>
        <w:gridCol w:w="1339"/>
        <w:gridCol w:w="499"/>
        <w:gridCol w:w="180"/>
        <w:gridCol w:w="719"/>
        <w:gridCol w:w="220"/>
        <w:gridCol w:w="1469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4" w:type="dxa"/>
            <w:gridSpan w:val="3"/>
            <w:vAlign w:val="top"/>
          </w:tcPr>
          <w:p>
            <w:pPr>
              <w:pStyle w:val="6"/>
              <w:spacing w:before="135" w:line="220" w:lineRule="auto"/>
              <w:ind w:left="2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737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868"/>
              <w:rPr>
                <w:sz w:val="23"/>
                <w:szCs w:val="23"/>
              </w:rPr>
            </w:pPr>
            <w:r>
              <w:rPr>
                <w:color w:val="857370"/>
                <w:spacing w:val="3"/>
                <w:sz w:val="23"/>
                <w:szCs w:val="23"/>
              </w:rPr>
              <w:t>(盖章</w:t>
            </w:r>
            <w:r>
              <w:rPr>
                <w:spacing w:val="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4" w:type="dxa"/>
            <w:gridSpan w:val="3"/>
            <w:vAlign w:val="top"/>
          </w:tcPr>
          <w:p>
            <w:pPr>
              <w:pStyle w:val="6"/>
              <w:spacing w:before="201" w:line="199" w:lineRule="auto"/>
              <w:ind w:left="22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地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址</w:t>
            </w:r>
          </w:p>
        </w:tc>
        <w:tc>
          <w:tcPr>
            <w:tcW w:w="478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  <w:spacing w:before="188" w:line="209" w:lineRule="auto"/>
              <w:ind w:left="24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邮编</w:t>
            </w:r>
          </w:p>
        </w:tc>
        <w:tc>
          <w:tcPr>
            <w:tcW w:w="1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4" w:type="dxa"/>
            <w:gridSpan w:val="3"/>
            <w:vAlign w:val="top"/>
          </w:tcPr>
          <w:p>
            <w:pPr>
              <w:pStyle w:val="6"/>
              <w:spacing w:before="199" w:line="209" w:lineRule="auto"/>
              <w:ind w:left="225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经</w:t>
            </w:r>
            <w:r>
              <w:rPr>
                <w:spacing w:val="25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办</w:t>
            </w:r>
            <w:r>
              <w:rPr>
                <w:spacing w:val="21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人</w:t>
            </w:r>
          </w:p>
        </w:tc>
        <w:tc>
          <w:tcPr>
            <w:tcW w:w="27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3"/>
            <w:vAlign w:val="top"/>
          </w:tcPr>
          <w:p>
            <w:pPr>
              <w:pStyle w:val="6"/>
              <w:spacing w:before="199" w:line="209" w:lineRule="auto"/>
              <w:ind w:left="43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手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机</w:t>
            </w:r>
          </w:p>
        </w:tc>
        <w:tc>
          <w:tcPr>
            <w:tcW w:w="30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4" w:type="dxa"/>
            <w:gridSpan w:val="3"/>
            <w:vAlign w:val="top"/>
          </w:tcPr>
          <w:p>
            <w:pPr>
              <w:pStyle w:val="6"/>
              <w:spacing w:before="192" w:line="206" w:lineRule="auto"/>
              <w:ind w:left="225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电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18"/>
                <w:sz w:val="23"/>
                <w:szCs w:val="23"/>
              </w:rPr>
              <w:t>话</w:t>
            </w:r>
          </w:p>
        </w:tc>
        <w:tc>
          <w:tcPr>
            <w:tcW w:w="27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3"/>
            <w:vAlign w:val="top"/>
          </w:tcPr>
          <w:p>
            <w:pPr>
              <w:pStyle w:val="6"/>
              <w:spacing w:before="233" w:line="173" w:lineRule="auto"/>
              <w:ind w:left="37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E--mail</w:t>
            </w:r>
          </w:p>
        </w:tc>
        <w:tc>
          <w:tcPr>
            <w:tcW w:w="30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4" w:type="dxa"/>
            <w:gridSpan w:val="3"/>
            <w:vAlign w:val="top"/>
          </w:tcPr>
          <w:p>
            <w:pPr>
              <w:pStyle w:val="6"/>
              <w:spacing w:before="190" w:line="192" w:lineRule="auto"/>
              <w:ind w:left="22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参会嘉宾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72" w:line="207" w:lineRule="auto"/>
              <w:ind w:left="390"/>
              <w:rPr>
                <w:sz w:val="23"/>
                <w:szCs w:val="23"/>
              </w:rPr>
            </w:pPr>
            <w:r>
              <w:rPr>
                <w:color w:val="00338B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  <w:spacing w:before="180" w:line="200" w:lineRule="auto"/>
              <w:ind w:left="44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职</w:t>
            </w:r>
            <w:r>
              <w:rPr>
                <w:spacing w:val="15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务</w:t>
            </w:r>
          </w:p>
        </w:tc>
        <w:tc>
          <w:tcPr>
            <w:tcW w:w="2138" w:type="dxa"/>
            <w:gridSpan w:val="4"/>
            <w:vAlign w:val="top"/>
          </w:tcPr>
          <w:p>
            <w:pPr>
              <w:pStyle w:val="6"/>
              <w:spacing w:before="163" w:line="214" w:lineRule="auto"/>
              <w:ind w:left="603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电</w:t>
            </w:r>
            <w:r>
              <w:rPr>
                <w:spacing w:val="26"/>
                <w:sz w:val="23"/>
                <w:szCs w:val="23"/>
              </w:rPr>
              <w:t xml:space="preserve">  </w:t>
            </w:r>
            <w:r>
              <w:rPr>
                <w:spacing w:val="-18"/>
                <w:sz w:val="23"/>
                <w:szCs w:val="23"/>
              </w:rPr>
              <w:t>话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pStyle w:val="6"/>
              <w:spacing w:before="190" w:line="192" w:lineRule="auto"/>
              <w:ind w:left="8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手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机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204" w:line="181" w:lineRule="auto"/>
              <w:ind w:left="74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E--mail: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0" w:line="216" w:lineRule="auto"/>
              <w:ind w:left="1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付</w:t>
            </w:r>
            <w:r>
              <w:rPr>
                <w:spacing w:val="9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款</w:t>
            </w:r>
            <w:r>
              <w:rPr>
                <w:spacing w:val="9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方</w:t>
            </w:r>
            <w:r>
              <w:rPr>
                <w:spacing w:val="9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式</w:t>
            </w:r>
          </w:p>
        </w:tc>
        <w:tc>
          <w:tcPr>
            <w:tcW w:w="10705" w:type="dxa"/>
            <w:gridSpan w:val="15"/>
            <w:vAlign w:val="top"/>
          </w:tcPr>
          <w:p>
            <w:pPr>
              <w:pStyle w:val="6"/>
              <w:spacing w:before="62" w:line="215" w:lineRule="auto"/>
              <w:ind w:left="55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培训费：¥4700元/人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bCs/>
                <w:sz w:val="23"/>
                <w:szCs w:val="23"/>
              </w:rPr>
              <w:t>注：含两天中午餐费、培训费、教材费、专家费、场地费、设备费等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5"/>
            <w:vAlign w:val="top"/>
          </w:tcPr>
          <w:p>
            <w:pPr>
              <w:pStyle w:val="6"/>
              <w:spacing w:before="43" w:line="198" w:lineRule="auto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pacing w:val="-12"/>
                <w:sz w:val="23"/>
                <w:szCs w:val="23"/>
              </w:rPr>
              <w:t>选择参加场次日期请打</w:t>
            </w:r>
            <w:r>
              <w:rPr>
                <w:spacing w:val="-47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2"/>
                <w:sz w:val="23"/>
                <w:szCs w:val="23"/>
              </w:rPr>
              <w:t>√</w:t>
            </w:r>
          </w:p>
        </w:tc>
        <w:tc>
          <w:tcPr>
            <w:tcW w:w="8048" w:type="dxa"/>
            <w:gridSpan w:val="10"/>
            <w:vAlign w:val="top"/>
          </w:tcPr>
          <w:p>
            <w:pPr>
              <w:pStyle w:val="6"/>
              <w:spacing w:before="43" w:line="198" w:lineRule="auto"/>
              <w:ind w:left="39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4月13日-14日 北京专场□</w:t>
            </w:r>
            <w:r>
              <w:rPr>
                <w:spacing w:val="9"/>
                <w:sz w:val="23"/>
                <w:szCs w:val="23"/>
              </w:rPr>
              <w:t xml:space="preserve">           </w:t>
            </w:r>
            <w:r>
              <w:rPr>
                <w:b/>
                <w:bCs/>
                <w:spacing w:val="1"/>
                <w:sz w:val="23"/>
                <w:szCs w:val="23"/>
              </w:rPr>
              <w:t>4月20-21</w:t>
            </w:r>
            <w:r>
              <w:rPr>
                <w:b/>
                <w:bCs/>
                <w:sz w:val="23"/>
                <w:szCs w:val="23"/>
              </w:rPr>
              <w:t>日成都专场□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3" w:type="dxa"/>
            <w:gridSpan w:val="13"/>
            <w:vAlign w:val="top"/>
          </w:tcPr>
          <w:p>
            <w:pPr>
              <w:pStyle w:val="6"/>
              <w:spacing w:before="103" w:line="220" w:lineRule="auto"/>
              <w:ind w:left="43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指定汇款账户：</w:t>
            </w:r>
          </w:p>
          <w:p>
            <w:pPr>
              <w:pStyle w:val="6"/>
              <w:spacing w:before="25" w:line="219" w:lineRule="auto"/>
              <w:ind w:left="43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户</w:t>
            </w:r>
            <w:r>
              <w:rPr>
                <w:spacing w:val="-1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1"/>
                <w:sz w:val="23"/>
                <w:szCs w:val="23"/>
              </w:rPr>
              <w:t>名：华企融合国际管理咨询(北京)</w:t>
            </w:r>
            <w:r>
              <w:rPr>
                <w:spacing w:val="-1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1"/>
                <w:sz w:val="23"/>
                <w:szCs w:val="23"/>
              </w:rPr>
              <w:t>有限公司</w:t>
            </w:r>
          </w:p>
          <w:p>
            <w:pPr>
              <w:pStyle w:val="6"/>
              <w:spacing w:before="57" w:line="219" w:lineRule="auto"/>
              <w:ind w:left="43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开户行：建设银行北京铁道专业支行</w:t>
            </w:r>
          </w:p>
          <w:p>
            <w:pPr>
              <w:pStyle w:val="6"/>
              <w:spacing w:before="17" w:line="197" w:lineRule="auto"/>
              <w:ind w:left="43"/>
              <w:rPr>
                <w:sz w:val="23"/>
                <w:szCs w:val="23"/>
              </w:rPr>
            </w:pPr>
            <w:r>
              <w:rPr>
                <w:b/>
                <w:bCs/>
                <w:spacing w:val="27"/>
                <w:w w:val="103"/>
                <w:sz w:val="23"/>
                <w:szCs w:val="23"/>
              </w:rPr>
              <w:t>帐</w:t>
            </w:r>
            <w:r>
              <w:rPr>
                <w:spacing w:val="6"/>
                <w:sz w:val="23"/>
                <w:szCs w:val="23"/>
              </w:rPr>
              <w:t xml:space="preserve">   </w:t>
            </w:r>
            <w:r>
              <w:rPr>
                <w:b/>
                <w:bCs/>
                <w:spacing w:val="27"/>
                <w:w w:val="103"/>
                <w:sz w:val="23"/>
                <w:szCs w:val="23"/>
              </w:rPr>
              <w:t>号：11050137360000002264</w:t>
            </w:r>
          </w:p>
        </w:tc>
        <w:tc>
          <w:tcPr>
            <w:tcW w:w="3902" w:type="dxa"/>
            <w:gridSpan w:val="2"/>
            <w:vAlign w:val="top"/>
          </w:tcPr>
          <w:p>
            <w:pPr>
              <w:pStyle w:val="6"/>
              <w:spacing w:before="156" w:line="321" w:lineRule="auto"/>
              <w:ind w:left="216" w:right="209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请在报名后三日内将费用汇入指定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7E3B00"/>
                <w:spacing w:val="-13"/>
                <w:sz w:val="23"/>
                <w:szCs w:val="23"/>
              </w:rPr>
              <w:t>帐户</w:t>
            </w:r>
            <w:r>
              <w:rPr>
                <w:b/>
                <w:bCs/>
                <w:spacing w:val="-13"/>
                <w:sz w:val="23"/>
                <w:szCs w:val="23"/>
              </w:rPr>
              <w:t>注</w:t>
            </w:r>
            <w:r>
              <w:rPr>
                <w:spacing w:val="67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：</w:t>
            </w:r>
            <w:r>
              <w:rPr>
                <w:spacing w:val="-13"/>
                <w:sz w:val="23"/>
                <w:szCs w:val="23"/>
              </w:rPr>
              <w:t>请向组委会传真一份银行</w:t>
            </w:r>
          </w:p>
          <w:p>
            <w:pPr>
              <w:pStyle w:val="6"/>
              <w:spacing w:line="219" w:lineRule="auto"/>
              <w:ind w:left="13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转账记录以便确认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62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6" w:line="252" w:lineRule="auto"/>
              <w:ind w:left="135" w:right="160" w:firstLine="39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增值税专用发票采集信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息，请参会代表提前提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供并说明，请打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√</w:t>
            </w:r>
          </w:p>
          <w:p>
            <w:pPr>
              <w:pStyle w:val="6"/>
              <w:spacing w:before="55" w:line="219" w:lineRule="auto"/>
              <w:ind w:left="458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专票□</w:t>
            </w:r>
            <w:r>
              <w:rPr>
                <w:spacing w:val="9"/>
                <w:sz w:val="23"/>
                <w:szCs w:val="23"/>
              </w:rPr>
              <w:t xml:space="preserve">   </w:t>
            </w:r>
            <w:r>
              <w:rPr>
                <w:b/>
                <w:bCs/>
                <w:spacing w:val="-2"/>
                <w:sz w:val="23"/>
                <w:szCs w:val="23"/>
              </w:rPr>
              <w:t>普票□</w:t>
            </w:r>
          </w:p>
        </w:tc>
        <w:tc>
          <w:tcPr>
            <w:tcW w:w="1679" w:type="dxa"/>
            <w:gridSpan w:val="4"/>
            <w:vAlign w:val="top"/>
          </w:tcPr>
          <w:p>
            <w:pPr>
              <w:pStyle w:val="6"/>
              <w:spacing w:before="77" w:line="219" w:lineRule="auto"/>
              <w:ind w:left="3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发票抬头</w:t>
            </w:r>
          </w:p>
        </w:tc>
        <w:tc>
          <w:tcPr>
            <w:tcW w:w="685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6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>
            <w:pPr>
              <w:pStyle w:val="6"/>
              <w:spacing w:before="78" w:line="218" w:lineRule="auto"/>
              <w:ind w:left="14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纳税人识别号</w:t>
            </w:r>
          </w:p>
        </w:tc>
        <w:tc>
          <w:tcPr>
            <w:tcW w:w="685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6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>
            <w:pPr>
              <w:pStyle w:val="6"/>
              <w:spacing w:before="79" w:line="217" w:lineRule="auto"/>
              <w:ind w:left="12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地址、电话</w:t>
            </w:r>
          </w:p>
        </w:tc>
        <w:tc>
          <w:tcPr>
            <w:tcW w:w="685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62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>
            <w:pPr>
              <w:pStyle w:val="6"/>
              <w:spacing w:before="108" w:line="194" w:lineRule="auto"/>
              <w:ind w:left="14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开户行及账号</w:t>
            </w:r>
          </w:p>
        </w:tc>
        <w:tc>
          <w:tcPr>
            <w:tcW w:w="685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13" w:type="dxa"/>
            <w:gridSpan w:val="4"/>
            <w:vAlign w:val="top"/>
          </w:tcPr>
          <w:p>
            <w:pPr>
              <w:pStyle w:val="6"/>
              <w:spacing w:before="76" w:line="219" w:lineRule="auto"/>
              <w:ind w:left="13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发票开具科目</w:t>
            </w:r>
          </w:p>
        </w:tc>
        <w:tc>
          <w:tcPr>
            <w:tcW w:w="9387" w:type="dxa"/>
            <w:gridSpan w:val="12"/>
            <w:vAlign w:val="top"/>
          </w:tcPr>
          <w:p>
            <w:pPr>
              <w:pStyle w:val="6"/>
              <w:spacing w:before="107" w:line="187" w:lineRule="auto"/>
              <w:ind w:left="40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鉴证咨询服务培训费□        会展服务会议费□</w:t>
            </w:r>
            <w:r>
              <w:rPr>
                <w:spacing w:val="15"/>
                <w:sz w:val="23"/>
                <w:szCs w:val="23"/>
              </w:rPr>
              <w:t xml:space="preserve">       </w:t>
            </w:r>
            <w:r>
              <w:rPr>
                <w:spacing w:val="3"/>
                <w:position w:val="1"/>
                <w:sz w:val="23"/>
                <w:szCs w:val="23"/>
              </w:rPr>
              <w:t>非学历教育服务培训费□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495" w:type="dxa"/>
            <w:textDirection w:val="tbRlV"/>
            <w:vAlign w:val="top"/>
          </w:tcPr>
          <w:p>
            <w:pPr>
              <w:pStyle w:val="6"/>
              <w:spacing w:before="129" w:line="217" w:lineRule="auto"/>
              <w:ind w:lef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注</w:t>
            </w:r>
            <w:r>
              <w:rPr>
                <w:spacing w:val="8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意</w:t>
            </w:r>
            <w:r>
              <w:rPr>
                <w:spacing w:val="8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事</w:t>
            </w:r>
            <w:r>
              <w:rPr>
                <w:spacing w:val="8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项</w:t>
            </w:r>
          </w:p>
        </w:tc>
        <w:tc>
          <w:tcPr>
            <w:tcW w:w="10705" w:type="dxa"/>
            <w:gridSpan w:val="15"/>
            <w:vAlign w:val="top"/>
          </w:tcPr>
          <w:p>
            <w:pPr>
              <w:pStyle w:val="6"/>
              <w:spacing w:before="57" w:line="238" w:lineRule="auto"/>
              <w:ind w:left="544" w:hanging="405"/>
              <w:rPr>
                <w:sz w:val="23"/>
                <w:szCs w:val="23"/>
              </w:rPr>
            </w:pPr>
            <w:r>
              <w:rPr>
                <w:spacing w:val="-14"/>
                <w:sz w:val="23"/>
                <w:szCs w:val="23"/>
              </w:rPr>
              <w:t>1、  请尽快填写此表盖章发E-mail:</w:t>
            </w:r>
            <w:r>
              <w:rPr>
                <w:rFonts w:hint="eastAsia"/>
                <w:b/>
                <w:bCs/>
                <w:spacing w:val="-14"/>
                <w:sz w:val="23"/>
                <w:szCs w:val="23"/>
                <w:lang w:val="en-US" w:eastAsia="zh-CN"/>
              </w:rPr>
              <w:t>zqgphwz</w:t>
            </w:r>
            <w:r>
              <w:rPr>
                <w:b/>
                <w:bCs/>
                <w:spacing w:val="-14"/>
                <w:sz w:val="23"/>
                <w:szCs w:val="23"/>
              </w:rPr>
              <w:t>@1</w:t>
            </w:r>
            <w:r>
              <w:rPr>
                <w:rFonts w:hint="eastAsia"/>
                <w:b/>
                <w:bCs/>
                <w:spacing w:val="-14"/>
                <w:sz w:val="23"/>
                <w:szCs w:val="23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b/>
                <w:bCs/>
                <w:spacing w:val="-14"/>
                <w:sz w:val="23"/>
                <w:szCs w:val="23"/>
              </w:rPr>
              <w:t>.com</w:t>
            </w:r>
            <w:r>
              <w:rPr>
                <w:spacing w:val="-14"/>
                <w:sz w:val="23"/>
                <w:szCs w:val="23"/>
              </w:rPr>
              <w:t>或传真010-</w:t>
            </w:r>
            <w:r>
              <w:rPr>
                <w:rFonts w:hint="eastAsia"/>
                <w:spacing w:val="-14"/>
                <w:sz w:val="23"/>
                <w:szCs w:val="23"/>
                <w:lang w:val="en-US" w:eastAsia="zh-CN"/>
              </w:rPr>
              <w:t>87697580</w:t>
            </w:r>
            <w:r>
              <w:rPr>
                <w:spacing w:val="-15"/>
                <w:sz w:val="23"/>
                <w:szCs w:val="23"/>
              </w:rPr>
              <w:t>于我处，以确认参会单位及代表信息。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名额有限，报满截止。</w:t>
            </w:r>
          </w:p>
          <w:p>
            <w:pPr>
              <w:pStyle w:val="6"/>
              <w:spacing w:before="23" w:line="224" w:lineRule="auto"/>
              <w:ind w:left="544" w:hanging="4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2、  需要安排住宿代表可由组委会代订①</w:t>
            </w:r>
            <w:r>
              <w:rPr>
                <w:spacing w:val="-3"/>
                <w:sz w:val="23"/>
                <w:szCs w:val="23"/>
              </w:rPr>
              <w:t>北京市★</w:t>
            </w:r>
            <w:r>
              <w:rPr>
                <w:b/>
                <w:bCs/>
                <w:spacing w:val="-3"/>
                <w:sz w:val="23"/>
                <w:szCs w:val="23"/>
              </w:rPr>
              <w:t>君颐润华酒店</w:t>
            </w:r>
            <w:r>
              <w:rPr>
                <w:spacing w:val="-3"/>
                <w:sz w:val="23"/>
                <w:szCs w:val="23"/>
              </w:rPr>
              <w:t>标准间：500元/间/天(含早餐);大床房：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550元/间/天(含早餐);</w:t>
            </w:r>
            <w:r>
              <w:rPr>
                <w:b/>
                <w:bCs/>
                <w:spacing w:val="-2"/>
                <w:sz w:val="23"/>
                <w:szCs w:val="23"/>
              </w:rPr>
              <w:t>②成都★檀香花园酒店</w:t>
            </w:r>
            <w:r>
              <w:rPr>
                <w:spacing w:val="-2"/>
                <w:sz w:val="23"/>
                <w:szCs w:val="23"/>
              </w:rPr>
              <w:t>标准间：3</w:t>
            </w:r>
            <w:r>
              <w:rPr>
                <w:spacing w:val="-3"/>
                <w:sz w:val="23"/>
                <w:szCs w:val="23"/>
              </w:rPr>
              <w:t>00元/间/天(含早餐);大床房：350元/间/</w:t>
            </w:r>
          </w:p>
          <w:p>
            <w:pPr>
              <w:pStyle w:val="6"/>
              <w:spacing w:before="44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天(含早餐);因房间紧张参会代表可把住宿费一</w:t>
            </w:r>
            <w:r>
              <w:rPr>
                <w:spacing w:val="-12"/>
                <w:sz w:val="23"/>
                <w:szCs w:val="23"/>
                <w:u w:val="single" w:color="auto"/>
              </w:rPr>
              <w:t>起汇至组委会指定帐户，需住宿代表请提前预订：4月</w:t>
            </w:r>
            <w:r>
              <w:rPr>
                <w:spacing w:val="32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12"/>
                <w:sz w:val="23"/>
                <w:szCs w:val="23"/>
              </w:rPr>
              <w:t>日</w:t>
            </w:r>
          </w:p>
          <w:p>
            <w:pPr>
              <w:pStyle w:val="6"/>
              <w:spacing w:before="37" w:line="198" w:lineRule="auto"/>
              <w:ind w:left="5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进驻，预定</w:t>
            </w:r>
            <w:r>
              <w:rPr>
                <w:spacing w:val="63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1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间；标准间(  )大床房(</w:t>
            </w:r>
            <w:r>
              <w:rPr>
                <w:spacing w:val="11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)请打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√</w:t>
            </w:r>
          </w:p>
          <w:p>
            <w:pPr>
              <w:pStyle w:val="6"/>
              <w:spacing w:line="218" w:lineRule="auto"/>
              <w:ind w:left="553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注：因酒店房间紧张，不汇款者组委会不能保障房间预定；自行安</w:t>
            </w:r>
            <w:r>
              <w:rPr>
                <w:b/>
                <w:bCs/>
                <w:spacing w:val="-2"/>
                <w:sz w:val="23"/>
                <w:szCs w:val="23"/>
              </w:rPr>
              <w:t>排住宿(</w:t>
            </w:r>
            <w:r>
              <w:rPr>
                <w:spacing w:val="-2"/>
                <w:sz w:val="23"/>
                <w:szCs w:val="23"/>
              </w:rPr>
              <w:t xml:space="preserve">   )请打</w:t>
            </w:r>
            <w:r>
              <w:rPr>
                <w:spacing w:val="-38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√</w:t>
            </w:r>
          </w:p>
          <w:p>
            <w:pPr>
              <w:pStyle w:val="6"/>
              <w:spacing w:before="20" w:line="178" w:lineRule="auto"/>
              <w:ind w:left="123"/>
              <w:rPr>
                <w:sz w:val="23"/>
                <w:szCs w:val="23"/>
              </w:rPr>
            </w:pPr>
            <w:r>
              <w:rPr>
                <w:b/>
                <w:bCs/>
                <w:spacing w:val="1"/>
                <w:sz w:val="23"/>
                <w:szCs w:val="23"/>
              </w:rPr>
              <w:t>3、</w:t>
            </w:r>
            <w:r>
              <w:rPr>
                <w:spacing w:val="1"/>
                <w:sz w:val="23"/>
                <w:szCs w:val="23"/>
              </w:rPr>
              <w:t xml:space="preserve">  单位如需企业内训或咨询服务请会后详谈□    </w:t>
            </w:r>
            <w:r>
              <w:rPr>
                <w:color w:val="003BA2"/>
                <w:spacing w:val="1"/>
                <w:sz w:val="23"/>
                <w:szCs w:val="23"/>
              </w:rPr>
              <w:t xml:space="preserve">(企业项目咨询顾问 </w:t>
            </w:r>
            <w:r>
              <w:rPr>
                <w:spacing w:val="1"/>
                <w:sz w:val="23"/>
                <w:szCs w:val="23"/>
              </w:rPr>
              <w:t>内部培训</w:t>
            </w:r>
            <w:r>
              <w:rPr>
                <w:sz w:val="23"/>
                <w:szCs w:val="23"/>
              </w:rPr>
              <w:t>服务介绍)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5" w:type="dxa"/>
            <w:gridSpan w:val="2"/>
            <w:vAlign w:val="top"/>
          </w:tcPr>
          <w:p>
            <w:pPr>
              <w:pStyle w:val="6"/>
              <w:spacing w:before="100" w:line="230" w:lineRule="auto"/>
              <w:ind w:left="125" w:right="118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联系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方式</w:t>
            </w:r>
          </w:p>
        </w:tc>
        <w:tc>
          <w:tcPr>
            <w:tcW w:w="3376" w:type="dxa"/>
            <w:gridSpan w:val="5"/>
            <w:tcBorders>
              <w:right w:val="nil"/>
            </w:tcBorders>
            <w:vAlign w:val="top"/>
          </w:tcPr>
          <w:p>
            <w:pPr>
              <w:pStyle w:val="6"/>
              <w:spacing w:before="114" w:line="219" w:lineRule="auto"/>
              <w:ind w:left="153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组委会秘书处联系人：</w:t>
            </w:r>
            <w:r>
              <w:rPr>
                <w:rFonts w:hint="eastAsia"/>
                <w:b/>
                <w:bCs/>
                <w:spacing w:val="-2"/>
                <w:sz w:val="23"/>
                <w:szCs w:val="23"/>
                <w:lang w:val="en-US" w:eastAsia="zh-CN"/>
              </w:rPr>
              <w:t>聂红军</w:t>
            </w:r>
          </w:p>
          <w:p>
            <w:pPr>
              <w:pStyle w:val="6"/>
              <w:spacing w:before="35" w:line="201" w:lineRule="auto"/>
              <w:ind w:left="14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E-mail:</w:t>
            </w:r>
            <w:r>
              <w:rPr>
                <w:rFonts w:hint="eastAsia"/>
                <w:spacing w:val="-1"/>
                <w:sz w:val="23"/>
                <w:szCs w:val="23"/>
                <w:lang w:val="en-US" w:eastAsia="zh-CN"/>
              </w:rPr>
              <w:t>470882753</w:t>
            </w:r>
            <w:r>
              <w:rPr>
                <w:spacing w:val="-1"/>
                <w:sz w:val="23"/>
                <w:szCs w:val="23"/>
              </w:rPr>
              <w:t>@qq.com</w:t>
            </w:r>
          </w:p>
        </w:tc>
        <w:tc>
          <w:tcPr>
            <w:tcW w:w="2068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97" w:line="184" w:lineRule="auto"/>
              <w:ind w:left="348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18211071700</w:t>
            </w:r>
          </w:p>
        </w:tc>
        <w:tc>
          <w:tcPr>
            <w:tcW w:w="5021" w:type="dxa"/>
            <w:gridSpan w:val="5"/>
            <w:tcBorders>
              <w:left w:val="nil"/>
            </w:tcBorders>
            <w:vAlign w:val="top"/>
          </w:tcPr>
          <w:p>
            <w:pPr>
              <w:pStyle w:val="6"/>
              <w:spacing w:before="92" w:line="221" w:lineRule="auto"/>
              <w:ind w:left="1241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spacing w:val="18"/>
                <w:sz w:val="23"/>
                <w:szCs w:val="23"/>
              </w:rPr>
              <w:t>电</w:t>
            </w:r>
            <w:r>
              <w:rPr>
                <w:spacing w:val="53"/>
                <w:sz w:val="23"/>
                <w:szCs w:val="23"/>
              </w:rPr>
              <w:t xml:space="preserve">  </w:t>
            </w:r>
            <w:r>
              <w:rPr>
                <w:spacing w:val="18"/>
                <w:sz w:val="23"/>
                <w:szCs w:val="23"/>
              </w:rPr>
              <w:t>话：010</w:t>
            </w:r>
            <w:r>
              <w:rPr>
                <w:spacing w:val="-77"/>
                <w:sz w:val="23"/>
                <w:szCs w:val="23"/>
              </w:rPr>
              <w:t xml:space="preserve"> </w:t>
            </w:r>
            <w:r>
              <w:rPr>
                <w:spacing w:val="18"/>
                <w:sz w:val="23"/>
                <w:szCs w:val="23"/>
              </w:rPr>
              <w:t>—</w:t>
            </w:r>
            <w:r>
              <w:rPr>
                <w:spacing w:val="-74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18"/>
                <w:sz w:val="23"/>
                <w:szCs w:val="23"/>
                <w:lang w:val="en-US" w:eastAsia="zh-CN"/>
              </w:rPr>
              <w:t>87697580</w:t>
            </w:r>
          </w:p>
          <w:p>
            <w:pPr>
              <w:pStyle w:val="6"/>
              <w:spacing w:line="219" w:lineRule="auto"/>
              <w:ind w:left="1241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spacing w:val="20"/>
                <w:sz w:val="23"/>
                <w:szCs w:val="23"/>
              </w:rPr>
              <w:t>传</w:t>
            </w:r>
            <w:r>
              <w:rPr>
                <w:spacing w:val="57"/>
                <w:sz w:val="23"/>
                <w:szCs w:val="23"/>
              </w:rPr>
              <w:t xml:space="preserve">  </w:t>
            </w:r>
            <w:r>
              <w:rPr>
                <w:spacing w:val="20"/>
                <w:sz w:val="23"/>
                <w:szCs w:val="23"/>
              </w:rPr>
              <w:t>真：010</w:t>
            </w:r>
            <w:r>
              <w:rPr>
                <w:spacing w:val="-76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>—</w:t>
            </w:r>
            <w:r>
              <w:rPr>
                <w:spacing w:val="-73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20"/>
                <w:sz w:val="23"/>
                <w:szCs w:val="23"/>
                <w:lang w:val="en-US" w:eastAsia="zh-CN"/>
              </w:rPr>
              <w:t>87697580</w:t>
            </w:r>
          </w:p>
        </w:tc>
      </w:tr>
    </w:tbl>
    <w:p>
      <w:pPr>
        <w:pStyle w:val="2"/>
        <w:spacing w:before="194" w:line="219" w:lineRule="auto"/>
        <w:ind w:left="9065"/>
        <w:rPr>
          <w:sz w:val="23"/>
          <w:szCs w:val="23"/>
        </w:rPr>
      </w:pPr>
      <w:r>
        <w:rPr>
          <w:spacing w:val="5"/>
          <w:sz w:val="23"/>
          <w:szCs w:val="23"/>
        </w:rPr>
        <w:t>此表可复制报名</w:t>
      </w:r>
    </w:p>
    <w:sectPr>
      <w:pgSz w:w="11900" w:h="16830"/>
      <w:pgMar w:top="699" w:right="334" w:bottom="0" w:left="3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11C31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2024-03-11T17:34:00Z</dcterms:created>
  <dc:creator>Kingsoft-PDF</dc:creator>
  <cp:lastModifiedBy>聂红军</cp:lastModifiedBy>
  <dcterms:modified xsi:type="dcterms:W3CDTF">2024-03-11T09:36:23Z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2024-03-11T17:34:28Z</vt:filetime>
  </property>
  <property fmtid="{D5CDD505-2E9C-101B-9397-08002B2CF9AE}" pid="4" name="UsrData">
    <vt:lpwstr>65eed0208a3849001f63dc5awl</vt:lpwstr>
  </property>
  <property fmtid="{D5CDD505-2E9C-101B-9397-08002B2CF9AE}" pid="5" name="KSOProductBuildVer">
    <vt:lpwstr>2052-12.1.0.16388</vt:lpwstr>
  </property>
  <property fmtid="{D5CDD505-2E9C-101B-9397-08002B2CF9AE}" pid="6" name="ICV">
    <vt:lpwstr>B1F8C7F273B541D0BD3CA3A5B633DAD4_12</vt:lpwstr>
  </property>
</Properties>
</file>