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eastAsia="宋体"/>
          <w:b/>
          <w:bCs/>
          <w:color w:val="FF0000"/>
          <w:sz w:val="84"/>
          <w:szCs w:val="84"/>
          <w:lang w:val="zh-TW" w:eastAsia="zh-TW" w:bidi="zh-TW"/>
        </w:rPr>
      </w:pPr>
      <w:bookmarkStart w:id="0" w:name="bookmark0"/>
      <w:bookmarkStart w:id="1" w:name="bookmark1"/>
      <w:bookmarkStart w:id="2" w:name="bookmark2"/>
    </w:p>
    <w:p>
      <w:pPr>
        <w:jc w:val="distribute"/>
        <w:rPr>
          <w:rFonts w:ascii="宋体" w:hAnsi="宋体" w:eastAsia="宋体"/>
          <w:b/>
          <w:bCs/>
          <w:color w:val="FF0000"/>
          <w:sz w:val="84"/>
          <w:szCs w:val="84"/>
          <w:lang w:val="zh-TW" w:eastAsia="zh-TW" w:bidi="zh-TW"/>
        </w:rPr>
      </w:pPr>
      <w:r>
        <w:rPr>
          <w:rFonts w:ascii="宋体" w:hAnsi="宋体" w:eastAsia="宋体"/>
          <w:b/>
          <w:bCs/>
          <w:color w:val="FF0000"/>
          <w:sz w:val="84"/>
          <w:szCs w:val="84"/>
          <w:lang w:val="zh-TW" w:eastAsia="zh-TW" w:bidi="zh-TW"/>
        </w:rPr>
        <w:t>中国投资协会培训中心</w:t>
      </w:r>
      <w:bookmarkEnd w:id="0"/>
      <w:bookmarkEnd w:id="1"/>
      <w:bookmarkEnd w:id="2"/>
    </w:p>
    <w:p>
      <w:pPr>
        <w:keepNext/>
        <w:keepLines/>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宋体" w:hAnsi="宋体" w:eastAsia="宋体" w:cs="宋体"/>
          <w:b/>
          <w:bCs/>
          <w:sz w:val="32"/>
          <w:szCs w:val="32"/>
          <w:lang w:val="en-US" w:eastAsia="zh-CN"/>
        </w:rPr>
      </w:pPr>
      <w:r>
        <w:rPr>
          <w:rFonts w:ascii="宋体" w:hAnsi="宋体" w:eastAsia="宋体"/>
          <w:color w:val="000000"/>
          <w:sz w:val="30"/>
          <w:szCs w:val="30"/>
          <w:lang w:val="zh-TW" w:eastAsia="zh-TW" w:bidi="zh-TW"/>
        </w:rPr>
        <w:t>中投协培〔</w:t>
      </w:r>
      <w:r>
        <w:rPr>
          <w:rFonts w:ascii="Times New Roman" w:hAnsi="Times New Roman" w:eastAsia="Times New Roman" w:cs="Times New Roman"/>
          <w:color w:val="000000"/>
          <w:sz w:val="32"/>
          <w:szCs w:val="32"/>
          <w:lang w:val="zh-TW" w:eastAsia="zh-TW" w:bidi="zh-TW"/>
        </w:rPr>
        <w:t>202</w:t>
      </w:r>
      <w:r>
        <w:rPr>
          <w:rFonts w:hint="eastAsia" w:ascii="Times New Roman" w:hAnsi="Times New Roman" w:eastAsia="宋体" w:cs="Times New Roman"/>
          <w:color w:val="000000"/>
          <w:sz w:val="32"/>
          <w:szCs w:val="32"/>
          <w:lang w:bidi="zh-TW"/>
        </w:rPr>
        <w:t>4</w:t>
      </w:r>
      <w:r>
        <w:rPr>
          <w:rFonts w:ascii="宋体" w:hAnsi="宋体" w:eastAsia="宋体"/>
          <w:color w:val="000000"/>
          <w:sz w:val="30"/>
          <w:szCs w:val="30"/>
          <w:lang w:val="zh-TW" w:eastAsia="zh-TW" w:bidi="zh-TW"/>
        </w:rPr>
        <w:t>〕</w:t>
      </w:r>
      <w:r>
        <w:rPr>
          <w:rFonts w:hint="eastAsia" w:ascii="宋体" w:hAnsi="宋体" w:eastAsia="宋体"/>
          <w:color w:val="000000"/>
          <w:sz w:val="30"/>
          <w:szCs w:val="30"/>
          <w:lang w:val="en-US" w:eastAsia="zh-CN" w:bidi="zh-TW"/>
        </w:rPr>
        <w:t xml:space="preserve">6 </w:t>
      </w:r>
      <w:r>
        <w:rPr>
          <w:rFonts w:ascii="宋体" w:hAnsi="宋体" w:eastAsia="宋体"/>
          <w:color w:val="000000"/>
          <w:sz w:val="30"/>
          <w:szCs w:val="30"/>
          <w:lang w:val="zh-TW" w:eastAsia="zh-TW" w:bidi="zh-TW"/>
        </w:rPr>
        <w:t>号</w:t>
      </w:r>
      <w:r>
        <w:rPr>
          <w:position w:val="-1"/>
        </w:rPr>
        <w:drawing>
          <wp:inline distT="0" distB="0" distL="0" distR="0">
            <wp:extent cx="6019800" cy="37465"/>
            <wp:effectExtent l="0" t="0" r="0" b="635"/>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4"/>
                    <a:stretch>
                      <a:fillRect/>
                    </a:stretch>
                  </pic:blipFill>
                  <pic:spPr>
                    <a:xfrm>
                      <a:off x="0" y="0"/>
                      <a:ext cx="6019810" cy="38045"/>
                    </a:xfrm>
                    <a:prstGeom prst="rect">
                      <a:avLst/>
                    </a:prstGeom>
                  </pic:spPr>
                </pic:pic>
              </a:graphicData>
            </a:graphic>
          </wp:inline>
        </w:drawing>
      </w:r>
      <w:r>
        <w:rPr>
          <w:rFonts w:hint="eastAsia" w:ascii="宋体" w:hAnsi="宋体" w:eastAsia="宋体" w:cs="宋体"/>
          <w:b/>
          <w:bCs/>
          <w:sz w:val="32"/>
          <w:szCs w:val="32"/>
        </w:rPr>
        <w:t>关于举办“国家最新特许经营类项目全模式实战暨特许经营项目落地痛点、风险防控、融资实施实务”专题培训班的通知</w:t>
      </w:r>
    </w:p>
    <w:p>
      <w:pPr>
        <w:tabs>
          <w:tab w:val="left" w:pos="315"/>
          <w:tab w:val="left" w:pos="567"/>
          <w:tab w:val="left" w:pos="709"/>
        </w:tabs>
        <w:spacing w:line="480" w:lineRule="exact"/>
        <w:textAlignment w:val="baseline"/>
        <w:outlineLvl w:val="0"/>
        <w:rPr>
          <w:rFonts w:hint="eastAsia"/>
          <w:b/>
          <w:bC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sz w:val="28"/>
          <w:szCs w:val="28"/>
        </w:rPr>
      </w:pPr>
      <w:r>
        <w:rPr>
          <w:rFonts w:hint="eastAsia" w:ascii="仿宋" w:hAnsi="仿宋" w:eastAsia="仿宋" w:cs="仿宋"/>
          <w:b/>
          <w:bCs/>
          <w:i w:val="0"/>
          <w:iCs w:val="0"/>
          <w:color w:val="000000"/>
          <w:spacing w:val="0"/>
          <w:w w:val="100"/>
          <w:sz w:val="28"/>
          <w:szCs w:val="28"/>
          <w:vertAlign w:val="baseline"/>
        </w:rPr>
        <w:t>各有关单位：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560" w:firstLineChars="200"/>
        <w:jc w:val="both"/>
        <w:textAlignment w:val="auto"/>
        <w:rPr>
          <w:rFonts w:hint="eastAsia" w:ascii="仿宋" w:hAnsi="仿宋" w:eastAsia="仿宋" w:cs="仿宋"/>
          <w:b w:val="0"/>
          <w:bCs w:val="0"/>
          <w:i w:val="0"/>
          <w:iCs w:val="0"/>
          <w:color w:val="000000"/>
          <w:spacing w:val="0"/>
          <w:w w:val="100"/>
          <w:sz w:val="28"/>
          <w:szCs w:val="28"/>
          <w:vertAlign w:val="baseline"/>
        </w:rPr>
      </w:pPr>
      <w:r>
        <w:rPr>
          <w:rFonts w:hint="eastAsia" w:ascii="仿宋" w:hAnsi="仿宋" w:eastAsia="仿宋" w:cs="仿宋"/>
          <w:b w:val="0"/>
          <w:bCs w:val="0"/>
          <w:i w:val="0"/>
          <w:iCs w:val="0"/>
          <w:color w:val="000000"/>
          <w:spacing w:val="0"/>
          <w:w w:val="100"/>
          <w:sz w:val="28"/>
          <w:szCs w:val="28"/>
          <w:vertAlign w:val="baseline"/>
        </w:rPr>
        <w:t>自2023年年底PPP新政的推出，到2024年的《民间投资引导专项中央预算内投资管理暂行办法（征求意见稿）》、《政府和社会资本合作项目特许经营方案编写大纲（2024年试行版）》、《基础设施和公用事业特许经营管理办法》等一系列重磅文件的密集出台，标志着以特许经营模式为主流的我国建筑业新的一轮结构性调整周期已经全面到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560" w:firstLineChars="200"/>
        <w:jc w:val="both"/>
        <w:textAlignment w:val="auto"/>
        <w:rPr>
          <w:rFonts w:hint="eastAsia" w:ascii="仿宋" w:hAnsi="仿宋" w:eastAsia="仿宋" w:cs="仿宋"/>
          <w:b w:val="0"/>
          <w:bCs w:val="0"/>
          <w:i w:val="0"/>
          <w:iCs w:val="0"/>
          <w:color w:val="000000"/>
          <w:spacing w:val="0"/>
          <w:w w:val="100"/>
          <w:sz w:val="28"/>
          <w:szCs w:val="28"/>
          <w:vertAlign w:val="baseline"/>
        </w:rPr>
      </w:pPr>
      <w:r>
        <w:rPr>
          <w:rFonts w:hint="eastAsia" w:ascii="仿宋" w:hAnsi="仿宋" w:eastAsia="仿宋" w:cs="仿宋"/>
          <w:b w:val="0"/>
          <w:bCs w:val="0"/>
          <w:i w:val="0"/>
          <w:iCs w:val="0"/>
          <w:color w:val="000000"/>
          <w:spacing w:val="0"/>
          <w:w w:val="100"/>
          <w:sz w:val="28"/>
          <w:szCs w:val="28"/>
          <w:vertAlign w:val="baseline"/>
        </w:rPr>
        <w:t>如何成功实现从以前的“干活拿钱”到现在的“运营赚钱”？如何在“空气稀薄地带”获取优质项目？如何更好地实现区域经济的高质量发展？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i w:val="0"/>
          <w:iCs w:val="0"/>
          <w:color w:val="000000"/>
          <w:spacing w:val="0"/>
          <w:w w:val="100"/>
          <w:sz w:val="28"/>
          <w:szCs w:val="28"/>
          <w:vertAlign w:val="baseline"/>
        </w:rPr>
        <w:t>为了帮助地方政府、各类城投公司、中央企业、地方国企、专业化民营企业、金融机构、项目咨询策划机构等准确把握最新政策导向，学习、交流和探讨当前特许经营时代全面到来的过程中遇到难点问题并找到应对的措施，中国投资协会培训中心特举办“国家最新特许经营类项目全模式实战暨特许经营项目落地痛点、风险防控、融资实施实务”专题培训班，现将有关事项通知如下:</w:t>
      </w:r>
    </w:p>
    <w:p>
      <w:pPr>
        <w:tabs>
          <w:tab w:val="left" w:pos="315"/>
          <w:tab w:val="left" w:pos="567"/>
          <w:tab w:val="left" w:pos="709"/>
        </w:tabs>
        <w:snapToGrid w:val="0"/>
        <w:spacing w:line="360" w:lineRule="exact"/>
        <w:textAlignment w:val="baseline"/>
        <w:outlineLvl w:val="0"/>
        <w:rPr>
          <w:rFonts w:hint="eastAsia" w:ascii="仿宋" w:hAnsi="仿宋" w:eastAsia="仿宋" w:cs="仿宋"/>
          <w:b/>
          <w:bCs/>
          <w:color w:val="000000"/>
          <w:sz w:val="32"/>
          <w:szCs w:val="32"/>
        </w:rPr>
      </w:pP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培训内容</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国家最新特许经营政策精讲</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1.近期系列重要文件要点剖析</w:t>
      </w:r>
      <w:r>
        <w:rPr>
          <w:rFonts w:hint="eastAsia"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（1）《基础设施和公用事业特许经营管理办法》（发改委2024第17号令，2024年3月28日）；</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（2）《政府和社会资本合作项目特许经营方案编写大纲（2024年试行版）》（发改办投资〔2024〕227号，2024年3月20日）；</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（3）《政府和社会资本合作项目特许经营协议（编制）范本（2024年试行版）》；</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（4）《民间投资引导专项中央预算内投资管理暂行办法（征求意见稿）》（国家发改委，2024年2月19日）；</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（5）《关于规范实施政府和社会资本合作新机制的指导意见》（国办函〔2023〕115号，2023年11月3日）等文件精讲</w:t>
      </w:r>
      <w:r>
        <w:rPr>
          <w:rFonts w:hint="eastAsia"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2.根据上述文件，企业如何寻找收益率高、风险可控的优质特性经营项目？地方政府如何谋划落地高质量的特许经营项目？</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w:t>
      </w:r>
      <w:r>
        <w:rPr>
          <w:rFonts w:hint="eastAsia" w:ascii="仿宋" w:hAnsi="仿宋" w:eastAsia="仿宋" w:cs="仿宋"/>
          <w:b/>
          <w:bCs/>
          <w:sz w:val="28"/>
          <w:szCs w:val="28"/>
        </w:rPr>
        <w:t>PPP新机制深度解析</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1.PPP新机制的政策背景与核心要求；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2.PPP新机制的主要适用领域和运作模式；</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3.PPP新机制与《政府投资条例》《企业投资核准与备案条例》衔接的最新审批流程和政府监管要求、政府投资资金和政府投资项目的区别与联系；</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4.政府投资支持和政府付费、可行性缺口补助的关系；</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5.使用者付费特许经营项目的策划与提升项目收益的主要路径；</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6.使用者付费特许经营项目使用财政资金进行支持或补贴的主要方式；</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7.地方城投公司或融资平台参与特许经营项目的有效方式；</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8.特许经营项目公司治理如股权结构设计等。</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基础设施项目投融资策划</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1.对基础设施项目投融资策划相关政策体系进行梳理分析，及相互逻辑对应关系；</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2.对基础设施、城市更新、生态环境、新基建等领域适用的投融资模式进行分析；</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3.对专项债/超长期特别国债的适用性、申报要点进行分析；</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4.对政策性开发性金融工具的特点、适用性等进行分析；</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5.对授权地方国企的模式进行分析；</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6.对EPC+O等模式的应用要点进行分析；</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7.对公益性项目投资回报机制创新进行分析；</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8.对ABO模式的应用要点进行分析；</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9.对新机制下的特许经营/PPP操作要点进行分析，对于回报机制、国企参与等易错处进行释疑；</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10.对各种投融资模式下的项目谋划，从投资主体、适用范围、权责关系、支付路径等维度给出初步建议</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11.对政府投融资的案例进行分析，包括城市更新、新基建、EOD、专项债、政策性金融工具、特许经营、EPC+O、ABO等项目案例</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12.结合相关项目案例给出工作建议。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（四）基础设施投融资项目合作模式分析和建议</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cs="仿宋"/>
          <w:sz w:val="28"/>
          <w:szCs w:val="28"/>
          <w:lang w:val="en-US" w:eastAsia="zh-CN"/>
        </w:rPr>
        <w:t>.</w:t>
      </w:r>
      <w:r>
        <w:rPr>
          <w:rFonts w:hint="eastAsia" w:ascii="仿宋" w:hAnsi="仿宋" w:eastAsia="仿宋" w:cs="仿宋"/>
          <w:sz w:val="28"/>
          <w:szCs w:val="28"/>
        </w:rPr>
        <w:t>新机制下基础设施投融资模式分析</w:t>
      </w:r>
      <w:r>
        <w:rPr>
          <w:rFonts w:hint="eastAsia"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eastAsia="zh-CN"/>
        </w:rPr>
      </w:pPr>
      <w:r>
        <w:rPr>
          <w:rFonts w:hint="eastAsia" w:cs="仿宋"/>
          <w:sz w:val="28"/>
          <w:szCs w:val="28"/>
          <w:lang w:val="en-US" w:eastAsia="zh-CN"/>
        </w:rPr>
        <w:t>2.</w:t>
      </w:r>
      <w:r>
        <w:rPr>
          <w:rFonts w:hint="eastAsia" w:ascii="仿宋" w:hAnsi="仿宋" w:eastAsia="仿宋" w:cs="仿宋"/>
          <w:sz w:val="28"/>
          <w:szCs w:val="28"/>
        </w:rPr>
        <w:t>新机制下特许经营模式政策解读和案例分享</w:t>
      </w:r>
      <w:r>
        <w:rPr>
          <w:rFonts w:hint="eastAsia"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3</w:t>
      </w:r>
      <w:r>
        <w:rPr>
          <w:rFonts w:hint="eastAsia" w:cs="仿宋"/>
          <w:sz w:val="28"/>
          <w:szCs w:val="28"/>
          <w:lang w:val="en-US" w:eastAsia="zh-CN"/>
        </w:rPr>
        <w:t>.</w:t>
      </w:r>
      <w:r>
        <w:rPr>
          <w:rFonts w:hint="eastAsia" w:ascii="仿宋" w:hAnsi="仿宋" w:eastAsia="仿宋" w:cs="仿宋"/>
          <w:sz w:val="28"/>
          <w:szCs w:val="28"/>
        </w:rPr>
        <w:t>新机制下非标投融资模式建议和案例分享</w:t>
      </w:r>
      <w:r>
        <w:rPr>
          <w:rFonts w:hint="eastAsia"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某地市片区开发项目案例分享</w:t>
      </w:r>
      <w:r>
        <w:rPr>
          <w:rFonts w:hint="eastAsia"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某地市全域土地整治案例分享</w:t>
      </w:r>
      <w:r>
        <w:rPr>
          <w:rFonts w:hint="eastAsia"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（五）基础设施投资项目全生命周期管理</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hAnsi="仿宋" w:cs="仿宋"/>
          <w:sz w:val="28"/>
          <w:szCs w:val="28"/>
          <w:lang w:val="en-US" w:eastAsia="zh-CN"/>
        </w:rPr>
        <w:t>.</w:t>
      </w:r>
      <w:r>
        <w:rPr>
          <w:rFonts w:hint="eastAsia" w:ascii="仿宋" w:hAnsi="仿宋" w:eastAsia="仿宋" w:cs="仿宋"/>
          <w:sz w:val="28"/>
          <w:szCs w:val="28"/>
        </w:rPr>
        <w:t>基础设施投资项目全生命周期管理痛点和目标</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hAnsi="仿宋" w:cs="仿宋"/>
          <w:sz w:val="28"/>
          <w:szCs w:val="28"/>
          <w:lang w:val="en-US" w:eastAsia="zh-CN"/>
        </w:rPr>
        <w:t>.</w:t>
      </w:r>
      <w:r>
        <w:rPr>
          <w:rFonts w:hint="eastAsia" w:ascii="仿宋" w:hAnsi="仿宋" w:eastAsia="仿宋" w:cs="仿宋"/>
          <w:sz w:val="28"/>
          <w:szCs w:val="28"/>
        </w:rPr>
        <w:t>基础设施投资项目全生命周期管理难点和要点分析</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投前方案策划和合同谈判要点分析</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建设期项目建设管理难点、重点分析</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运营期项目管理难点、重点分析</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3</w:t>
      </w:r>
      <w:r>
        <w:rPr>
          <w:rFonts w:hint="eastAsia" w:hAnsi="仿宋" w:cs="仿宋"/>
          <w:sz w:val="28"/>
          <w:szCs w:val="28"/>
          <w:lang w:val="en-US" w:eastAsia="zh-CN"/>
        </w:rPr>
        <w:t>.</w:t>
      </w:r>
      <w:r>
        <w:rPr>
          <w:rFonts w:hint="eastAsia" w:ascii="仿宋" w:hAnsi="仿宋" w:eastAsia="仿宋" w:cs="仿宋"/>
          <w:sz w:val="28"/>
          <w:szCs w:val="28"/>
        </w:rPr>
        <w:t>基础设施投资项目全生命周期管理措施</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基础设施项目投资建设成本管理</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基础设施项目投资建设进度管理</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基础设施项目投资建设质量管理</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基础设施项目投资建设安全管理</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基础设施项目投资建设采购与供应链管理</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基础设施项目投资建设合同管理</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基础设施项目投资建设风险管理</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基础设施项目投资建设信息管理</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4</w:t>
      </w:r>
      <w:r>
        <w:rPr>
          <w:rFonts w:hint="eastAsia" w:hAnsi="仿宋" w:cs="仿宋"/>
          <w:sz w:val="28"/>
          <w:szCs w:val="28"/>
          <w:lang w:val="en-US" w:eastAsia="zh-CN"/>
        </w:rPr>
        <w:t>.</w:t>
      </w:r>
      <w:r>
        <w:rPr>
          <w:rFonts w:hint="eastAsia" w:ascii="仿宋" w:hAnsi="仿宋" w:eastAsia="仿宋" w:cs="仿宋"/>
          <w:sz w:val="28"/>
          <w:szCs w:val="28"/>
        </w:rPr>
        <w:t>以某基础设施投资项目为例分享全生命周期经济管理经验和方法</w:t>
      </w:r>
      <w:r>
        <w:rPr>
          <w:rFonts w:hint="eastAsia" w:hAnsi="仿宋" w:cs="仿宋"/>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（六）特许经营项目全流程开发、实施要点剖析</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1.准备阶段</w:t>
      </w:r>
      <w:r>
        <w:rPr>
          <w:rFonts w:hint="eastAsia"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（1）优质特许经营项目的信息筛选；</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（2）特许经营付费者群体付费能力调研精要；</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（3）特许经营项目所在地政策风险及市场风险评估。</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2.开发计划与招投标</w:t>
      </w:r>
      <w:r>
        <w:rPr>
          <w:rFonts w:hint="eastAsia"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（1）特许经营项目开发计划报告撰写精讲；</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（2）特许经营项目招投标全流程策划；</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（3）如何设计既可以保证竞争力、又可以实现企业合理利润的投标关键经济参数？（如最小经营单位的采暖费、污水处理费、电费；特许经营年限设计等）。</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3.特许经营合同的签订与实施</w:t>
      </w:r>
      <w:r>
        <w:rPr>
          <w:rFonts w:hint="eastAsia"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（1）特许经营项目合同谈判及签订要点解析；</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（2）如何在不增加政府隐形负债的前提下，合理提前锁定项目政府补贴收入？</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（3）路径设计关键点：a.特许经营者直接向用户收费，b.由政府或其依法授权机构代为向用户收费，以及上述两种收费方式的利弊分析；</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（4）特许经营项目是否必须设立项目公司及利弊分析。</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4</w:t>
      </w:r>
      <w:r>
        <w:rPr>
          <w:rFonts w:hint="eastAsia" w:cs="仿宋"/>
          <w:sz w:val="28"/>
          <w:szCs w:val="28"/>
          <w:lang w:val="en-US" w:eastAsia="zh-CN"/>
        </w:rPr>
        <w:t>.</w:t>
      </w:r>
      <w:r>
        <w:rPr>
          <w:rFonts w:hint="eastAsia" w:ascii="仿宋" w:hAnsi="仿宋" w:eastAsia="仿宋" w:cs="仿宋"/>
          <w:sz w:val="28"/>
          <w:szCs w:val="28"/>
        </w:rPr>
        <w:t>建设、运营与绩效考核</w:t>
      </w:r>
      <w:r>
        <w:rPr>
          <w:rFonts w:hint="eastAsia"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（1）如何实现特许经营项目的高质量建设与精细化运营管理？</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（2）持续优化运营服务要点精讲；</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（3）特许经营项目绩效考核全要点剖析；</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（4）《办法》中有关绩效考核的“降低成本、提升效率、积极创新的效益归特许经营者所有”与“特许经营者应普遍地、无歧视地提供公共产品或公共服务，不得对新增用户实行差别待遇”如何合规运用？</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（5）成熟的能源管理类项目对特许经营项目的借鉴意义。</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5.移交与后评价</w:t>
      </w:r>
      <w:r>
        <w:rPr>
          <w:rFonts w:hint="eastAsia"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（1）特许经营项目移交过程要点剖析；</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（2）如何开展全面的项目后评价与总结？</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（七）大型特许经营项目落地全模式精讲</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1.特许经营类项目REITs模式</w:t>
      </w:r>
      <w:r>
        <w:rPr>
          <w:rFonts w:hint="eastAsia"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（1）REITs模式的界定及相关政策阐述；</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（2）REITs项目实施全流程解析 ；</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（3）REITs项目成功落地的关键点展示。</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2.EOD（生态环保导向）模式</w:t>
      </w:r>
      <w:r>
        <w:rPr>
          <w:rFonts w:hint="eastAsia"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（1）EOD项目包装及融资要点梳理；</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（2）EOD项目模式架构设计；</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（3）EOD项目融资模型展示；</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（4）以落地的大型EOD项目全过程要点实战解析。</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3.特许经营+EPC模式</w:t>
      </w:r>
      <w:r>
        <w:rPr>
          <w:rFonts w:hint="eastAsia"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（1）“特许经营+EPC”模式下收益合规来源、比例分析及案例解析；</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（2）“特许经营+EPC”模式下市场化融资要点和项目资本金筹集模式；</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（3）“特许经营+EPC模式”政府补贴怎么补才合规？</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（4）《办法》发布后企业与地方政府合作采用“特许经营+EPC模式”操作项目的风险防控分析。</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4.专项债券模式</w:t>
      </w:r>
      <w:r>
        <w:rPr>
          <w:rFonts w:hint="eastAsia"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（1）本年度专项债投向；</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（2）专项债申报、发行与使用全流程；</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（3）如何确定专项债资金可以到位？</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5.特许经营类项目争取上级财政资金模式</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（1）争取中央政府财政直达资金路径设计；</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（2）争取中央政府转移支付及专项资金路径设计；</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（3）中央预算内投资如何申报并提高申报成功率？</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6.其他特许经营类项目实施模式要点梳理</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（1）特许经营类项目+市场化配套融资方式；</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（2）特许经营+政策性银行融资方式。</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7.国企/民企如何合法合规、合情合理地开发特许经营项目？</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（1）特许经营项目新型混合所有制合作结构的搭建；</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（2）特许经营项目中，国企/民企与地方政府的合作如何精准划分“权责利”？</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（3）特许经营项目案例实施方案与对地方政府的监督机制精讲。</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案例：</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1.海南某供水工程特许经营+EPC项目案例</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2.江苏某市存量污水处理特许经营TOT项目案例</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3.辽宁省某市市政照明特许经营项目案例</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4.宁夏自治区某市现代农业产业EOD项目案例</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（八）“新规”施行后，特许经营项目资金筹措与风险控制</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1.特许经营权项目融资实务</w:t>
      </w:r>
      <w:r>
        <w:rPr>
          <w:rFonts w:hint="eastAsia" w:cs="仿宋"/>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（1）特许经营权融资与传统融资的区别与要点；</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（2）特许经营权项目中的无追索与有限追索；</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（3）特许经营权融资架构搭建；</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（4）特许经营权项目的债权融资与股权融资</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（5）特许经营权项目导入产业基金案例分析；</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（6）特许经营项目融资注意点。</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2.运营期特许经营权项目的再融资方法</w:t>
      </w:r>
      <w:r>
        <w:rPr>
          <w:rFonts w:hint="eastAsia" w:cs="仿宋"/>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（1）运营期特许经营权项目再融资的概念；</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（2）运营期特许经营权项目再融资分类；</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（3）运营期特许经营权再融资的方式及交易结构设计；</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（4）运营期特许经营权项目REITs方式再融资实战案例分析；</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3.特许经营类项目风险控制方案详解</w:t>
      </w:r>
      <w:r>
        <w:rPr>
          <w:rFonts w:hint="eastAsia" w:cs="仿宋"/>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（1）特许经营类项目全生命周期风控流程设计；</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（2）特许经营类项目的核心风险点防控措施设计；</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（3）特许经营类项目中的社会资本方、民营企业、设备供应商等风险分配及转移机制；</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（4）特许经营类项目的风险识别、风险指标监测、风险预警与响应；</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（5）特许经营类项目风险规避策略制定与执行。</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案例：</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1.广东省某新区供水一体化特许经营项目案例</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2.浙江省某市停车场特许经营存量+新建（ROT）项目案例</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3.广东省某市文体场馆特许经营项目案例</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4.甘肃省某市收费公路特许经营项目案例</w:t>
      </w:r>
    </w:p>
    <w:p>
      <w:pPr>
        <w:keepNext w:val="0"/>
        <w:keepLines w:val="0"/>
        <w:pageBreakBefore w:val="0"/>
        <w:widowControl w:val="0"/>
        <w:kinsoku/>
        <w:wordWrap/>
        <w:overflowPunct/>
        <w:topLinePunct w:val="0"/>
        <w:autoSpaceDE/>
        <w:autoSpaceDN/>
        <w:bidi w:val="0"/>
        <w:adjustRightInd/>
        <w:spacing w:line="380" w:lineRule="exact"/>
        <w:ind w:left="0" w:firstLine="0" w:firstLineChars="0"/>
        <w:textAlignment w:val="auto"/>
        <w:rPr>
          <w:rFonts w:hint="eastAsia" w:ascii="仿宋" w:hAnsi="仿宋" w:eastAsia="仿宋" w:cs="仿宋"/>
          <w:b/>
          <w:bCs/>
          <w:sz w:val="28"/>
          <w:szCs w:val="28"/>
        </w:rPr>
      </w:pPr>
      <w:r>
        <w:rPr>
          <w:rFonts w:hint="eastAsia" w:cs="仿宋"/>
          <w:b/>
          <w:bCs/>
          <w:sz w:val="28"/>
          <w:szCs w:val="28"/>
          <w:lang w:val="en-US" w:eastAsia="zh-CN"/>
        </w:rPr>
        <w:t>二</w:t>
      </w:r>
      <w:r>
        <w:rPr>
          <w:rFonts w:hint="eastAsia" w:ascii="仿宋" w:hAnsi="仿宋" w:eastAsia="仿宋" w:cs="仿宋"/>
          <w:b/>
          <w:bCs/>
          <w:sz w:val="28"/>
          <w:szCs w:val="28"/>
        </w:rPr>
        <w:t>、授课专家</w:t>
      </w:r>
    </w:p>
    <w:p>
      <w:pPr>
        <w:pStyle w:val="6"/>
        <w:keepNext w:val="0"/>
        <w:keepLines w:val="0"/>
        <w:pageBreakBefore w:val="0"/>
        <w:widowControl w:val="0"/>
        <w:kinsoku/>
        <w:wordWrap/>
        <w:overflowPunct/>
        <w:topLinePunct w:val="0"/>
        <w:autoSpaceDE/>
        <w:autoSpaceDN/>
        <w:bidi w:val="0"/>
        <w:adjustRightInd/>
        <w:spacing w:line="380" w:lineRule="exact"/>
        <w:ind w:left="0" w:firstLine="0" w:firstLineChars="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王守清：</w:t>
      </w:r>
      <w:r>
        <w:rPr>
          <w:rFonts w:hint="eastAsia" w:ascii="仿宋" w:hAnsi="仿宋" w:eastAsia="仿宋" w:cs="仿宋"/>
          <w:b w:val="0"/>
          <w:bCs w:val="0"/>
          <w:sz w:val="28"/>
          <w:szCs w:val="28"/>
        </w:rPr>
        <w:t>清华大学投融资政策研究中心（原PPP研究中心）首席专家、清华大学建设管理系教授/博导、清华大学恒隆房地产研究中心研究员、全国高校PPP论坛学术委员会主任。一直专注于政企合作（PPP，含特许经营/BOT/ TOT/PFI等）/项目管理/基建投融资的教研与推广，参与相关政策研讨（如特许经营管理办法、PPP新机制）、项目评审和争议解决。2021年获国际项目管理协会（IPMA)“研究终身成就奖”（首位华人），被誉为“中国PPP教父”。</w:t>
      </w:r>
    </w:p>
    <w:p>
      <w:pPr>
        <w:pStyle w:val="6"/>
        <w:keepNext w:val="0"/>
        <w:keepLines w:val="0"/>
        <w:pageBreakBefore w:val="0"/>
        <w:widowControl w:val="0"/>
        <w:kinsoku/>
        <w:wordWrap/>
        <w:overflowPunct/>
        <w:topLinePunct w:val="0"/>
        <w:autoSpaceDE/>
        <w:autoSpaceDN/>
        <w:bidi w:val="0"/>
        <w:adjustRightInd/>
        <w:spacing w:line="380" w:lineRule="exact"/>
        <w:ind w:left="0" w:firstLine="0" w:firstLineChars="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谭</w:t>
      </w:r>
      <w:r>
        <w:rPr>
          <w:rFonts w:hint="eastAsia" w:hAnsi="仿宋" w:cs="仿宋"/>
          <w:b/>
          <w:bCs/>
          <w:sz w:val="28"/>
          <w:szCs w:val="28"/>
          <w:lang w:val="en-US" w:eastAsia="zh-CN"/>
        </w:rPr>
        <w:t>老师</w:t>
      </w:r>
      <w:r>
        <w:rPr>
          <w:rFonts w:hint="eastAsia" w:ascii="仿宋" w:hAnsi="仿宋" w:eastAsia="仿宋" w:cs="仿宋"/>
          <w:b/>
          <w:bCs/>
          <w:sz w:val="28"/>
          <w:szCs w:val="28"/>
        </w:rPr>
        <w:t>：</w:t>
      </w:r>
      <w:r>
        <w:rPr>
          <w:rFonts w:hint="eastAsia" w:hAnsi="仿宋" w:cs="仿宋"/>
          <w:b w:val="0"/>
          <w:bCs w:val="0"/>
          <w:sz w:val="28"/>
          <w:szCs w:val="28"/>
          <w:lang w:val="en-US" w:eastAsia="zh-CN"/>
        </w:rPr>
        <w:t>某大型</w:t>
      </w:r>
      <w:r>
        <w:rPr>
          <w:rFonts w:hint="eastAsia" w:ascii="仿宋" w:hAnsi="仿宋" w:eastAsia="仿宋" w:cs="仿宋"/>
          <w:b w:val="0"/>
          <w:bCs w:val="0"/>
          <w:sz w:val="28"/>
          <w:szCs w:val="28"/>
        </w:rPr>
        <w:t>投资咨询公司副总经理，国家发改委、财政部专家库成员，多个地方政府投融资顾问。在城乡建设投融资、大型基础设施项目投融资、地方城投公司转型等领域具有丰富项目经验，曾为百余个地方政府及相关部门、城投公司等提供投融资、战略研究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bCs/>
          <w:kern w:val="2"/>
          <w:sz w:val="28"/>
          <w:szCs w:val="28"/>
          <w:lang w:val="en-US" w:eastAsia="zh-CN" w:bidi="ar-SA"/>
        </w:rPr>
        <w:t>李</w:t>
      </w:r>
      <w:r>
        <w:rPr>
          <w:rFonts w:hint="eastAsia" w:cs="仿宋"/>
          <w:b/>
          <w:bCs/>
          <w:kern w:val="2"/>
          <w:sz w:val="28"/>
          <w:szCs w:val="28"/>
          <w:lang w:val="en-US" w:eastAsia="zh-CN" w:bidi="ar-SA"/>
        </w:rPr>
        <w:t>老师</w:t>
      </w:r>
      <w:r>
        <w:rPr>
          <w:rFonts w:hint="eastAsia" w:ascii="仿宋" w:hAnsi="仿宋" w:eastAsia="仿宋" w:cs="仿宋"/>
          <w:b/>
          <w:bCs/>
          <w:kern w:val="2"/>
          <w:sz w:val="28"/>
          <w:szCs w:val="28"/>
          <w:lang w:val="en-US" w:eastAsia="zh-CN" w:bidi="ar-SA"/>
        </w:rPr>
        <w:t>：</w:t>
      </w:r>
      <w:r>
        <w:rPr>
          <w:rFonts w:hint="eastAsia" w:cs="仿宋"/>
          <w:b w:val="0"/>
          <w:bCs w:val="0"/>
          <w:sz w:val="28"/>
          <w:szCs w:val="28"/>
          <w:lang w:val="en-US" w:eastAsia="zh-CN"/>
        </w:rPr>
        <w:t>某基础设施发展集团</w:t>
      </w:r>
      <w:r>
        <w:rPr>
          <w:rFonts w:hint="eastAsia" w:ascii="仿宋" w:hAnsi="仿宋" w:eastAsia="仿宋" w:cs="仿宋"/>
          <w:b w:val="0"/>
          <w:bCs w:val="0"/>
          <w:sz w:val="28"/>
          <w:szCs w:val="28"/>
          <w:lang w:eastAsia="zh-CN"/>
        </w:rPr>
        <w:t>市场经营部总经理，高级经济师，深耕国内外基础设施投融资案例和政策研究，参与了国内建筑板块第一家上市公司、国内最早开展基础设施投融资企业在全国40多个城市，投资总额近3000亿元的基础设施投融资项目的方案策划、合同谈判、投融资模式研究以及项目投资建设运营管理的全过程管理。为基础设施项目提供投融资、规划、设计、建设、运营一体化的全生命周期解决方案。对大型公路桥梁、城市快速路、轨道交通、越江隧道、机场、地下空间开发、综合枢纽、片区开发、环境整治等项目投融资建设管理经验丰富。</w:t>
      </w:r>
    </w:p>
    <w:p>
      <w:pPr>
        <w:keepNext w:val="0"/>
        <w:keepLines w:val="0"/>
        <w:pageBreakBefore w:val="0"/>
        <w:widowControl w:val="0"/>
        <w:kinsoku/>
        <w:wordWrap/>
        <w:overflowPunct/>
        <w:topLinePunct w:val="0"/>
        <w:autoSpaceDE/>
        <w:autoSpaceDN/>
        <w:bidi w:val="0"/>
        <w:adjustRightInd/>
        <w:spacing w:line="380" w:lineRule="exact"/>
        <w:ind w:left="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三、主要授课对象：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政府部门：主管经济、财政、发改、工信、交通、轨道、环保、市政等部门；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平台机构：城投、开投、交投、环投、工投、水投、医投等投资平台公司；</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金融机构：银行、证券、信托、基金、农信、投行、资管、外汇等机构；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业主单位：市政、基建、医院、学校、机场、车站、港口、园区等单位；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建设单位：土木、水利、建筑、化工、电子、机械、能源、央国企等</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Cs/>
          <w:sz w:val="28"/>
          <w:szCs w:val="28"/>
        </w:rPr>
        <w:t>专业机构：全过程工程咨询、设备、材料、消防等，律师、审计等专业人士。</w:t>
      </w:r>
      <w:r>
        <w:rPr>
          <w:rFonts w:hint="eastAsia" w:cs="仿宋"/>
          <w:b/>
          <w:bCs w:val="0"/>
          <w:sz w:val="28"/>
          <w:szCs w:val="28"/>
          <w:lang w:val="en-US" w:eastAsia="zh-CN"/>
        </w:rPr>
        <w:t>四、</w:t>
      </w:r>
      <w:r>
        <w:rPr>
          <w:rFonts w:hint="eastAsia" w:ascii="仿宋" w:hAnsi="仿宋" w:eastAsia="仿宋" w:cs="仿宋"/>
          <w:b/>
          <w:bCs w:val="0"/>
          <w:sz w:val="28"/>
          <w:szCs w:val="28"/>
        </w:rPr>
        <w:t>时间及地点</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280" w:firstLineChars="100"/>
        <w:textAlignment w:val="auto"/>
        <w:rPr>
          <w:rFonts w:hint="eastAsia" w:ascii="仿宋" w:hAnsi="仿宋" w:eastAsia="仿宋" w:cs="仿宋"/>
          <w:bCs/>
          <w:sz w:val="28"/>
          <w:szCs w:val="28"/>
        </w:rPr>
      </w:pPr>
      <w:r>
        <w:rPr>
          <w:rFonts w:hint="eastAsia" w:ascii="仿宋" w:hAnsi="仿宋" w:eastAsia="仿宋" w:cs="仿宋"/>
          <w:bCs/>
          <w:sz w:val="28"/>
          <w:szCs w:val="28"/>
        </w:rPr>
        <w:t>2024年06月26日— 29日（</w:t>
      </w:r>
      <w:r>
        <w:rPr>
          <w:rFonts w:hint="eastAsia" w:cs="仿宋"/>
          <w:bCs/>
          <w:sz w:val="28"/>
          <w:szCs w:val="28"/>
          <w:lang w:val="en-US" w:eastAsia="zh-CN"/>
        </w:rPr>
        <w:t>26</w:t>
      </w:r>
      <w:r>
        <w:rPr>
          <w:rFonts w:hint="eastAsia" w:ascii="仿宋" w:hAnsi="仿宋" w:eastAsia="仿宋" w:cs="仿宋"/>
          <w:bCs/>
          <w:sz w:val="28"/>
          <w:szCs w:val="28"/>
        </w:rPr>
        <w:t>日报到） 重庆市</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280" w:firstLineChars="100"/>
        <w:textAlignment w:val="auto"/>
        <w:rPr>
          <w:rFonts w:hint="eastAsia" w:ascii="仿宋" w:hAnsi="仿宋" w:eastAsia="仿宋" w:cs="仿宋"/>
          <w:bCs/>
          <w:sz w:val="28"/>
          <w:szCs w:val="28"/>
        </w:rPr>
      </w:pPr>
      <w:r>
        <w:rPr>
          <w:rFonts w:hint="eastAsia" w:ascii="仿宋" w:hAnsi="仿宋" w:eastAsia="仿宋" w:cs="仿宋"/>
          <w:bCs/>
          <w:sz w:val="28"/>
          <w:szCs w:val="28"/>
        </w:rPr>
        <w:t>2024年07月24日— 27日（</w:t>
      </w:r>
      <w:r>
        <w:rPr>
          <w:rFonts w:hint="eastAsia" w:cs="仿宋"/>
          <w:bCs/>
          <w:sz w:val="28"/>
          <w:szCs w:val="28"/>
          <w:lang w:val="en-US" w:eastAsia="zh-CN"/>
        </w:rPr>
        <w:t>24</w:t>
      </w:r>
      <w:r>
        <w:rPr>
          <w:rFonts w:hint="eastAsia" w:ascii="仿宋" w:hAnsi="仿宋" w:eastAsia="仿宋" w:cs="仿宋"/>
          <w:bCs/>
          <w:sz w:val="28"/>
          <w:szCs w:val="28"/>
        </w:rPr>
        <w:t>日报到） 厦门市</w:t>
      </w:r>
    </w:p>
    <w:p>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bCs/>
          <w:kern w:val="2"/>
          <w:sz w:val="28"/>
          <w:szCs w:val="28"/>
          <w:lang w:val="en-US" w:eastAsia="zh-CN" w:bidi="ar-SA"/>
        </w:rPr>
        <w:t>五、培训费用</w:t>
      </w:r>
      <w:r>
        <w:rPr>
          <w:rFonts w:hint="eastAsia" w:ascii="仿宋" w:hAnsi="仿宋" w:eastAsia="仿宋" w:cs="仿宋"/>
          <w:b w:val="0"/>
          <w:bCs/>
          <w:color w:val="auto"/>
          <w:kern w:val="2"/>
          <w:sz w:val="28"/>
          <w:szCs w:val="28"/>
          <w:lang w:val="en-US" w:eastAsia="zh-CN" w:bidi="ar-SA"/>
        </w:rPr>
        <w:tab/>
      </w:r>
    </w:p>
    <w:p>
      <w:pPr>
        <w:keepNext w:val="0"/>
        <w:keepLines w:val="0"/>
        <w:pageBreakBefore w:val="0"/>
        <w:widowControl w:val="0"/>
        <w:kinsoku/>
        <w:wordWrap/>
        <w:overflowPunct/>
        <w:topLinePunct w:val="0"/>
        <w:autoSpaceDE/>
        <w:autoSpaceDN/>
        <w:bidi w:val="0"/>
        <w:adjustRightInd/>
        <w:snapToGrid w:val="0"/>
        <w:spacing w:line="380" w:lineRule="exact"/>
        <w:ind w:left="280" w:leftChars="100" w:firstLine="0" w:firstLineChars="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培训费：3800元/人（费用含会务费、资料费、午餐费）</w:t>
      </w:r>
    </w:p>
    <w:p>
      <w:pPr>
        <w:keepNext w:val="0"/>
        <w:keepLines w:val="0"/>
        <w:pageBreakBefore w:val="0"/>
        <w:widowControl w:val="0"/>
        <w:kinsoku/>
        <w:wordWrap/>
        <w:overflowPunct/>
        <w:topLinePunct w:val="0"/>
        <w:autoSpaceDE/>
        <w:autoSpaceDN/>
        <w:bidi w:val="0"/>
        <w:adjustRightInd/>
        <w:snapToGrid w:val="0"/>
        <w:spacing w:line="380" w:lineRule="exact"/>
        <w:ind w:left="280" w:leftChars="100" w:firstLine="0" w:firstLineChars="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培训期满：由中国投资协会培训中心颁发结业证书。</w:t>
      </w:r>
    </w:p>
    <w:p>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、报名办法及联系方式</w:t>
      </w:r>
    </w:p>
    <w:p>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请参加培训班同志认真填写报名回执表</w:t>
      </w:r>
      <w:r>
        <w:rPr>
          <w:rFonts w:hint="eastAsia" w:ascii="仿宋" w:hAnsi="仿宋" w:eastAsia="仿宋" w:cs="仿宋"/>
          <w:bCs/>
          <w:sz w:val="28"/>
          <w:szCs w:val="28"/>
          <w:lang w:eastAsia="zh-CN"/>
        </w:rPr>
        <w:t>，</w:t>
      </w:r>
      <w:r>
        <w:rPr>
          <w:rFonts w:hint="eastAsia" w:ascii="仿宋" w:hAnsi="仿宋" w:eastAsia="仿宋" w:cs="仿宋"/>
          <w:bCs/>
          <w:sz w:val="28"/>
          <w:szCs w:val="28"/>
        </w:rPr>
        <w:t>通过传真或电子邮件发至会务组。</w:t>
      </w:r>
    </w:p>
    <w:p>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Cs/>
          <w:sz w:val="28"/>
          <w:szCs w:val="28"/>
          <w:lang w:val="en-US" w:eastAsia="zh-CN"/>
        </w:rPr>
      </w:pPr>
      <w:permStart w:id="0" w:edGrp="everyone"/>
      <w:r>
        <w:rPr>
          <w:rFonts w:hint="eastAsia"/>
        </w:rPr>
        <w:t>联 系 人：聂红军</w:t>
      </w:r>
    </w:p>
    <w:p>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default" w:ascii="仿宋" w:hAnsi="仿宋" w:eastAsia="仿宋" w:cs="仿宋"/>
          <w:bCs/>
          <w:sz w:val="28"/>
          <w:szCs w:val="28"/>
          <w:lang w:val="en-US" w:eastAsia="zh-CN"/>
        </w:rPr>
      </w:pPr>
      <w:r>
        <w:rPr>
          <w:rFonts w:hint="eastAsia"/>
        </w:rPr>
        <w:t>联系电话：13141289128  18211071700（微信）</w:t>
      </w:r>
    </w:p>
    <w:p>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Cs/>
          <w:sz w:val="28"/>
          <w:szCs w:val="28"/>
          <w:lang w:val="en-US" w:eastAsia="zh-CN"/>
        </w:rPr>
      </w:pPr>
      <w:r>
        <w:rPr>
          <w:rFonts w:hint="eastAsia"/>
        </w:rPr>
        <w:t>邮    箱：470882753@qq.com</w:t>
      </w:r>
    </w:p>
    <w:permEnd w:id="0"/>
    <w:p>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Cs/>
          <w:sz w:val="28"/>
          <w:szCs w:val="28"/>
        </w:rPr>
      </w:pPr>
      <w:r>
        <w:rPr>
          <w:rFonts w:hint="eastAsia" w:ascii="仿宋" w:hAnsi="仿宋" w:eastAsia="仿宋" w:cs="仿宋"/>
          <w:sz w:val="28"/>
          <w:szCs w:val="28"/>
        </w:rPr>
        <w:drawing>
          <wp:anchor distT="0" distB="0" distL="0" distR="0" simplePos="0" relativeHeight="251659264" behindDoc="1" locked="0" layoutInCell="1" allowOverlap="1">
            <wp:simplePos x="0" y="0"/>
            <wp:positionH relativeFrom="column">
              <wp:posOffset>3873500</wp:posOffset>
            </wp:positionH>
            <wp:positionV relativeFrom="paragraph">
              <wp:posOffset>132715</wp:posOffset>
            </wp:positionV>
            <wp:extent cx="1562100" cy="1532890"/>
            <wp:effectExtent l="0" t="0" r="0" b="1016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1562100" cy="1532890"/>
                    </a:xfrm>
                    <a:prstGeom prst="rect">
                      <a:avLst/>
                    </a:prstGeom>
                  </pic:spPr>
                </pic:pic>
              </a:graphicData>
            </a:graphic>
          </wp:anchor>
        </w:drawing>
      </w:r>
      <w:r>
        <w:rPr>
          <w:rFonts w:hint="eastAsia" w:ascii="仿宋" w:hAnsi="仿宋" w:eastAsia="仿宋" w:cs="仿宋"/>
          <w:color w:val="000000"/>
          <w:kern w:val="0"/>
          <w:sz w:val="28"/>
          <w:szCs w:val="28"/>
        </w:rPr>
        <w:t>培训中心监督电话:010-63361773     许桂荣</w:t>
      </w:r>
    </w:p>
    <w:p>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通讯地址：北京市复兴路2号院A座</w:t>
      </w:r>
    </w:p>
    <w:p>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 xml:space="preserve">邮政编码：100038    </w:t>
      </w:r>
    </w:p>
    <w:p>
      <w:pPr>
        <w:keepNext w:val="0"/>
        <w:keepLines w:val="0"/>
        <w:pageBreakBefore w:val="0"/>
        <w:widowControl w:val="0"/>
        <w:kinsoku/>
        <w:wordWrap/>
        <w:overflowPunct/>
        <w:topLinePunct w:val="0"/>
        <w:autoSpaceDE/>
        <w:autoSpaceDN/>
        <w:bidi w:val="0"/>
        <w:adjustRightInd/>
        <w:snapToGrid w:val="0"/>
        <w:spacing w:line="380" w:lineRule="exact"/>
        <w:ind w:left="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附件：报名回执表</w:t>
      </w:r>
      <w:r>
        <w:rPr>
          <w:rFonts w:hint="eastAsia" w:cs="仿宋"/>
          <w:bCs/>
          <w:sz w:val="28"/>
          <w:szCs w:val="28"/>
          <w:lang w:val="en-US" w:eastAsia="zh-CN"/>
        </w:rPr>
        <w:t xml:space="preserve">                           </w:t>
      </w:r>
      <w:r>
        <w:rPr>
          <w:rFonts w:hint="eastAsia" w:ascii="仿宋" w:hAnsi="仿宋" w:eastAsia="仿宋" w:cs="仿宋"/>
          <w:bCs/>
          <w:sz w:val="28"/>
          <w:szCs w:val="28"/>
        </w:rPr>
        <w:t>中国投资协会培训中心</w:t>
      </w:r>
    </w:p>
    <w:p>
      <w:pPr>
        <w:keepNext w:val="0"/>
        <w:keepLines w:val="0"/>
        <w:pageBreakBefore w:val="0"/>
        <w:widowControl w:val="0"/>
        <w:kinsoku/>
        <w:wordWrap/>
        <w:overflowPunct/>
        <w:topLinePunct w:val="0"/>
        <w:autoSpaceDE/>
        <w:autoSpaceDN/>
        <w:bidi w:val="0"/>
        <w:adjustRightInd/>
        <w:snapToGrid w:val="0"/>
        <w:spacing w:line="380" w:lineRule="exact"/>
        <w:ind w:firstLine="6440" w:firstLineChars="2300"/>
        <w:textAlignment w:val="auto"/>
        <w:rPr>
          <w:rFonts w:hint="eastAsia" w:ascii="仿宋" w:hAnsi="仿宋" w:eastAsia="仿宋" w:cs="仿宋"/>
          <w:bCs/>
          <w:sz w:val="28"/>
          <w:szCs w:val="28"/>
        </w:rPr>
      </w:pPr>
      <w:r>
        <w:rPr>
          <w:rFonts w:hint="eastAsia" w:ascii="仿宋" w:hAnsi="仿宋" w:eastAsia="仿宋" w:cs="仿宋"/>
          <w:bCs/>
          <w:sz w:val="28"/>
          <w:szCs w:val="28"/>
        </w:rPr>
        <w:t>2024年4月8日</w:t>
      </w:r>
    </w:p>
    <w:p>
      <w:pPr>
        <w:pStyle w:val="6"/>
        <w:keepNext w:val="0"/>
        <w:keepLines w:val="0"/>
        <w:pageBreakBefore w:val="0"/>
        <w:kinsoku/>
        <w:wordWrap/>
        <w:overflowPunct/>
        <w:topLinePunct w:val="0"/>
        <w:autoSpaceDE/>
        <w:autoSpaceDN/>
        <w:bidi w:val="0"/>
        <w:adjustRightInd/>
        <w:spacing w:line="360" w:lineRule="exact"/>
        <w:ind w:left="0" w:leftChars="0" w:firstLine="0" w:firstLineChars="0"/>
        <w:jc w:val="both"/>
        <w:rPr>
          <w:rFonts w:hint="eastAsia"/>
          <w:b/>
          <w:bCs/>
          <w:color w:val="000000" w:themeColor="text1"/>
          <w:spacing w:val="-20"/>
          <w:sz w:val="36"/>
          <w:szCs w:val="36"/>
          <w14:textFill>
            <w14:solidFill>
              <w14:schemeClr w14:val="tx1"/>
            </w14:solidFill>
          </w14:textFill>
        </w:rPr>
      </w:pPr>
    </w:p>
    <w:p>
      <w:pPr>
        <w:pStyle w:val="6"/>
        <w:keepNext w:val="0"/>
        <w:keepLines w:val="0"/>
        <w:pageBreakBefore w:val="0"/>
        <w:kinsoku/>
        <w:wordWrap/>
        <w:overflowPunct/>
        <w:topLinePunct w:val="0"/>
        <w:autoSpaceDE/>
        <w:autoSpaceDN/>
        <w:bidi w:val="0"/>
        <w:adjustRightInd/>
        <w:spacing w:after="159" w:afterLines="50" w:afterAutospacing="0" w:line="360" w:lineRule="exact"/>
        <w:ind w:left="0" w:leftChars="0" w:firstLine="0" w:firstLineChars="0"/>
        <w:jc w:val="center"/>
        <w:rPr>
          <w:b/>
          <w:bCs/>
          <w:sz w:val="32"/>
          <w:szCs w:val="32"/>
        </w:rPr>
      </w:pPr>
      <w:permStart w:id="1" w:edGrp="everyone"/>
      <w:r>
        <w:rPr>
          <w:rFonts w:hint="eastAsia"/>
          <w:b/>
          <w:bCs/>
          <w:color w:val="000000" w:themeColor="text1"/>
          <w:spacing w:val="-20"/>
          <w:sz w:val="32"/>
          <w:szCs w:val="32"/>
          <w14:textFill>
            <w14:solidFill>
              <w14:schemeClr w14:val="tx1"/>
            </w14:solidFill>
          </w14:textFill>
        </w:rPr>
        <w:t>“国家最新特许经营类项目全模式实战暨特许经营项目落地痛点、风险防控、融资实施实务”专题培训班</w:t>
      </w:r>
      <w:r>
        <w:rPr>
          <w:rFonts w:hint="eastAsia"/>
          <w:b/>
          <w:bCs/>
          <w:sz w:val="32"/>
          <w:szCs w:val="32"/>
        </w:rPr>
        <w:t>回执表</w:t>
      </w:r>
    </w:p>
    <w:tbl>
      <w:tblPr>
        <w:tblStyle w:val="7"/>
        <w:tblW w:w="9525" w:type="dxa"/>
        <w:tblInd w:w="93" w:type="dxa"/>
        <w:tblLayout w:type="autofit"/>
        <w:tblCellMar>
          <w:top w:w="0" w:type="dxa"/>
          <w:left w:w="108" w:type="dxa"/>
          <w:bottom w:w="0" w:type="dxa"/>
          <w:right w:w="108" w:type="dxa"/>
        </w:tblCellMar>
      </w:tblPr>
      <w:tblGrid>
        <w:gridCol w:w="1305"/>
        <w:gridCol w:w="645"/>
        <w:gridCol w:w="330"/>
        <w:gridCol w:w="330"/>
        <w:gridCol w:w="840"/>
        <w:gridCol w:w="1200"/>
        <w:gridCol w:w="765"/>
        <w:gridCol w:w="870"/>
        <w:gridCol w:w="540"/>
        <w:gridCol w:w="555"/>
        <w:gridCol w:w="750"/>
        <w:gridCol w:w="1395"/>
      </w:tblGrid>
      <w:tr>
        <w:tblPrEx>
          <w:tblCellMar>
            <w:top w:w="0" w:type="dxa"/>
            <w:left w:w="108" w:type="dxa"/>
            <w:bottom w:w="0" w:type="dxa"/>
            <w:right w:w="108" w:type="dxa"/>
          </w:tblCellMar>
        </w:tblPrEx>
        <w:trPr>
          <w:trHeight w:val="48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Autospacing="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单位名称</w:t>
            </w:r>
          </w:p>
        </w:tc>
        <w:tc>
          <w:tcPr>
            <w:tcW w:w="55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行业类别</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单位地址</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邮编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联系人</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9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电话/区号</w:t>
            </w:r>
          </w:p>
        </w:tc>
        <w:tc>
          <w:tcPr>
            <w:tcW w:w="3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传真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E-mail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0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代表姓名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性别</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电话</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手机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tblPrEx>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8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发票要求</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□增值税普通发票               □增值税专用发票</w:t>
            </w:r>
          </w:p>
        </w:tc>
      </w:tr>
      <w:tr>
        <w:tblPrEx>
          <w:tblCellMar>
            <w:top w:w="0" w:type="dxa"/>
            <w:left w:w="108" w:type="dxa"/>
            <w:bottom w:w="0" w:type="dxa"/>
            <w:right w:w="108" w:type="dxa"/>
          </w:tblCellMar>
        </w:tblPrEx>
        <w:trPr>
          <w:trHeight w:val="48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地   点</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289"/>
              </w:tabs>
              <w:jc w:val="center"/>
              <w:textAlignment w:val="center"/>
              <w:rPr>
                <w:rFonts w:hint="eastAsia" w:ascii="仿宋" w:hAnsi="仿宋" w:eastAsia="仿宋" w:cs="仿宋"/>
                <w:color w:val="000000"/>
                <w:sz w:val="24"/>
                <w:szCs w:val="24"/>
                <w:lang w:val="en-US" w:eastAsia="zh-CN"/>
              </w:rPr>
            </w:pPr>
            <w:r>
              <w:rPr>
                <w:rFonts w:hint="eastAsia" w:cs="仿宋"/>
                <w:color w:val="000000"/>
                <w:kern w:val="0"/>
                <w:sz w:val="24"/>
                <w:szCs w:val="24"/>
                <w:lang w:eastAsia="zh-CN" w:bidi="ar"/>
              </w:rPr>
              <w:t>□</w:t>
            </w:r>
            <w:r>
              <w:rPr>
                <w:rFonts w:hint="eastAsia" w:cs="仿宋"/>
                <w:color w:val="000000"/>
                <w:kern w:val="0"/>
                <w:sz w:val="24"/>
                <w:szCs w:val="24"/>
                <w:lang w:val="en-US" w:eastAsia="zh-CN" w:bidi="ar"/>
              </w:rPr>
              <w:t>重庆</w:t>
            </w:r>
            <w:r>
              <w:rPr>
                <w:rFonts w:hint="eastAsia" w:ascii="仿宋" w:hAnsi="仿宋" w:eastAsia="仿宋" w:cs="仿宋"/>
                <w:color w:val="000000"/>
                <w:kern w:val="0"/>
                <w:sz w:val="24"/>
                <w:szCs w:val="24"/>
                <w:lang w:val="en-US" w:eastAsia="zh-CN" w:bidi="ar"/>
              </w:rPr>
              <w:t xml:space="preserve">        </w:t>
            </w:r>
            <w:r>
              <w:rPr>
                <w:rFonts w:hint="eastAsia" w:cs="仿宋"/>
                <w:color w:val="000000"/>
                <w:kern w:val="0"/>
                <w:sz w:val="24"/>
                <w:szCs w:val="24"/>
                <w:lang w:val="en-US" w:eastAsia="zh-CN" w:bidi="ar"/>
              </w:rPr>
              <w:t xml:space="preserve">          </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w:t>
            </w:r>
            <w:r>
              <w:rPr>
                <w:rFonts w:hint="eastAsia" w:cs="仿宋"/>
                <w:color w:val="000000"/>
                <w:kern w:val="0"/>
                <w:sz w:val="24"/>
                <w:szCs w:val="24"/>
                <w:lang w:val="en-US" w:eastAsia="zh-CN" w:bidi="ar"/>
              </w:rPr>
              <w:t>厦门</w:t>
            </w:r>
          </w:p>
        </w:tc>
      </w:tr>
      <w:tr>
        <w:tblPrEx>
          <w:tblCellMar>
            <w:top w:w="0" w:type="dxa"/>
            <w:left w:w="108" w:type="dxa"/>
            <w:bottom w:w="0" w:type="dxa"/>
            <w:right w:w="108" w:type="dxa"/>
          </w:tblCellMar>
        </w:tblPrEx>
        <w:trPr>
          <w:trHeight w:val="48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发票信息</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430"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专票请填写</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1-4全部信息</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普票请填写 </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1-2全部信息</w:t>
            </w:r>
          </w:p>
        </w:tc>
        <w:tc>
          <w:tcPr>
            <w:tcW w:w="75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1.开票名称：</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2.纳税人识别号：</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3.地址、电话：</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4.开户行及账号：</w:t>
            </w:r>
          </w:p>
        </w:tc>
      </w:tr>
      <w:tr>
        <w:tblPrEx>
          <w:tblCellMar>
            <w:top w:w="0" w:type="dxa"/>
            <w:left w:w="108" w:type="dxa"/>
            <w:bottom w:w="0" w:type="dxa"/>
            <w:right w:w="108" w:type="dxa"/>
          </w:tblCellMar>
        </w:tblPrEx>
        <w:trPr>
          <w:trHeight w:val="48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住宿安排</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□单间  □标间      订房数量</w:t>
            </w:r>
            <w:r>
              <w:rPr>
                <w:rFonts w:hint="eastAsia"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间； □自行安排;</w:t>
            </w:r>
            <w:r>
              <w:rPr>
                <w:rFonts w:hint="eastAsia"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其他说明：</w:t>
            </w:r>
          </w:p>
        </w:tc>
      </w:tr>
      <w:tr>
        <w:tblPrEx>
          <w:tblCellMar>
            <w:top w:w="0" w:type="dxa"/>
            <w:left w:w="108" w:type="dxa"/>
            <w:bottom w:w="0" w:type="dxa"/>
            <w:right w:w="108" w:type="dxa"/>
          </w:tblCellMar>
        </w:tblPrEx>
        <w:trPr>
          <w:trHeight w:val="50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费用总额</w:t>
            </w:r>
          </w:p>
        </w:tc>
        <w:tc>
          <w:tcPr>
            <w:tcW w:w="60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万     仟     佰    拾     元整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312"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c>
          <w:tcPr>
            <w:tcW w:w="607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请将《报名回执表》回传至会务组，</w:t>
            </w:r>
            <w:r>
              <w:rPr>
                <w:rFonts w:hint="eastAsia" w:ascii="仿宋" w:hAnsi="仿宋" w:eastAsia="仿宋" w:cs="仿宋"/>
                <w:sz w:val="24"/>
                <w:szCs w:val="24"/>
              </w:rPr>
              <w:t>会务组即发《报到通知附带汇款账号》</w:t>
            </w:r>
            <w:r>
              <w:rPr>
                <w:rFonts w:hint="eastAsia" w:ascii="仿宋" w:hAnsi="仿宋" w:eastAsia="仿宋" w:cs="仿宋"/>
                <w:color w:val="000000"/>
                <w:kern w:val="0"/>
                <w:sz w:val="24"/>
                <w:szCs w:val="24"/>
                <w:lang w:bidi="ar"/>
              </w:rPr>
              <w:t>并在报名3日内办理培训费</w:t>
            </w:r>
            <w:r>
              <w:rPr>
                <w:rFonts w:hint="eastAsia" w:ascii="仿宋" w:hAnsi="仿宋" w:eastAsia="仿宋" w:cs="仿宋"/>
                <w:sz w:val="24"/>
                <w:szCs w:val="24"/>
              </w:rPr>
              <w:t>，</w:t>
            </w:r>
            <w:r>
              <w:rPr>
                <w:rFonts w:hint="eastAsia" w:ascii="仿宋" w:hAnsi="仿宋" w:eastAsia="仿宋" w:cs="仿宋"/>
                <w:color w:val="000000"/>
                <w:kern w:val="0"/>
                <w:sz w:val="24"/>
                <w:szCs w:val="24"/>
                <w:lang w:bidi="ar"/>
              </w:rPr>
              <w:t>会务组确认到款后即发《日程安排》，详细说明培训安排具体事项。</w:t>
            </w:r>
          </w:p>
        </w:tc>
        <w:tc>
          <w:tcPr>
            <w:tcW w:w="21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单位印章</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2024年  月  日</w:t>
            </w:r>
          </w:p>
        </w:tc>
      </w:tr>
      <w:tr>
        <w:tblPrEx>
          <w:tblCellMar>
            <w:top w:w="0" w:type="dxa"/>
            <w:left w:w="108" w:type="dxa"/>
            <w:bottom w:w="0" w:type="dxa"/>
            <w:right w:w="108" w:type="dxa"/>
          </w:tblCellMar>
        </w:tblPrEx>
        <w:trPr>
          <w:trHeight w:val="770"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szCs w:val="24"/>
              </w:rPr>
            </w:pPr>
          </w:p>
        </w:tc>
        <w:tc>
          <w:tcPr>
            <w:tcW w:w="607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00000"/>
                <w:sz w:val="24"/>
                <w:szCs w:val="24"/>
              </w:rPr>
            </w:pPr>
          </w:p>
        </w:tc>
        <w:tc>
          <w:tcPr>
            <w:tcW w:w="21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60" w:hRule="atLeast"/>
        </w:trPr>
        <w:tc>
          <w:tcPr>
            <w:tcW w:w="9525" w:type="dxa"/>
            <w:gridSpan w:val="1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参加本次会议您想学习哪些内容</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希望与专家交流的问题</w:t>
            </w:r>
            <w:r>
              <w:rPr>
                <w:rFonts w:hint="eastAsia" w:ascii="仿宋" w:hAnsi="仿宋" w:eastAsia="仿宋" w:cs="仿宋"/>
                <w:color w:val="000000"/>
                <w:kern w:val="0"/>
                <w:sz w:val="24"/>
                <w:szCs w:val="24"/>
                <w:lang w:eastAsia="zh-CN" w:bidi="ar"/>
              </w:rPr>
              <w:t>？</w:t>
            </w:r>
          </w:p>
        </w:tc>
      </w:tr>
      <w:tr>
        <w:tblPrEx>
          <w:tblCellMar>
            <w:top w:w="0" w:type="dxa"/>
            <w:left w:w="108" w:type="dxa"/>
            <w:bottom w:w="0" w:type="dxa"/>
            <w:right w:w="108" w:type="dxa"/>
          </w:tblCellMar>
        </w:tblPrEx>
        <w:trPr>
          <w:trHeight w:val="1311" w:hRule="atLeast"/>
        </w:trPr>
        <w:tc>
          <w:tcPr>
            <w:tcW w:w="95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联 系 人：</w:t>
            </w:r>
            <w:r>
              <w:rPr>
                <w:rFonts w:hint="eastAsia"/>
              </w:rPr>
              <w:t>聂红军</w:t>
            </w:r>
          </w:p>
          <w:p>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联系电话：</w:t>
            </w:r>
            <w:r>
              <w:rPr>
                <w:rFonts w:hint="eastAsia"/>
              </w:rPr>
              <w:t>13141289128  18211071700</w:t>
            </w:r>
            <w:r>
              <w:rPr>
                <w:rFonts w:hint="eastAsia" w:ascii="仿宋" w:hAnsi="仿宋" w:eastAsia="仿宋" w:cs="仿宋"/>
                <w:color w:val="000000"/>
                <w:kern w:val="0"/>
                <w:sz w:val="28"/>
                <w:szCs w:val="28"/>
                <w:lang w:bidi="ar"/>
              </w:rPr>
              <w:t>（微信）</w:t>
            </w:r>
          </w:p>
          <w:p>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8"/>
                <w:szCs w:val="28"/>
                <w:lang w:bidi="ar"/>
              </w:rPr>
              <w:t>邮    箱：</w:t>
            </w:r>
            <w:r>
              <w:rPr>
                <w:rFonts w:hint="eastAsia"/>
              </w:rPr>
              <w:t>47088</w:t>
            </w:r>
            <w:bookmarkStart w:id="3" w:name="_GoBack"/>
            <w:bookmarkEnd w:id="3"/>
            <w:r>
              <w:rPr>
                <w:rFonts w:hint="eastAsia"/>
              </w:rPr>
              <w:t>2753@qq</w:t>
            </w:r>
            <w:r>
              <w:rPr>
                <w:rFonts w:hint="eastAsia" w:ascii="仿宋" w:hAnsi="仿宋" w:eastAsia="仿宋" w:cs="仿宋"/>
                <w:color w:val="000000"/>
                <w:kern w:val="0"/>
                <w:sz w:val="28"/>
                <w:szCs w:val="28"/>
                <w:lang w:bidi="ar"/>
              </w:rPr>
              <w:t>.com</w:t>
            </w:r>
          </w:p>
        </w:tc>
      </w:tr>
    </w:tbl>
    <w:p>
      <w:pPr>
        <w:kinsoku w:val="0"/>
        <w:autoSpaceDE w:val="0"/>
        <w:autoSpaceDN w:val="0"/>
        <w:adjustRightInd w:val="0"/>
        <w:snapToGrid w:val="0"/>
        <w:spacing w:before="171" w:line="254" w:lineRule="auto"/>
        <w:ind w:right="215"/>
        <w:jc w:val="left"/>
        <w:textAlignment w:val="baseline"/>
      </w:pPr>
      <w:r>
        <w:rPr>
          <w:rFonts w:hint="eastAsia"/>
          <w:b/>
          <w:bCs/>
          <w:snapToGrid w:val="0"/>
          <w:color w:val="000000"/>
          <w:spacing w:val="8"/>
          <w:kern w:val="0"/>
          <w:position w:val="1"/>
          <w:sz w:val="24"/>
          <w:szCs w:val="24"/>
        </w:rPr>
        <w:t>注</w:t>
      </w:r>
      <w:r>
        <w:rPr>
          <w:rFonts w:hint="eastAsia"/>
          <w:b/>
          <w:bCs/>
          <w:snapToGrid w:val="0"/>
          <w:color w:val="000000"/>
          <w:spacing w:val="8"/>
          <w:kern w:val="0"/>
          <w:position w:val="1"/>
          <w:sz w:val="24"/>
          <w:szCs w:val="24"/>
          <w:lang w:eastAsia="zh-CN"/>
        </w:rPr>
        <w:t>：</w:t>
      </w:r>
      <w:r>
        <w:rPr>
          <w:rFonts w:hint="eastAsia"/>
          <w:b/>
          <w:bCs/>
          <w:snapToGrid w:val="0"/>
          <w:color w:val="000000"/>
          <w:spacing w:val="8"/>
          <w:kern w:val="0"/>
          <w:position w:val="1"/>
          <w:sz w:val="24"/>
          <w:szCs w:val="24"/>
        </w:rPr>
        <w:t>为保证培训质量，培训班名额有限，额满为止，请确定人员后及早报名；本次培训内容及建筑行业相关培训内容均可赴企业提供内训。</w:t>
      </w:r>
      <w:permEnd w:id="1"/>
    </w:p>
    <w:sectPr>
      <w:pgSz w:w="11906" w:h="16838"/>
      <w:pgMar w:top="1000" w:right="1266" w:bottom="127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mjcPzx+kWMXN4NnENLLjdT90aa8=" w:salt="PHj9ImgehOUhWdH8icLZQ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4A9763E4"/>
    <w:rsid w:val="011C07DF"/>
    <w:rsid w:val="04934A97"/>
    <w:rsid w:val="05823171"/>
    <w:rsid w:val="05924D4E"/>
    <w:rsid w:val="05A30D0A"/>
    <w:rsid w:val="064C43CA"/>
    <w:rsid w:val="07D478A0"/>
    <w:rsid w:val="0A5922DF"/>
    <w:rsid w:val="0ABC3E80"/>
    <w:rsid w:val="0D7F1218"/>
    <w:rsid w:val="0DD37BBD"/>
    <w:rsid w:val="0EE63034"/>
    <w:rsid w:val="118926BF"/>
    <w:rsid w:val="14720225"/>
    <w:rsid w:val="17C84600"/>
    <w:rsid w:val="1B826DA3"/>
    <w:rsid w:val="1BFB5B72"/>
    <w:rsid w:val="1C085913"/>
    <w:rsid w:val="1C155249"/>
    <w:rsid w:val="1CAD0994"/>
    <w:rsid w:val="1CB753A9"/>
    <w:rsid w:val="1E543091"/>
    <w:rsid w:val="1F071EB1"/>
    <w:rsid w:val="21F4671D"/>
    <w:rsid w:val="23DC46E7"/>
    <w:rsid w:val="253B6A1E"/>
    <w:rsid w:val="294F1F66"/>
    <w:rsid w:val="2C6829E3"/>
    <w:rsid w:val="2D1221C7"/>
    <w:rsid w:val="2E206AEC"/>
    <w:rsid w:val="2F5527C5"/>
    <w:rsid w:val="2F810927"/>
    <w:rsid w:val="30F70F3D"/>
    <w:rsid w:val="31056EE1"/>
    <w:rsid w:val="31DA4154"/>
    <w:rsid w:val="31DB4637"/>
    <w:rsid w:val="3301513E"/>
    <w:rsid w:val="367C2C57"/>
    <w:rsid w:val="37570300"/>
    <w:rsid w:val="37E65D0E"/>
    <w:rsid w:val="39E266EE"/>
    <w:rsid w:val="3C0B64E4"/>
    <w:rsid w:val="3D3954D4"/>
    <w:rsid w:val="3EA6303D"/>
    <w:rsid w:val="3F9335C1"/>
    <w:rsid w:val="4042276B"/>
    <w:rsid w:val="42613E4A"/>
    <w:rsid w:val="43911BC6"/>
    <w:rsid w:val="46B502C1"/>
    <w:rsid w:val="46E33734"/>
    <w:rsid w:val="4A9763E4"/>
    <w:rsid w:val="4E9A62A5"/>
    <w:rsid w:val="50812FC2"/>
    <w:rsid w:val="51532904"/>
    <w:rsid w:val="51AB06E5"/>
    <w:rsid w:val="54BE5508"/>
    <w:rsid w:val="55661CB2"/>
    <w:rsid w:val="562C4E96"/>
    <w:rsid w:val="5CC55FFF"/>
    <w:rsid w:val="5F78561C"/>
    <w:rsid w:val="60591866"/>
    <w:rsid w:val="6DB14A8F"/>
    <w:rsid w:val="6EB31428"/>
    <w:rsid w:val="700C15ED"/>
    <w:rsid w:val="76901B15"/>
    <w:rsid w:val="7CDC31AB"/>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2"/>
      <w:sz w:val="28"/>
      <w:szCs w:val="28"/>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autoRedefine/>
    <w:qFormat/>
    <w:uiPriority w:val="0"/>
    <w:pPr>
      <w:tabs>
        <w:tab w:val="left" w:pos="-1440"/>
      </w:tabs>
      <w:spacing w:line="360" w:lineRule="auto"/>
      <w:ind w:left="176" w:firstLine="200" w:firstLineChars="200"/>
    </w:pPr>
    <w:rPr>
      <w:rFonts w:hAnsi="Times New Roman"/>
      <w:sz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rPr>
      <w:sz w:val="24"/>
    </w:rPr>
  </w:style>
  <w:style w:type="paragraph" w:styleId="6">
    <w:name w:val="Body Text First Indent 2"/>
    <w:basedOn w:val="3"/>
    <w:next w:val="1"/>
    <w:qFormat/>
    <w:uiPriority w:val="99"/>
    <w:pPr>
      <w:ind w:firstLine="420"/>
    </w:p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paragraph" w:customStyle="1" w:styleId="11">
    <w:name w:val="Table Text"/>
    <w:basedOn w:val="1"/>
    <w:semiHidden/>
    <w:qFormat/>
    <w:uiPriority w:val="0"/>
    <w:rPr>
      <w:rFonts w:ascii="仿宋" w:hAnsi="仿宋" w:eastAsia="仿宋" w:cs="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4975</Words>
  <Characters>5311</Characters>
  <Lines>0</Lines>
  <Paragraphs>0</Paragraphs>
  <TotalTime>2</TotalTime>
  <ScaleCrop>false</ScaleCrop>
  <LinksUpToDate>false</LinksUpToDate>
  <CharactersWithSpaces>5442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2024-04-07T09:22:00Z</dcterms:created>
  <dc:creator>赵老师</dc:creator>
  <cp:lastModifiedBy>聂红军</cp:lastModifiedBy>
  <dcterms:modified xsi:type="dcterms:W3CDTF">2024-05-29T00:26:58Z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C5539FE02C63404783289C630ECF78ED_13</vt:lpwstr>
  </property>
</Properties>
</file>