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E02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-879475</wp:posOffset>
            </wp:positionV>
            <wp:extent cx="7559675" cy="10690225"/>
            <wp:effectExtent l="0" t="0" r="3175" b="15875"/>
            <wp:wrapSquare wrapText="bothSides"/>
            <wp:docPr id="6" name="图片 6" descr="数据资产管理培训文件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数据资产管理培训文件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01F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-853440</wp:posOffset>
            </wp:positionV>
            <wp:extent cx="7525385" cy="10663555"/>
            <wp:effectExtent l="0" t="0" r="18415" b="4445"/>
            <wp:wrapSquare wrapText="bothSides"/>
            <wp:docPr id="5" name="图片 5" descr="数据资产管理培训文件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数据资产管理培训文件(1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97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附件一：</w:t>
      </w:r>
    </w:p>
    <w:p w14:paraId="5F93A3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一、学习内容</w:t>
      </w:r>
    </w:p>
    <w:p w14:paraId="1CD138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）数据治理与常见难题及解决方案</w:t>
      </w:r>
    </w:p>
    <w:p w14:paraId="6BAE3A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1、数据治理组织结构（数据治理团队搭建）与数据治理策略制定</w:t>
      </w:r>
    </w:p>
    <w:p w14:paraId="6CEC2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2、数据溯源模型、方法和应用技巧</w:t>
      </w:r>
    </w:p>
    <w:p w14:paraId="1AFE02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3、数据权属及其解决方案</w:t>
      </w:r>
    </w:p>
    <w:p w14:paraId="760B1D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4、数据质量需求、检查、分析与提升</w:t>
      </w:r>
    </w:p>
    <w:p w14:paraId="47E1C2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5、数据治理常见难题与解决方案</w:t>
      </w:r>
    </w:p>
    <w:p w14:paraId="3D5EEF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6、数据治理方案与合规监督</w:t>
      </w:r>
    </w:p>
    <w:p w14:paraId="450CC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7、数据应用安全与数据生命周期</w:t>
      </w:r>
    </w:p>
    <w:p w14:paraId="4E229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）数据要素×金融服务——数据的场景开发、数据要素价值挖掘及数据产品化操作流程</w:t>
      </w:r>
    </w:p>
    <w:p w14:paraId="5ED1B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1、金融服务业数据资产化现状与展望</w:t>
      </w:r>
    </w:p>
    <w:p w14:paraId="0C453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2、数据要素价值发现与数据的场景开发及数据价值场景化挖掘</w:t>
      </w:r>
    </w:p>
    <w:p w14:paraId="64C9D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3、数据产品的设计、测试与运用</w:t>
      </w:r>
    </w:p>
    <w:p w14:paraId="25196F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4、数据产品的特点、数据产品的形态、数据产品的计费方式</w:t>
      </w:r>
    </w:p>
    <w:p w14:paraId="7DA64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5、数据资产的商业模式及应用</w:t>
      </w:r>
    </w:p>
    <w:p w14:paraId="63FDB3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6、数据资产建设路径与实现</w:t>
      </w:r>
    </w:p>
    <w:p w14:paraId="0C17A1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）数据资产价值实现——企业的数据资产如何合法合规变现</w:t>
      </w:r>
    </w:p>
    <w:p w14:paraId="365906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1、哪些数据能成为资产并需要入表的</w:t>
      </w:r>
    </w:p>
    <w:p w14:paraId="54ABFF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什么是资产；什么是数据资产；能成为数据资产并需要入表的常见类型；数据资源化和数据资产化；使用数据过程中经常碰到的问题；数据资产目录目录的价值；数据价值判断</w:t>
      </w:r>
    </w:p>
    <w:p w14:paraId="0B790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数据成为资产需具备哪些条件数据确权、数据合规+可计量+预期经济价值流入</w:t>
      </w:r>
    </w:p>
    <w:p w14:paraId="54FCC5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3、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数据资产价值实现与变现方式</w:t>
      </w:r>
    </w:p>
    <w:p w14:paraId="283C71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数据资产入表；数据融资质押；数据交易流通</w:t>
      </w:r>
    </w:p>
    <w:p w14:paraId="753DB0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、国央企基于自身优势的数据资产变现案例——数据融资质押案例1.福茶网数据融资案例2.江苏联合征信公司“企业批量查询”数据产品案例3.全国首单数据知识产权证券化产品</w:t>
      </w:r>
    </w:p>
    <w:p w14:paraId="26AD2C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）数据确权与产权登记实务指引</w:t>
      </w:r>
    </w:p>
    <w:p w14:paraId="6B084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1、数据确权登记的现状与主要登记路径</w:t>
      </w:r>
    </w:p>
    <w:p w14:paraId="3876C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2、数据确权与产权登记实务：数据知识产权登记；数据产品登记；数据资产登记；数据公证登记；数据要素登记；其他</w:t>
      </w:r>
    </w:p>
    <w:p w14:paraId="5E7FC9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）数据合规与合规风险识别及数据合规尽职调查</w:t>
      </w:r>
    </w:p>
    <w:p w14:paraId="63092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1、企业数据合规“暴雷”案例分析</w:t>
      </w:r>
    </w:p>
    <w:p w14:paraId="5B2FC3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2、企业常见的数据合规风险识别与处置</w:t>
      </w:r>
    </w:p>
    <w:p w14:paraId="6628B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3、交易条款设计与数据合规尽职调查</w:t>
      </w:r>
    </w:p>
    <w:p w14:paraId="5CF2B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4、安全合规及认证体系与数据安全风险评估重点和难点</w:t>
      </w:r>
    </w:p>
    <w:p w14:paraId="429405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）数据资产评估实务与重点问题解析</w:t>
      </w:r>
    </w:p>
    <w:p w14:paraId="479AB4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1、价值类型与评估方法（成本法、收益法、市场法）</w:t>
      </w:r>
    </w:p>
    <w:p w14:paraId="07DF4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2、评估过程：前期准备；现场调查；质量评价；市场调研；评定估算；出具报告</w:t>
      </w:r>
    </w:p>
    <w:p w14:paraId="199E5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3、数据资产估值的实践难点</w:t>
      </w:r>
    </w:p>
    <w:p w14:paraId="3B39E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4、案例分析：</w:t>
      </w:r>
    </w:p>
    <w:p w14:paraId="7B6BB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项目名称；项目背景；评估目的；评估对象和评估范围；价值类型；评估基准日；评估程序；评估方法；项目进展；项目意义</w:t>
      </w:r>
    </w:p>
    <w:p w14:paraId="1622F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数据资产入表的理论与实务及合规管理重点</w:t>
      </w:r>
    </w:p>
    <w:p w14:paraId="0AD5A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1、数据资产的基本概念辨析：数据、数据资源、数据资产、数据治理、数据产品、数据资产评估</w:t>
      </w:r>
    </w:p>
    <w:p w14:paraId="0B4AC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2、数据资产入表的政策依据</w:t>
      </w:r>
    </w:p>
    <w:p w14:paraId="68BDFB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3、数据资产入表的基本原则、参与主体和流程路线</w:t>
      </w:r>
    </w:p>
    <w:p w14:paraId="6146D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4、数据资产化实现路径及其关键步骤——数据资源化、资源产品化和产品价值化</w:t>
      </w:r>
    </w:p>
    <w:p w14:paraId="3DFC4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5、成本的归集、分摊与会计确认和计量及税务处理</w:t>
      </w:r>
    </w:p>
    <w:p w14:paraId="5CD3E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6、数据资产的列报与披露</w:t>
      </w:r>
    </w:p>
    <w:p w14:paraId="68B44D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7、《企业数据资源相关会计处理暂行规定》及数据资产入表的难点</w:t>
      </w:r>
    </w:p>
    <w:p w14:paraId="162961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8、数据入表合规管理重点——反舞弊</w:t>
      </w:r>
    </w:p>
    <w:p w14:paraId="0FD9E0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）案例解析：政府平台公司数据资产管理运营与法律合规</w:t>
      </w:r>
    </w:p>
    <w:p w14:paraId="20F4A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1、政府平台公司数据治理规划设计</w:t>
      </w:r>
    </w:p>
    <w:p w14:paraId="6112F0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2、数据资产管理实践步骤</w:t>
      </w:r>
    </w:p>
    <w:p w14:paraId="589DC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3、数据资源合规管理</w:t>
      </w:r>
    </w:p>
    <w:p w14:paraId="7B3E7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4、会计处理信息披露所涉合规问题</w:t>
      </w:r>
    </w:p>
    <w:p w14:paraId="340BF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5、公共数据授权运营、开放利用管理的相关政策及风险评估</w:t>
      </w:r>
    </w:p>
    <w:p w14:paraId="304540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）数据资产质押融资业务的机遇与挑战</w:t>
      </w:r>
    </w:p>
    <w:p w14:paraId="550568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1、可质押的数据资产</w:t>
      </w:r>
    </w:p>
    <w:p w14:paraId="4BE2A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2、数据资产质押的法律问题</w:t>
      </w:r>
    </w:p>
    <w:p w14:paraId="2ED8D5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3、数据资产质押融资业务的对策</w:t>
      </w:r>
    </w:p>
    <w:p w14:paraId="71A15B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（十）数据资产化视角：政企银合作、资本运作策略与市值管理</w:t>
      </w:r>
    </w:p>
    <w:p w14:paraId="67302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1、数据资产化战略与数据资产化的发展创新和实践</w:t>
      </w:r>
    </w:p>
    <w:p w14:paraId="69D71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2、数据要素金融化创新与数据资产融资的成功案例解析——数字资产质押、授信、增信、信托、证券化</w:t>
      </w:r>
    </w:p>
    <w:p w14:paraId="059BB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3、数据资产化中的政企银合作、资本运作策略及市值管理</w:t>
      </w:r>
    </w:p>
    <w:p w14:paraId="4E1FC1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二、培训对象</w:t>
      </w:r>
    </w:p>
    <w:p w14:paraId="1975FE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政府主管领导、地方国资委领导、国企领导或财务、数据负责人；政府数据管理部门领导、公共数据资产运营机构高管、政府（大）数据中心管理者；政府授权数据运营机构运营者；数字经济（数据要素）试验区；城市投资与金融合作部门人员；数据交易所、数据相关协会、联盟和研究机构管理者；数据治理解决方案厂商；数据产品设计师；行业数商公司高管；运营商、金融、互联网等重点领域大数据应用管理者；律师、会计师等。</w:t>
      </w:r>
    </w:p>
    <w:p w14:paraId="3B7FC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三、授课师资</w:t>
      </w:r>
    </w:p>
    <w:p w14:paraId="4169C3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大数据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相关政策制定、具有行业实战经验的专家授课。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研修班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以专题讲座、案例分析、方案咨询和研讨交流的方式进行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。</w:t>
      </w:r>
    </w:p>
    <w:p w14:paraId="30ED3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四、时间地点</w:t>
      </w:r>
    </w:p>
    <w:p w14:paraId="12ED52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2024年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日—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 xml:space="preserve">日 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重庆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日全天报到）</w:t>
      </w:r>
    </w:p>
    <w:p w14:paraId="4E252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2024年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06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日—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09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 xml:space="preserve">日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 xml:space="preserve"> 成都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市 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06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日全天报到）</w:t>
      </w:r>
    </w:p>
    <w:p w14:paraId="084A7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2024年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日—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 xml:space="preserve">日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 xml:space="preserve"> 南宁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市 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日全天报到）</w:t>
      </w:r>
    </w:p>
    <w:p w14:paraId="4F800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2024年10月18日—10月21日 南京市 （18日全天报到）</w:t>
      </w:r>
    </w:p>
    <w:p w14:paraId="7045AF9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相关费用</w:t>
      </w:r>
    </w:p>
    <w:p w14:paraId="3E19B5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 xml:space="preserve">    </w:t>
      </w:r>
      <w:r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A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、3880元</w:t>
      </w:r>
      <w:r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/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人（包括专家、场地、午餐、材料、教学管理等费用）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食宿统一安排，费用自理，住宿费由培训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酒店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开具发票。</w:t>
      </w:r>
    </w:p>
    <w:p w14:paraId="4FC41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B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、5980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元/人(包括专家、场地、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午餐、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材料、教学服务管理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证书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等费用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证书由中国投资协会颁发岗位能力培训证书），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培训班由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北京中建科信管理咨询集团有限公司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负责组织实施及收取费用，并开具相应发票。食宿统一安排，费用自理，住宿费由培训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酒店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开具发票。</w:t>
      </w:r>
    </w:p>
    <w:p w14:paraId="488495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六、联系方式</w:t>
      </w:r>
    </w:p>
    <w:p w14:paraId="2C28F0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报名负责人：聂红军 主任18211071700（微信）   </w:t>
      </w:r>
    </w:p>
    <w:p w14:paraId="0878B6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电    话：13141289128        邮    箱：zqgphwz@126.com  </w:t>
      </w:r>
    </w:p>
    <w:p w14:paraId="74A131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qq咨询：3177524020          网    址：http://www.zqgpchina.cn</w:t>
      </w:r>
    </w:p>
    <w:p w14:paraId="2BBD51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</w:p>
    <w:p w14:paraId="1F2A38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</w:p>
    <w:p w14:paraId="0B52BA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</w:p>
    <w:p w14:paraId="389991D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 w14:paraId="20275B7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据资产的治理、入表、资产化全过程与数据资产融资暨数据资产管理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人员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岗位能力提升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高级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研修班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报名回执表</w:t>
      </w:r>
    </w:p>
    <w:tbl>
      <w:tblPr>
        <w:tblStyle w:val="14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57422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746349D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 w14:paraId="21D0E15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6EB4C3E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编</w:t>
            </w:r>
          </w:p>
        </w:tc>
        <w:tc>
          <w:tcPr>
            <w:tcW w:w="2164" w:type="dxa"/>
            <w:noWrap w:val="0"/>
            <w:vAlign w:val="center"/>
          </w:tcPr>
          <w:p w14:paraId="49FB019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167FC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235C0AB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 w14:paraId="2B9D521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6582C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5850BC5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 w14:paraId="6943D8C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34A1678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  务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44EEC6D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6D0F4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536ED64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  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 w14:paraId="483C3C4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495E153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2C94D6C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4033A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7540570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传    真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 w14:paraId="1C6E0CF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75533C0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电子信箱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38BAB3E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6610E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036BBE8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参训人员</w:t>
            </w:r>
          </w:p>
        </w:tc>
        <w:tc>
          <w:tcPr>
            <w:tcW w:w="854" w:type="dxa"/>
            <w:noWrap w:val="0"/>
            <w:vAlign w:val="center"/>
          </w:tcPr>
          <w:p w14:paraId="5A2E30F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293" w:type="dxa"/>
            <w:noWrap w:val="0"/>
            <w:vAlign w:val="center"/>
          </w:tcPr>
          <w:p w14:paraId="4C6420E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952" w:type="dxa"/>
            <w:noWrap w:val="0"/>
            <w:vAlign w:val="center"/>
          </w:tcPr>
          <w:p w14:paraId="217B8AD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    话</w:t>
            </w:r>
          </w:p>
        </w:tc>
        <w:tc>
          <w:tcPr>
            <w:tcW w:w="1896" w:type="dxa"/>
            <w:noWrap w:val="0"/>
            <w:vAlign w:val="center"/>
          </w:tcPr>
          <w:p w14:paraId="79265F5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机</w:t>
            </w:r>
          </w:p>
        </w:tc>
        <w:tc>
          <w:tcPr>
            <w:tcW w:w="2164" w:type="dxa"/>
            <w:noWrap w:val="0"/>
            <w:vAlign w:val="center"/>
          </w:tcPr>
          <w:p w14:paraId="3E6C883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 箱</w:t>
            </w:r>
          </w:p>
        </w:tc>
      </w:tr>
      <w:tr w14:paraId="3E49F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228E3DC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2467DB5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193439E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48EE534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4B0D5E2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1918485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53147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5585B2B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4E1F820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67B6D80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481E821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0E231DA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1584F1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7C573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56B9FF3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4F946C9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1D5AD56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3C8F555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3B7B6A7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76039D8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5B457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0330682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282E671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37A1A57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6BB2DF7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5832FEB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3E74C16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79343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5D5A1CC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0309ED4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2E76ACA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0408C0A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50A6E14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2439328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28486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2569F5F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 w14:paraId="67B110A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 w14:paraId="3F34DB5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6B7F2F1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 w14:paraId="5485022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 w14:paraId="01240D5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77E2B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1086555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参训时间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 w14:paraId="3B4AEA7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 w14:paraId="5CB3A7F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参训地点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28FBB86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15CF7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4C7037F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住宿标准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 w14:paraId="13EF714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单住□   合住□   自理□</w:t>
            </w:r>
          </w:p>
        </w:tc>
      </w:tr>
      <w:tr w14:paraId="2532C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 w14:paraId="1871E3E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付款方式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 w14:paraId="54C904E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银行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转账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   现场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交费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</w:p>
        </w:tc>
        <w:tc>
          <w:tcPr>
            <w:tcW w:w="1896" w:type="dxa"/>
            <w:noWrap w:val="0"/>
            <w:vAlign w:val="center"/>
          </w:tcPr>
          <w:p w14:paraId="4844665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金 额</w:t>
            </w:r>
          </w:p>
        </w:tc>
        <w:tc>
          <w:tcPr>
            <w:tcW w:w="2164" w:type="dxa"/>
            <w:noWrap w:val="0"/>
            <w:vAlign w:val="top"/>
          </w:tcPr>
          <w:p w14:paraId="0641467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5B471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678" w:type="dxa"/>
            <w:noWrap w:val="0"/>
            <w:vAlign w:val="center"/>
          </w:tcPr>
          <w:p w14:paraId="3CA07E1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收款信息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 w14:paraId="7FB88EA3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北京中建科信管理咨询集团有限公司</w:t>
            </w:r>
          </w:p>
          <w:p w14:paraId="3D0FB68C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中国工商银行股份有限公司北京半壁店支行</w:t>
            </w:r>
          </w:p>
          <w:p w14:paraId="7B3C991F">
            <w:pPr>
              <w:tabs>
                <w:tab w:val="left" w:pos="567"/>
                <w:tab w:val="left" w:pos="709"/>
              </w:tabs>
              <w:spacing w:line="300" w:lineRule="exact"/>
              <w:jc w:val="both"/>
              <w:textAlignment w:val="baseline"/>
              <w:outlineLvl w:val="0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0200247009200068235</w:t>
            </w:r>
          </w:p>
        </w:tc>
      </w:tr>
      <w:tr w14:paraId="0679D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noWrap w:val="0"/>
            <w:vAlign w:val="center"/>
          </w:tcPr>
          <w:p w14:paraId="7941248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备    注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 w14:paraId="439E5B4A"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本课程可根据单位实际需</w:t>
            </w:r>
          </w:p>
          <w:p w14:paraId="2F04F93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求，提供内部培训。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 w14:paraId="11A981EC"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参加单位（盖章）</w:t>
            </w:r>
          </w:p>
          <w:p w14:paraId="07BE94B0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年  月  日</w:t>
            </w:r>
          </w:p>
        </w:tc>
      </w:tr>
    </w:tbl>
    <w:p w14:paraId="088A9A6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报名负责人：聂红军 主任18211071700（微信）   </w:t>
      </w:r>
    </w:p>
    <w:p w14:paraId="07F8CF3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电    话：13141289128        邮    箱：zqgphwz@126.com  </w:t>
      </w:r>
    </w:p>
    <w:p w14:paraId="71B4BDF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qq咨询：3177524020          网    址：http://www.zqgpchina.cn</w:t>
      </w:r>
      <w:bookmarkStart w:id="0" w:name="_GoBack"/>
      <w:bookmarkEnd w:id="0"/>
    </w:p>
    <w:sectPr>
      <w:footerReference r:id="rId3" w:type="default"/>
      <w:pgSz w:w="11906" w:h="16838"/>
      <w:pgMar w:top="1360" w:right="1274" w:bottom="212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217C46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1911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2F1911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DFEF50"/>
    <w:multiLevelType w:val="singleLevel"/>
    <w:tmpl w:val="3FDFEF5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MWM5NTU3NmQwMzYzZGY2NjUyMjZkNDUzMDVhNDkifQ=="/>
  </w:docVars>
  <w:rsids>
    <w:rsidRoot w:val="007D4396"/>
    <w:rsid w:val="000073B6"/>
    <w:rsid w:val="00070789"/>
    <w:rsid w:val="00085215"/>
    <w:rsid w:val="000B3C1A"/>
    <w:rsid w:val="000C4700"/>
    <w:rsid w:val="000D5436"/>
    <w:rsid w:val="001114FA"/>
    <w:rsid w:val="00113406"/>
    <w:rsid w:val="0015528E"/>
    <w:rsid w:val="00181A38"/>
    <w:rsid w:val="00187250"/>
    <w:rsid w:val="001A60F2"/>
    <w:rsid w:val="001C5497"/>
    <w:rsid w:val="001F2D98"/>
    <w:rsid w:val="00211624"/>
    <w:rsid w:val="00245AF0"/>
    <w:rsid w:val="00330E4D"/>
    <w:rsid w:val="003435CD"/>
    <w:rsid w:val="00465745"/>
    <w:rsid w:val="00482EA0"/>
    <w:rsid w:val="004F39B6"/>
    <w:rsid w:val="00532293"/>
    <w:rsid w:val="00562365"/>
    <w:rsid w:val="005A72BD"/>
    <w:rsid w:val="005B482D"/>
    <w:rsid w:val="005D611E"/>
    <w:rsid w:val="0061487D"/>
    <w:rsid w:val="006223C5"/>
    <w:rsid w:val="006347C4"/>
    <w:rsid w:val="00634913"/>
    <w:rsid w:val="006C32F2"/>
    <w:rsid w:val="00727683"/>
    <w:rsid w:val="00732068"/>
    <w:rsid w:val="00742449"/>
    <w:rsid w:val="007549A2"/>
    <w:rsid w:val="007767AB"/>
    <w:rsid w:val="007B133F"/>
    <w:rsid w:val="007B7DF3"/>
    <w:rsid w:val="007D4396"/>
    <w:rsid w:val="00834DFA"/>
    <w:rsid w:val="008445DD"/>
    <w:rsid w:val="00897709"/>
    <w:rsid w:val="008D3ED2"/>
    <w:rsid w:val="008E494B"/>
    <w:rsid w:val="008F386F"/>
    <w:rsid w:val="008F7458"/>
    <w:rsid w:val="00922DB4"/>
    <w:rsid w:val="00936251"/>
    <w:rsid w:val="00977B29"/>
    <w:rsid w:val="009C506D"/>
    <w:rsid w:val="009F7210"/>
    <w:rsid w:val="00A155A9"/>
    <w:rsid w:val="00A32F59"/>
    <w:rsid w:val="00A56B3C"/>
    <w:rsid w:val="00AA1B95"/>
    <w:rsid w:val="00AB2FDC"/>
    <w:rsid w:val="00AB5A57"/>
    <w:rsid w:val="00B65F27"/>
    <w:rsid w:val="00BB3795"/>
    <w:rsid w:val="00C04CCE"/>
    <w:rsid w:val="00C668B9"/>
    <w:rsid w:val="00C907E2"/>
    <w:rsid w:val="00C929AF"/>
    <w:rsid w:val="00CF3CC0"/>
    <w:rsid w:val="00D32B80"/>
    <w:rsid w:val="00D73176"/>
    <w:rsid w:val="00DA59D7"/>
    <w:rsid w:val="00E03A24"/>
    <w:rsid w:val="00E33308"/>
    <w:rsid w:val="00E42809"/>
    <w:rsid w:val="00E74B7D"/>
    <w:rsid w:val="00ED4B8E"/>
    <w:rsid w:val="00EF4822"/>
    <w:rsid w:val="00F106F8"/>
    <w:rsid w:val="00F13932"/>
    <w:rsid w:val="00F552A4"/>
    <w:rsid w:val="00F6491F"/>
    <w:rsid w:val="00FB2B2E"/>
    <w:rsid w:val="01471C4E"/>
    <w:rsid w:val="03DC20FE"/>
    <w:rsid w:val="07B70A9C"/>
    <w:rsid w:val="0DE46363"/>
    <w:rsid w:val="13CF2C8C"/>
    <w:rsid w:val="141F1A80"/>
    <w:rsid w:val="22F204C3"/>
    <w:rsid w:val="256434D0"/>
    <w:rsid w:val="25EED648"/>
    <w:rsid w:val="2C817026"/>
    <w:rsid w:val="318A366D"/>
    <w:rsid w:val="3C587809"/>
    <w:rsid w:val="4210450B"/>
    <w:rsid w:val="4C915E93"/>
    <w:rsid w:val="51394A36"/>
    <w:rsid w:val="591A4BC7"/>
    <w:rsid w:val="5EB17DDA"/>
    <w:rsid w:val="5F4E051F"/>
    <w:rsid w:val="60363038"/>
    <w:rsid w:val="79762BF8"/>
    <w:rsid w:val="7DF25143"/>
    <w:rsid w:val="7FCB796B"/>
    <w:rsid w:val="BFEFE9BE"/>
    <w:rsid w:val="DFA74C36"/>
    <w:rsid w:val="DFD2F76E"/>
    <w:rsid w:val="EFFA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qFormat="1"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3">
    <w:name w:val="Salutation"/>
    <w:basedOn w:val="1"/>
    <w:next w:val="1"/>
    <w:link w:val="25"/>
    <w:unhideWhenUsed/>
    <w:qFormat/>
    <w:uiPriority w:val="99"/>
    <w:rPr>
      <w:rFonts w:ascii="宋体" w:hAnsi="宋体" w:eastAsia="宋体"/>
      <w:sz w:val="28"/>
      <w:szCs w:val="28"/>
    </w:rPr>
  </w:style>
  <w:style w:type="paragraph" w:styleId="4">
    <w:name w:val="Closing"/>
    <w:basedOn w:val="1"/>
    <w:link w:val="26"/>
    <w:unhideWhenUsed/>
    <w:qFormat/>
    <w:uiPriority w:val="99"/>
    <w:pPr>
      <w:ind w:left="100" w:leftChars="2100"/>
    </w:pPr>
    <w:rPr>
      <w:rFonts w:ascii="宋体" w:hAnsi="宋体" w:eastAsia="宋体"/>
      <w:sz w:val="28"/>
      <w:szCs w:val="28"/>
    </w:r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34"/>
      <w:szCs w:val="34"/>
      <w:lang w:val="en-US" w:eastAsia="en-US" w:bidi="ar-SA"/>
    </w:rPr>
  </w:style>
  <w:style w:type="paragraph" w:styleId="6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7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annotation subject"/>
    <w:basedOn w:val="2"/>
    <w:next w:val="2"/>
    <w:link w:val="22"/>
    <w:semiHidden/>
    <w:unhideWhenUsed/>
    <w:qFormat/>
    <w:uiPriority w:val="99"/>
    <w:rPr>
      <w:b/>
      <w:bCs/>
    </w:rPr>
  </w:style>
  <w:style w:type="paragraph" w:styleId="13">
    <w:name w:val="Body Text First Indent 2"/>
    <w:basedOn w:val="6"/>
    <w:unhideWhenUsed/>
    <w:qFormat/>
    <w:uiPriority w:val="99"/>
    <w:pPr>
      <w:ind w:firstLine="420" w:firstLineChars="200"/>
    </w:p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page number"/>
    <w:basedOn w:val="15"/>
    <w:semiHidden/>
    <w:qFormat/>
    <w:uiPriority w:val="0"/>
  </w:style>
  <w:style w:type="character" w:styleId="18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9">
    <w:name w:val="批注框文本 字符"/>
    <w:basedOn w:val="15"/>
    <w:link w:val="8"/>
    <w:semiHidden/>
    <w:qFormat/>
    <w:uiPriority w:val="99"/>
    <w:rPr>
      <w:sz w:val="18"/>
      <w:szCs w:val="18"/>
    </w:rPr>
  </w:style>
  <w:style w:type="character" w:customStyle="1" w:styleId="20">
    <w:name w:val="日期 字符"/>
    <w:basedOn w:val="15"/>
    <w:link w:val="7"/>
    <w:semiHidden/>
    <w:qFormat/>
    <w:uiPriority w:val="99"/>
  </w:style>
  <w:style w:type="character" w:customStyle="1" w:styleId="21">
    <w:name w:val="批注文字 字符"/>
    <w:basedOn w:val="15"/>
    <w:link w:val="2"/>
    <w:semiHidden/>
    <w:qFormat/>
    <w:uiPriority w:val="99"/>
  </w:style>
  <w:style w:type="character" w:customStyle="1" w:styleId="22">
    <w:name w:val="批注主题 字符"/>
    <w:basedOn w:val="21"/>
    <w:link w:val="12"/>
    <w:semiHidden/>
    <w:qFormat/>
    <w:uiPriority w:val="99"/>
    <w:rPr>
      <w:b/>
      <w:bCs/>
    </w:rPr>
  </w:style>
  <w:style w:type="character" w:customStyle="1" w:styleId="23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5">
    <w:name w:val="称呼 字符"/>
    <w:basedOn w:val="15"/>
    <w:link w:val="3"/>
    <w:qFormat/>
    <w:uiPriority w:val="99"/>
    <w:rPr>
      <w:rFonts w:ascii="宋体" w:hAnsi="宋体" w:eastAsia="宋体"/>
      <w:sz w:val="28"/>
      <w:szCs w:val="28"/>
    </w:rPr>
  </w:style>
  <w:style w:type="character" w:customStyle="1" w:styleId="26">
    <w:name w:val="结束语 字符"/>
    <w:basedOn w:val="15"/>
    <w:link w:val="4"/>
    <w:qFormat/>
    <w:uiPriority w:val="99"/>
    <w:rPr>
      <w:rFonts w:ascii="宋体" w:hAnsi="宋体" w:eastAsia="宋体"/>
      <w:sz w:val="28"/>
      <w:szCs w:val="2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2215</Words>
  <Characters>2365</Characters>
  <Lines>5</Lines>
  <Paragraphs>1</Paragraphs>
  <TotalTime>8</TotalTime>
  <ScaleCrop>false</ScaleCrop>
  <LinksUpToDate>false</LinksUpToDate>
  <CharactersWithSpaces>2477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2021-08-11T14:59:00Z</dcterms:created>
  <dc:creator>詹詹</dc:creator>
  <cp:lastModifiedBy>聂红军</cp:lastModifiedBy>
  <cp:lastPrinted>2021-08-11T14:58:00Z</cp:lastPrinted>
  <dcterms:modified xsi:type="dcterms:W3CDTF">2024-06-27T00:42:52Z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D883B0F087354CC3AD0E42E9E92CC406_13</vt:lpwstr>
  </property>
</Properties>
</file>