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E28D1">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5091C4B9">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14:paraId="12EA26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关于举办建设项目全过程造价管控与结算审计实务操作专题</w:t>
      </w:r>
    </w:p>
    <w:p w14:paraId="723A7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培训班的通知</w:t>
      </w:r>
    </w:p>
    <w:p w14:paraId="72DA3A7D">
      <w:pPr>
        <w:pStyle w:val="8"/>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 xml:space="preserve"> 081</w:t>
      </w:r>
      <w:r>
        <w:rPr>
          <w:rFonts w:hint="eastAsia" w:ascii="宋体" w:hAnsi="宋体" w:eastAsia="宋体" w:cs="宋体"/>
          <w:b/>
          <w:bCs/>
          <w:color w:val="000000" w:themeColor="text1"/>
          <w:spacing w:val="-12"/>
          <w:sz w:val="28"/>
          <w:szCs w:val="28"/>
          <w14:textFill>
            <w14:solidFill>
              <w14:schemeClr w14:val="tx1"/>
            </w14:solidFill>
          </w14:textFill>
        </w:rPr>
        <w:t>号</w:t>
      </w:r>
    </w:p>
    <w:p w14:paraId="55E6FD9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3B3EB88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工程造价一直是建筑市场博弈的焦点，工程造价管控、计价分歧、施工合同纠纷、工程价款调整与结算审计疑难问题越来越引起各市场主体的高度重视。对于建设项目各参与方来说，若想实现预期效益目标，就必须不断强化工程建设的造价控制与过程管理。</w:t>
      </w:r>
    </w:p>
    <w:p w14:paraId="4120F1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当前，工程造价与结算审计问题在建筑市场中变得愈发突出。工程设计变更、人工材料涨价、计价纠纷、结算纠纷、工程款纠纷等各类造价问题严重困扰着各参建方，对于如何在造价层面进行有效防范，避免不必要的损失，以及在纠纷发生后如何进行有效处理，工程造价的新动态以及建设工程施工合同纠纷中计价与结算的热点与难点问题，都是在工程实践中亟需掌握的重要内容。</w:t>
      </w:r>
    </w:p>
    <w:p w14:paraId="78444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为帮助有关单位全面掌握工程造价全过程精细化控制的根本之道，掌握新形势下工程计价、计量、造价管控、合同管理、结算与审计等新技能，解决建筑工程领域的结算难题，切实提高建设项目工程造价控制水平，我会决定举办“建设项目全过程造价管控与结算审计实务操作专题培训班”。本次培训班由中国国际工程咨询协会主办， 北京比时教育咨询有限公司具体承办，请各单位积极组织相关人员参加。</w:t>
      </w:r>
    </w:p>
    <w:p w14:paraId="08FB5E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一、培训内容</w:t>
      </w:r>
    </w:p>
    <w:p w14:paraId="1D0AA4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bCs/>
          <w:kern w:val="0"/>
          <w:sz w:val="28"/>
          <w:szCs w:val="28"/>
          <w:lang w:val="en-US" w:eastAsia="zh-CN" w:bidi="ar-SA"/>
        </w:rPr>
        <w:t>（一）解读《建设工程工程量清单计价标准》（23年意见稿）</w:t>
      </w:r>
    </w:p>
    <w:p w14:paraId="3300C4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1.新版《建设工程工程量清单计价标准》(意见稿)修订的主要内容</w:t>
      </w:r>
    </w:p>
    <w:p w14:paraId="2EF59C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2.新版《建设工程工程量清单计价标准》(意见稿)修订的亮点解析</w:t>
      </w:r>
    </w:p>
    <w:p w14:paraId="5974F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（二）建设项目招投标造价问题</w:t>
      </w:r>
    </w:p>
    <w:p w14:paraId="67A68E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1.是否合理将不平衡报价部分重新调整计入？</w:t>
      </w:r>
    </w:p>
    <w:p w14:paraId="30404C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2.是否合理要求重新组价基于投标和实际施工方式不一致的理由？</w:t>
      </w:r>
    </w:p>
    <w:p w14:paraId="3AD64F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3.如何处理招标文件中技术参数要求与实际情况不符的情况？</w:t>
      </w:r>
    </w:p>
    <w:p w14:paraId="6BA8C7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4.是否可以重新组价，考虑到招标限价较低而市场价较高？</w:t>
      </w:r>
    </w:p>
    <w:p w14:paraId="0A8D1C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5.如何处理中标后发包人不能接受招标人或招标人委派的监理工程师调整施工组织设计并获得额外支付的情况？</w:t>
      </w:r>
    </w:p>
    <w:p w14:paraId="293A54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6.建设单位要求承包人公开招标，但承包人希望进行邀请招标，如何妥善处理？</w:t>
      </w:r>
    </w:p>
    <w:p w14:paraId="06ADF5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7.总包合同规定承包人自行复核勘察资料的准确性和完整性，并承担风险，应如何应对？</w:t>
      </w:r>
    </w:p>
    <w:p w14:paraId="1A7501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8.如何确定材料调价差和调差工程量？</w:t>
      </w:r>
    </w:p>
    <w:p w14:paraId="69A92E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9.材料调价差的风险范围是什么？如何计算材料价差变化幅度？如何计算调差材料的数量？价格调整方式是什么？如何计取调差税金？</w:t>
      </w:r>
    </w:p>
    <w:p w14:paraId="766A79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10.如何处理工程量清单中的错误项和遗漏项？</w:t>
      </w:r>
    </w:p>
    <w:p w14:paraId="6DB036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11.招标材料中没有品牌要求，但后期甲方指定了品牌，如何进行调整？</w:t>
      </w:r>
    </w:p>
    <w:p w14:paraId="4A5A8A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12.招标策划存在错误，需要调减项目实施内容，应如何处理？</w:t>
      </w:r>
    </w:p>
    <w:p w14:paraId="296240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13.招标清单中按项计取的措施项是否可以根据实际情况结算？</w:t>
      </w:r>
    </w:p>
    <w:p w14:paraId="550913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14.招标清单中的措施项没有清单量，如何进行结算？</w:t>
      </w:r>
    </w:p>
    <w:p w14:paraId="07CE12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15.如何处理多次招标中暂估价材料的中标价格差异？</w:t>
      </w:r>
    </w:p>
    <w:p w14:paraId="372497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16.如何处理要求投标人在现场踏勘后自行考虑的费用？</w:t>
      </w:r>
    </w:p>
    <w:p w14:paraId="163DB6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17.如何处理人工消耗量不平衡的报价？</w:t>
      </w:r>
    </w:p>
    <w:p w14:paraId="17201F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18.在甲方供材扣除中，是否应该考虑损耗量？</w:t>
      </w:r>
    </w:p>
    <w:p w14:paraId="4FE10D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19.在不可抗力事件发生时，如何进行补偿？</w:t>
      </w:r>
    </w:p>
    <w:p w14:paraId="0A3812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20.不可预见的相关费用和风险，如何处理？</w:t>
      </w:r>
    </w:p>
    <w:p w14:paraId="60F315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（三）合同签订造价问题</w:t>
      </w:r>
    </w:p>
    <w:p w14:paraId="551E0D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1.由哪一方承担漏项的专业工程暂估价费用？</w:t>
      </w:r>
    </w:p>
    <w:p w14:paraId="488701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2.如何处理招标文件规定中招标人不对限额清单准确性负责的情况，以及中标人承担的风险？</w:t>
      </w:r>
    </w:p>
    <w:p w14:paraId="328417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3.如何计算误工时间和停窝工损失？</w:t>
      </w:r>
    </w:p>
    <w:p w14:paraId="51B115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4.如何主张损失索赔，以工作内容理解的偏差、工料消耗量水平的确定、生产要素市场价格的判断和取费决策等为理由？</w:t>
      </w:r>
    </w:p>
    <w:p w14:paraId="03B480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5.如何利用举证来对总包方有利，以排除劳务造价鉴定中的施工水泥费和砂石？</w:t>
      </w:r>
    </w:p>
    <w:p w14:paraId="54C19E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6.邻近规划红线处的施工道路需要设置挡土墙，对费用的处理方式是什么？</w:t>
      </w:r>
    </w:p>
    <w:p w14:paraId="69C9FD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7.如何应对材料价格和现场管理费严重偏高的情况？</w:t>
      </w:r>
    </w:p>
    <w:p w14:paraId="1960F2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8.总价合同中如何考虑索赔范围？</w:t>
      </w:r>
    </w:p>
    <w:p w14:paraId="49DFDD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9.承包人在索赔管理费用时，需要提供哪些依据来支撑费用核定？</w:t>
      </w:r>
    </w:p>
    <w:p w14:paraId="5DFF48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10.如何处理二次深化设计费用？</w:t>
      </w:r>
    </w:p>
    <w:p w14:paraId="44CBE9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11.风险范围是否包括设计变更？</w:t>
      </w:r>
    </w:p>
    <w:p w14:paraId="242BDA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12.在工程未完工时，如何计算脚手架、垂运费和安全文明施工费？</w:t>
      </w:r>
    </w:p>
    <w:p w14:paraId="4B2645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13.高支模方案经专家认证后，是否可以根据实际费用进行计取？</w:t>
      </w:r>
    </w:p>
    <w:p w14:paraId="4026FD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14.单方提出因工程质量问题而扣减工程量的做法是否合理？</w:t>
      </w:r>
    </w:p>
    <w:p w14:paraId="082AFE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15.在单价合同中，如何调整按项包干的措施费用？</w:t>
      </w:r>
    </w:p>
    <w:p w14:paraId="740F63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16.单价项目按总价处理是否属于清单计价方式的错误，能否根据实际情况进行调整？</w:t>
      </w:r>
    </w:p>
    <w:p w14:paraId="73BEF6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17.当地勘报告出现错误时，如何调整清单项目的特征？</w:t>
      </w:r>
    </w:p>
    <w:p w14:paraId="04A10E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18.当隐蔽验收资料与施工图不一致时，能否根据实际情况进行调整？</w:t>
      </w:r>
    </w:p>
    <w:p w14:paraId="5E476E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19.在增建工程尚未签订合同的情况下，双方口头约定计价依据参照原合同，如何处理？</w:t>
      </w:r>
    </w:p>
    <w:p w14:paraId="5A3686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20.在办理施工许可证时签署的空白施工合同，如果双方在后期对主要合同条款没有达成共识，应该如何处理？</w:t>
      </w:r>
    </w:p>
    <w:p w14:paraId="62FE63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21.能否调整事后确定的品牌，即使招标文件中未约定？</w:t>
      </w:r>
    </w:p>
    <w:p w14:paraId="05C67F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22.如何调整投标价格，当招标清单没有品牌要求但后来甲方指定了品牌？</w:t>
      </w:r>
    </w:p>
    <w:p w14:paraId="3A007F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23.招标文件中给定的为0元项，能否根据实际施工结算进行调整？</w:t>
      </w:r>
    </w:p>
    <w:p w14:paraId="172072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24.措施费的计量单位为项，能否按实际情况进行结算？</w:t>
      </w:r>
    </w:p>
    <w:p w14:paraId="13496B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25.如何处理增加部分工程的价款，以避免违规？</w:t>
      </w:r>
    </w:p>
    <w:p w14:paraId="53FC5E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（四）履约造价问题</w:t>
      </w:r>
    </w:p>
    <w:p w14:paraId="030EFD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1.以合同签订内容还是文件规定的执行日期为准？</w:t>
      </w:r>
    </w:p>
    <w:p w14:paraId="65CBA3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2.补充协议对已完工的工程是否具有约束力？</w:t>
      </w:r>
    </w:p>
    <w:p w14:paraId="14C5A6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3.如何处理施工合同文件内容不一致的情况？</w:t>
      </w:r>
    </w:p>
    <w:p w14:paraId="4BE25B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4.是否可采用按合同建筑面积计取的方式来确定预算包干费，以弥补未发生的总承包服务费？</w:t>
      </w:r>
    </w:p>
    <w:p w14:paraId="7F310B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5.如何解决总承包服务费的问题？</w:t>
      </w:r>
    </w:p>
    <w:p w14:paraId="6DCFF6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6.在固定总价合同中，若地勘报告超出预期导致施工费用增加，应该如何处理？</w:t>
      </w:r>
    </w:p>
    <w:p w14:paraId="46C513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7.在合同解除后，工程造价应以固定总价为参照还是适用工程所在地的定额计价？</w:t>
      </w:r>
    </w:p>
    <w:p w14:paraId="1DE6C9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8.在造价鉴定中，是否合理将劳务取费不包含临时设施费，而单独增加临时设施费进行计量？</w:t>
      </w:r>
    </w:p>
    <w:p w14:paraId="11923C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9.如何确定变更单价？是否受13清单规范中15%的约束？</w:t>
      </w:r>
    </w:p>
    <w:p w14:paraId="06D324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10.如何索赔标书购买费、制作费、施工准备费、投标保证金以及项目可预期的利润？</w:t>
      </w:r>
    </w:p>
    <w:p w14:paraId="7CE8E3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11.在不对分包单位进行退场处理且不重新招标的情况下，如何调整建设单位的材料价差，同时不违反主合同的约定？</w:t>
      </w:r>
    </w:p>
    <w:p w14:paraId="07131E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12.如果合同清单包干的措施费没有发生，将如何处理？</w:t>
      </w:r>
    </w:p>
    <w:p w14:paraId="6BACDB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13.如果合同约定设计变更，但措施费不会调整，将如何结算？</w:t>
      </w:r>
    </w:p>
    <w:p w14:paraId="7B9CC9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14.如果合同约定总价包干，但没有招标清单，将如何应对？</w:t>
      </w:r>
    </w:p>
    <w:p w14:paraId="418849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15.在甲方供材的情况下，是在结算前扣除税款还是在结算后扣除税款？</w:t>
      </w:r>
    </w:p>
    <w:p w14:paraId="106AAE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16.如果由于甲方原因停工，乙方能获得什么样的赔偿？临建措施索赔的依据是什么？</w:t>
      </w:r>
    </w:p>
    <w:p w14:paraId="54EE93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17.在甲方供材的结算中，能否扣减投标报价中的辅助材料费？</w:t>
      </w:r>
    </w:p>
    <w:p w14:paraId="63EB37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18.在已计取综合费用的基础上，是否可以根据签证和施工现场情况计算临时道路费用？</w:t>
      </w:r>
    </w:p>
    <w:p w14:paraId="78D59E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19.对于固定总价合同，是否可以将后补充协议改为暂定价，金额与固定总价合同一致，并且结算审核可以全部按可调单价进行？</w:t>
      </w:r>
    </w:p>
    <w:p w14:paraId="00A4D8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20.对于合价包干的加固费用，是否可以按实际完成的工作进行结算？</w:t>
      </w:r>
    </w:p>
    <w:p w14:paraId="6E7CB3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21.在合同范围内，如果措施项目漏项，是否可以自行增加报价？</w:t>
      </w:r>
    </w:p>
    <w:p w14:paraId="0F4BB1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22.如果合同解除，如塔吊退场、劳务退场、分包退场以及材料设备采购合同解约等情况，应该如何处理？对于定制加工但尚未交货的材料和钢结构，应该采取何种措施？</w:t>
      </w:r>
    </w:p>
    <w:p w14:paraId="30B3E8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23.如果工程已经验收合格，但实际做法与原设计有偏差，是否可以执行原投标单价？</w:t>
      </w:r>
    </w:p>
    <w:p w14:paraId="620712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24.结算单价是否应该在招标控制价的120%之内，是否合理？</w:t>
      </w:r>
    </w:p>
    <w:p w14:paraId="50B9CA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25.在低价中标部分发生变更时，如何进行组价？</w:t>
      </w:r>
    </w:p>
    <w:p w14:paraId="38D06B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（五）结算造价问题</w:t>
      </w:r>
    </w:p>
    <w:p w14:paraId="48C1AD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1.如果固定总价合同尚未完成，如何进行结算？</w:t>
      </w:r>
    </w:p>
    <w:p w14:paraId="2A14D8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2.如何处理结算审核中发现的漏报项？</w:t>
      </w:r>
    </w:p>
    <w:p w14:paraId="3FCAE1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3.是否可以根据乙方提供的发票审减进行结算审核？</w:t>
      </w:r>
    </w:p>
    <w:p w14:paraId="5A61EC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4.在结算审核过程中，是否需要重新计算和核对原有图纸中的工程量？</w:t>
      </w:r>
    </w:p>
    <w:p w14:paraId="2D3E8D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5.结算书只有造价咨询企业的公章，没有造价人员签字和盖职业印章，是否有效？</w:t>
      </w:r>
    </w:p>
    <w:p w14:paraId="160600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6.解除协议后，如何结算产生的大量租赁费和管理费？是否可以按照竣工图进行结算？</w:t>
      </w:r>
    </w:p>
    <w:p w14:paraId="339575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7.据实结算是按照实际人工费和机械费做书面签证，还是按照信息价进行调整？</w:t>
      </w:r>
    </w:p>
    <w:p w14:paraId="51F2B9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8.在竣工资料交给当地档案馆时，由谁承担归档整理、图纸扫描等费用？</w:t>
      </w:r>
    </w:p>
    <w:p w14:paraId="3F2CBF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9.如何处理受征地影响的施工降效费用？</w:t>
      </w:r>
    </w:p>
    <w:p w14:paraId="0E7FDE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10.在签订《结算协议》后，是否还可以要求支付逾期竣工违约金？</w:t>
      </w:r>
    </w:p>
    <w:p w14:paraId="351044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11.如果项目的价格高于预算，应该如何进行结算？</w:t>
      </w:r>
    </w:p>
    <w:p w14:paraId="60DFA9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12.如果建设方未补充增建工程的招投标手续，直接将其视为合同中的增项，这样做是否合法？</w:t>
      </w:r>
    </w:p>
    <w:p w14:paraId="2B55E7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13.如果没有详细的招投标清单，如何进行结算？</w:t>
      </w:r>
    </w:p>
    <w:p w14:paraId="49B835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14.如果项目缺乏明确的特征和计量单位，在投标时只报了一个总费用，如何进行结算？</w:t>
      </w:r>
    </w:p>
    <w:p w14:paraId="710D03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15.如果某些费用没有经过招投标手续，应该如何进行结算？</w:t>
      </w:r>
    </w:p>
    <w:p w14:paraId="430ABD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16.关于明沟明塘和暗沟暗塘的措施费用，应该如何进行结算？</w:t>
      </w:r>
    </w:p>
    <w:p w14:paraId="5509CC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17.如果人工费的市场价与定额价存在差额，应该如何处理这种情况？</w:t>
      </w:r>
    </w:p>
    <w:p w14:paraId="22248D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18.如果增建合同约定以定额为依据，咨询方能否审减单价？如果可以采用原合同，如何确定单价？</w:t>
      </w:r>
    </w:p>
    <w:p w14:paraId="40D045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19.如何合理合法地结算施工组织措施费？</w:t>
      </w:r>
    </w:p>
    <w:p w14:paraId="000169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20.当市场材料和人工涨价时，如果暂定合同价低于实际单方造价，应该如何进行结算？</w:t>
      </w:r>
    </w:p>
    <w:p w14:paraId="526C43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21.当图纸设计发生变更时，场内道路和交通设施费用应如何调整？</w:t>
      </w:r>
    </w:p>
    <w:p w14:paraId="2E14A0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22.在合同没有约定的情况下，如果图纸设计深度不够，新增的措施费应该按实际计算还是按投标费率计取？</w:t>
      </w:r>
    </w:p>
    <w:p w14:paraId="0F6718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23.当施工场地狭小、临近居民房并且周边居民阻工时，费用应如何处理？</w:t>
      </w:r>
    </w:p>
    <w:p w14:paraId="3CBF78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24.如果施工单位因不可抗力导致工程机械设备以及前期施工效果全部毁损，如何向建设单位要求支付已施工工程及设备损坏的费用？永久工程的范围包括哪些？</w:t>
      </w:r>
    </w:p>
    <w:p w14:paraId="79D462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val="0"/>
          <w:bCs w:val="0"/>
          <w:sz w:val="28"/>
          <w:szCs w:val="28"/>
          <w:lang w:val="en-US" w:eastAsia="zh-CN"/>
        </w:rPr>
        <w:t>25.当双方对材料数量的计算标准发生重大误解时，应该如何处理？</w:t>
      </w:r>
    </w:p>
    <w:p w14:paraId="539579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（六）财政评审疑难问题</w:t>
      </w:r>
    </w:p>
    <w:p w14:paraId="63DB2E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1.如何考虑钢板桩租赁和摊销费用？</w:t>
      </w:r>
    </w:p>
    <w:p w14:paraId="47EB97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2.静载试验和钻芯取样检测费用由哪方负责承担？</w:t>
      </w:r>
    </w:p>
    <w:p w14:paraId="43E5C3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3.如何确定变更方案是否合理或过度变更？</w:t>
      </w:r>
    </w:p>
    <w:p w14:paraId="7C21C9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4.是否合理以当地信息价提供的指标参考为依据来确定临时设施费？</w:t>
      </w:r>
    </w:p>
    <w:p w14:paraId="4BE62A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5.是否可以根据实际情况调整按项包干的措施费？</w:t>
      </w:r>
    </w:p>
    <w:p w14:paraId="2C08A6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6.施工方如何去举证赶工费?</w:t>
      </w:r>
    </w:p>
    <w:p w14:paraId="4A4DDA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7.招标控制价中的材料价格问题？</w:t>
      </w:r>
    </w:p>
    <w:p w14:paraId="760C90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8.材料价差比较大已经超过了暂列金额，如何处理？</w:t>
      </w:r>
    </w:p>
    <w:p w14:paraId="7859C9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9.暂列金额与材料调差的关系？</w:t>
      </w:r>
    </w:p>
    <w:p w14:paraId="74A72A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10.暂估价专业工程的招标费用问题？</w:t>
      </w:r>
    </w:p>
    <w:p w14:paraId="19D4FF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11.专业工程暂估价招标，合同约定由承包人作为招标人，与组织招标工作有关的费用，应该列在签约合同价中的哪里?</w:t>
      </w:r>
    </w:p>
    <w:p w14:paraId="02E2AD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12.施工单位延期了，建设单位出了说明，不追究施工方延期责任，建设单位出的说明算不算违背了合同的实质性内容?若判定为违背了合同实质性内容，作为第三方审计单位，该如何处理?</w:t>
      </w:r>
    </w:p>
    <w:p w14:paraId="707AE8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13.甲供材的工程量计算规则？</w:t>
      </w:r>
    </w:p>
    <w:p w14:paraId="4CD976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14.“甲供材”领料量和按计价规范计算的工程量不一致问题？</w:t>
      </w:r>
    </w:p>
    <w:p w14:paraId="41E146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15.“甲供材”领料量(甲乙双方有签认)，和按计价规范计算的工程量，偏差较大时，可否直接采用领料量(实际用量)，作为结算工程量?</w:t>
      </w:r>
    </w:p>
    <w:p w14:paraId="7DD46D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16.定额勘误文件的适用问题？</w:t>
      </w:r>
    </w:p>
    <w:p w14:paraId="12498A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17.甲乙双方约定的包干价是否有效?审计方要求提供包干价内事项的签证，是否合规?若双方约定的包干价无效，该如何进行结算?</w:t>
      </w:r>
    </w:p>
    <w:p w14:paraId="48FE36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18.合同约定与组织招标工作有关的费用由承包人承担，招标清单中没有列出该项目，如何处理？</w:t>
      </w:r>
    </w:p>
    <w:p w14:paraId="3F2DB8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19.发包人免除违约责任的补充协议是否为黑合同？</w:t>
      </w:r>
    </w:p>
    <w:p w14:paraId="61FDA2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20.中标后合同约定将暂估价项目按照总价包干计价，是否可行？</w:t>
      </w:r>
    </w:p>
    <w:p w14:paraId="21EEF1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21.项目延期是否有法定依据?</w:t>
      </w:r>
    </w:p>
    <w:p w14:paraId="03B062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22.运距签证与场外运输费问题?</w:t>
      </w:r>
    </w:p>
    <w:p w14:paraId="56EDE2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23.部分项目未做，购买的材料甲方同意接收，如何定价？若投标报价时材料存在不平衡报价，如何结算更为合理?</w:t>
      </w:r>
    </w:p>
    <w:p w14:paraId="68B688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24.政策性调整与人工费调整文件带来的影响？</w:t>
      </w:r>
    </w:p>
    <w:p w14:paraId="0B7F92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25.如何处理由图纸错误导致的不平衡报价？</w:t>
      </w:r>
    </w:p>
    <w:p w14:paraId="7FBB2A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（七）结算审计疑难问题</w:t>
      </w:r>
    </w:p>
    <w:p w14:paraId="6582EA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1.在投标时已经报的取费标准，是否可以进行审计调整？</w:t>
      </w:r>
    </w:p>
    <w:p w14:paraId="1B351D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2.当报价不平衡时，是否可以要求审计重新组价？</w:t>
      </w:r>
    </w:p>
    <w:p w14:paraId="167D14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3.当已经过监理和建设单位签字确认的签证单，但审计方认为工程量虚大时，应如何进行结算？</w:t>
      </w:r>
    </w:p>
    <w:p w14:paraId="19E486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4.隐蔽性工程已完成验收，审计方是否可以进行破坏性试验并扣减费用？</w:t>
      </w:r>
    </w:p>
    <w:p w14:paraId="4323DB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5.尽管施工许可证未办理，施工方已经进行了一些前期工作，是否可以争取降效费？</w:t>
      </w:r>
    </w:p>
    <w:p w14:paraId="7C86DD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6.对于未列入暂估价的专业工程，乙方报价是否超过市场价，甲方是否有权干涉价格？</w:t>
      </w:r>
    </w:p>
    <w:p w14:paraId="64FFC7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7.未形成工程实体的措施项目，是否可以按照漏项处理？</w:t>
      </w:r>
    </w:p>
    <w:p w14:paraId="526B8F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8.对于亏损严重的土方开挖及外运工程，是否可以进行调整？</w:t>
      </w:r>
    </w:p>
    <w:p w14:paraId="0D38F0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9.未按照国家现行计量规范强制性规定计量的费用，应如何处理？</w:t>
      </w:r>
    </w:p>
    <w:p w14:paraId="02C0FA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10.第三方清标后提出的价格是否可以作为结算依据？</w:t>
      </w:r>
    </w:p>
    <w:p w14:paraId="79EEAE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11.审计方是否可以修改预算单价和合同总价，是否违反了合同？</w:t>
      </w:r>
    </w:p>
    <w:p w14:paraId="1F9FCD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12.现场实际发生的费用如果没有经过财评认定，是否可以进行结算？</w:t>
      </w:r>
    </w:p>
    <w:p w14:paraId="47EB82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13.在政府投资项目财政评审范围之外的货物、设备、软件的总包采购价格如何确定？</w:t>
      </w:r>
    </w:p>
    <w:p w14:paraId="456212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14.暂估价、认质认价，结算审计能否被推翻？</w:t>
      </w:r>
    </w:p>
    <w:p w14:paraId="2B6985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15.当清单项目具有相同特征但报价不同的情况下，如何处理？</w:t>
      </w:r>
    </w:p>
    <w:p w14:paraId="0ACCD6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16.如何应对清单与图纸不一致的情况？</w:t>
      </w:r>
    </w:p>
    <w:p w14:paraId="57236B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17.对于没有项目特征和具体方案的措施项目，是否可以根据实际发生情况进行调整？</w:t>
      </w:r>
    </w:p>
    <w:p w14:paraId="5118C0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18.如何证明甲方适用免责条款无效？</w:t>
      </w:r>
    </w:p>
    <w:p w14:paraId="489CA4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19.当信息价偏高时，是否可以根据市场价格进行审定？</w:t>
      </w:r>
    </w:p>
    <w:p w14:paraId="1AC662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20.当施工补充协议与备案的施工合同不一致时，如何进行结算？</w:t>
      </w:r>
    </w:p>
    <w:p w14:paraId="4AE029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21.当施工合同与中标合同约定的工程价款不一致时，是否构成黑白合同？</w:t>
      </w:r>
    </w:p>
    <w:p w14:paraId="3D53B7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22.当图纸量少于招标量时，是按总价合同结算还是按实际完成的图纸结算？</w:t>
      </w:r>
    </w:p>
    <w:p w14:paraId="175273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23.结算金额以双方结算书为准，还是以审计核减后的金额为准？</w:t>
      </w:r>
    </w:p>
    <w:p w14:paraId="1C7B16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24.如何应对审计单位以缺乏契约依据为由，不予调整人工费结算标准的情况？</w:t>
      </w:r>
    </w:p>
    <w:p w14:paraId="3E729D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25.如何结算红线外的内容？</w:t>
      </w:r>
    </w:p>
    <w:p w14:paraId="7C52E6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二、培训对象</w:t>
      </w:r>
    </w:p>
    <w:p w14:paraId="4D119C8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14:paraId="4D82CB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三、邀请专家</w:t>
      </w:r>
    </w:p>
    <w:p w14:paraId="3AC6779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拟邀请住建部、行业协会、建筑央企、知名律所等参与新规范编写的有关专家现场授课，结合经典案例和实例分析，并进行现场答疑和互动交流。</w:t>
      </w:r>
    </w:p>
    <w:p w14:paraId="0DEB94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四、培训时间、地点</w:t>
      </w:r>
    </w:p>
    <w:p w14:paraId="76F141C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2024年7月12日—7月15日   贵阳市 （12日全天报到）</w:t>
      </w:r>
    </w:p>
    <w:p w14:paraId="7CFE5F4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2024年7月26日—7月29日   西安市 （26日全天报到）</w:t>
      </w:r>
    </w:p>
    <w:p w14:paraId="74A814B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2024年8月16日—8月19日   重庆市 （16日全天报到）</w:t>
      </w:r>
    </w:p>
    <w:p w14:paraId="00DEB4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2024年8月23日—8月26日   昆明市 （23日全天报到）</w:t>
      </w:r>
    </w:p>
    <w:p w14:paraId="7D2DD9C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2024年9月06日—9月09日   成都市 （06日全天报到）</w:t>
      </w:r>
    </w:p>
    <w:p w14:paraId="21AFB32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2024年9月20日—9月23日   南宁市 （20日全天报到）</w:t>
      </w:r>
    </w:p>
    <w:p w14:paraId="07927A5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2024年10月18日—10月21日  南京市 （18日全天报到）</w:t>
      </w:r>
    </w:p>
    <w:p w14:paraId="41E7D47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2024年10月24日—10月27日  厦门市 （24日全天报到）</w:t>
      </w:r>
    </w:p>
    <w:p w14:paraId="5F3D4C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五、相关费用标准</w:t>
      </w:r>
      <w:r>
        <w:rPr>
          <w:rFonts w:hint="eastAsia" w:ascii="仿宋" w:hAnsi="仿宋" w:eastAsia="仿宋" w:cs="宋体"/>
          <w:kern w:val="0"/>
          <w:sz w:val="28"/>
          <w:szCs w:val="28"/>
          <w:shd w:val="clear"/>
          <w:lang w:val="en-US" w:eastAsia="zh-CN" w:bidi="ar-SA"/>
        </w:rPr>
        <w:t xml:space="preserve">   </w:t>
      </w:r>
    </w:p>
    <w:p w14:paraId="6CEB6D1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A：3880元/人（含培训费、场地费、资料费、专家、会议期间午餐、结业证书等），住宿统一安排，费用自理。</w:t>
      </w:r>
    </w:p>
    <w:p w14:paraId="7D9F94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5880元/人（含培训、资料、电子课件、场地、证书及培训期间午餐），住宿统一安排，费用自理。证书由我会颁发《工程总承包项目经理》或《商务经理》或《造价经理》;所需资料:二寸蓝底免冠彩色照片、身份证正反面、学历证书，以上报名材料均需电子版。</w:t>
      </w:r>
    </w:p>
    <w:p w14:paraId="6DC3902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宋体"/>
          <w:kern w:val="0"/>
          <w:sz w:val="28"/>
          <w:szCs w:val="28"/>
          <w:shd w:val="clear" w:color="auto" w:fill="auto"/>
          <w:lang w:val="en-US" w:eastAsia="zh-CN" w:bidi="ar-SA"/>
        </w:rPr>
      </w:pPr>
      <w:r>
        <w:rPr>
          <w:rFonts w:hint="default" w:ascii="仿宋" w:hAnsi="仿宋" w:eastAsia="仿宋" w:cs="宋体"/>
          <w:kern w:val="0"/>
          <w:sz w:val="28"/>
          <w:szCs w:val="28"/>
          <w:shd w:val="clear" w:color="auto" w:fill="auto"/>
          <w:lang w:val="en-US" w:eastAsia="zh-CN" w:bidi="ar-SA"/>
        </w:rPr>
        <w:t>C.50000元/单位，不限参会人数，并赠送价值50000元的《国际工程全过程咨询实施规程》标准项目编号：T/CAIEC 0066-2024，或《投融资建设项目管理咨询标准》编号：T/CAIEC 0065-2024，免费参编单位和参编人员一名。</w:t>
      </w:r>
    </w:p>
    <w:p w14:paraId="160AE26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color="auto" w:fill="auto"/>
          <w:lang w:val="en-US" w:eastAsia="zh-CN" w:bidi="ar-SA"/>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14:paraId="7CDAC7F4">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六、联系方式</w:t>
      </w:r>
    </w:p>
    <w:p w14:paraId="108D41C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报名负责人：聂红军 主任18211071700（微信）   </w:t>
      </w:r>
    </w:p>
    <w:p w14:paraId="453E51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宋体"/>
          <w:snapToGrid w:val="0"/>
          <w:color w:val="000000"/>
          <w:kern w:val="20"/>
          <w:position w:val="-4"/>
          <w:sz w:val="28"/>
          <w:szCs w:val="28"/>
        </w:rPr>
      </w:pPr>
      <w:r>
        <w:drawing>
          <wp:anchor distT="0" distB="0" distL="114300" distR="114300" simplePos="0" relativeHeight="251661312" behindDoc="1" locked="0" layoutInCell="1" allowOverlap="1">
            <wp:simplePos x="0" y="0"/>
            <wp:positionH relativeFrom="column">
              <wp:posOffset>3644900</wp:posOffset>
            </wp:positionH>
            <wp:positionV relativeFrom="paragraph">
              <wp:posOffset>99060</wp:posOffset>
            </wp:positionV>
            <wp:extent cx="1448435" cy="1440180"/>
            <wp:effectExtent l="0" t="0" r="24765"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448435" cy="1440180"/>
                    </a:xfrm>
                    <a:prstGeom prst="rect">
                      <a:avLst/>
                    </a:prstGeom>
                    <a:noFill/>
                    <a:ln>
                      <a:noFill/>
                    </a:ln>
                  </pic:spPr>
                </pic:pic>
              </a:graphicData>
            </a:graphic>
          </wp:anchor>
        </w:drawing>
      </w:r>
      <w:r>
        <w:rPr>
          <w:rFonts w:hint="eastAsia" w:ascii="仿宋" w:hAnsi="仿宋" w:eastAsia="仿宋" w:cs="宋体"/>
          <w:snapToGrid w:val="0"/>
          <w:color w:val="000000"/>
          <w:kern w:val="20"/>
          <w:position w:val="-4"/>
          <w:sz w:val="28"/>
          <w:szCs w:val="28"/>
        </w:rPr>
        <w:t xml:space="preserve">电    话：13141289128        邮    箱：zqgphwz@126.com  </w:t>
      </w:r>
    </w:p>
    <w:p w14:paraId="44E15EF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qq咨询：3177524020          网    址：</w:t>
      </w:r>
      <w:r>
        <w:rPr>
          <w:rFonts w:hint="eastAsia" w:ascii="仿宋" w:hAnsi="仿宋" w:eastAsia="仿宋" w:cs="宋体"/>
          <w:snapToGrid w:val="0"/>
          <w:color w:val="auto"/>
          <w:kern w:val="20"/>
          <w:position w:val="-4"/>
          <w:sz w:val="28"/>
          <w:szCs w:val="28"/>
        </w:rPr>
        <w:fldChar w:fldCharType="begin"/>
      </w:r>
      <w:r>
        <w:rPr>
          <w:rFonts w:hint="eastAsia" w:ascii="仿宋" w:hAnsi="仿宋" w:eastAsia="仿宋" w:cs="宋体"/>
          <w:snapToGrid w:val="0"/>
          <w:color w:val="auto"/>
          <w:kern w:val="20"/>
          <w:position w:val="-4"/>
          <w:sz w:val="28"/>
          <w:szCs w:val="28"/>
        </w:rPr>
        <w:instrText xml:space="preserve"> HYPERLINK "http://www.zqgpchina.cn" </w:instrText>
      </w:r>
      <w:r>
        <w:rPr>
          <w:rFonts w:hint="eastAsia" w:ascii="仿宋" w:hAnsi="仿宋" w:eastAsia="仿宋" w:cs="宋体"/>
          <w:snapToGrid w:val="0"/>
          <w:color w:val="auto"/>
          <w:kern w:val="20"/>
          <w:position w:val="-4"/>
          <w:sz w:val="28"/>
          <w:szCs w:val="28"/>
        </w:rPr>
        <w:fldChar w:fldCharType="separate"/>
      </w:r>
      <w:r>
        <w:rPr>
          <w:rStyle w:val="13"/>
          <w:rFonts w:hint="eastAsia" w:ascii="仿宋" w:hAnsi="仿宋" w:eastAsia="仿宋" w:cs="宋体"/>
          <w:snapToGrid w:val="0"/>
          <w:color w:val="auto"/>
          <w:kern w:val="20"/>
          <w:position w:val="-4"/>
          <w:sz w:val="28"/>
          <w:szCs w:val="28"/>
        </w:rPr>
        <w:t>http://www.zqgpchina.cn</w:t>
      </w:r>
      <w:r>
        <w:rPr>
          <w:rFonts w:hint="eastAsia" w:ascii="仿宋" w:hAnsi="仿宋" w:eastAsia="仿宋" w:cs="宋体"/>
          <w:snapToGrid w:val="0"/>
          <w:color w:val="auto"/>
          <w:kern w:val="20"/>
          <w:position w:val="-4"/>
          <w:sz w:val="28"/>
          <w:szCs w:val="28"/>
        </w:rPr>
        <w:fldChar w:fldCharType="end"/>
      </w:r>
    </w:p>
    <w:p w14:paraId="026DA1A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napToGrid w:val="0"/>
          <w:color w:val="000000"/>
          <w:kern w:val="20"/>
          <w:position w:val="-4"/>
          <w:sz w:val="28"/>
          <w:szCs w:val="28"/>
          <w:lang w:val="en-US" w:eastAsia="zh-CN"/>
        </w:rPr>
      </w:pPr>
    </w:p>
    <w:p w14:paraId="40FA332C">
      <w:pPr>
        <w:pStyle w:val="8"/>
        <w:keepNext w:val="0"/>
        <w:keepLines w:val="0"/>
        <w:pageBreakBefore w:val="0"/>
        <w:widowControl w:val="0"/>
        <w:tabs>
          <w:tab w:val="left" w:pos="5166"/>
        </w:tabs>
        <w:kinsoku/>
        <w:wordWrap/>
        <w:overflowPunct/>
        <w:topLinePunct w:val="0"/>
        <w:autoSpaceDE w:val="0"/>
        <w:autoSpaceDN w:val="0"/>
        <w:bidi w:val="0"/>
        <w:adjustRightInd w:val="0"/>
        <w:snapToGrid/>
        <w:spacing w:line="360" w:lineRule="exact"/>
        <w:ind w:left="0" w:leftChars="0" w:firstLine="5320" w:firstLineChars="1900"/>
        <w:textAlignment w:val="auto"/>
        <w:rPr>
          <w:rFonts w:hint="eastAsia" w:ascii="仿宋" w:hAnsi="仿宋" w:eastAsia="仿宋" w:cs="宋体"/>
          <w:kern w:val="0"/>
          <w:sz w:val="28"/>
          <w:szCs w:val="28"/>
          <w:shd w:val="clear"/>
          <w:lang w:val="en-US" w:eastAsia="zh-CN" w:bidi="ar-SA"/>
        </w:rPr>
      </w:pPr>
      <w:r>
        <w:rPr>
          <w:rFonts w:hint="eastAsia" w:hAnsi="仿宋" w:cs="宋体"/>
          <w:kern w:val="0"/>
          <w:sz w:val="28"/>
          <w:szCs w:val="28"/>
          <w:shd w:val="clear"/>
          <w:lang w:val="en-US" w:eastAsia="zh-CN" w:bidi="ar-SA"/>
        </w:rPr>
        <w:tab/>
      </w:r>
      <w:r>
        <w:rPr>
          <w:rFonts w:hint="eastAsia" w:ascii="仿宋" w:hAnsi="仿宋" w:eastAsia="仿宋" w:cs="宋体"/>
          <w:kern w:val="0"/>
          <w:sz w:val="28"/>
          <w:szCs w:val="28"/>
          <w:shd w:val="clear"/>
          <w:lang w:val="en-US" w:eastAsia="zh-CN" w:bidi="ar-SA"/>
        </w:rPr>
        <w:t>中国国际工程咨询协会</w:t>
      </w:r>
    </w:p>
    <w:p w14:paraId="01653A4C">
      <w:pPr>
        <w:pStyle w:val="8"/>
        <w:keepNext w:val="0"/>
        <w:keepLines w:val="0"/>
        <w:pageBreakBefore w:val="0"/>
        <w:widowControl w:val="0"/>
        <w:tabs>
          <w:tab w:val="left" w:pos="5196"/>
        </w:tabs>
        <w:kinsoku/>
        <w:wordWrap/>
        <w:overflowPunct/>
        <w:topLinePunct w:val="0"/>
        <w:autoSpaceDE w:val="0"/>
        <w:autoSpaceDN w:val="0"/>
        <w:bidi w:val="0"/>
        <w:adjustRightInd w:val="0"/>
        <w:snapToGrid/>
        <w:spacing w:line="360" w:lineRule="exact"/>
        <w:ind w:left="0" w:leftChars="0" w:firstLine="5320" w:firstLineChars="1900"/>
        <w:textAlignment w:val="auto"/>
        <w:rPr>
          <w:rFonts w:hint="default" w:ascii="仿宋" w:hAnsi="仿宋" w:eastAsia="仿宋" w:cs="宋体"/>
          <w:kern w:val="0"/>
          <w:sz w:val="28"/>
          <w:szCs w:val="28"/>
          <w:shd w:val="clear"/>
          <w:lang w:val="en-US" w:eastAsia="zh-CN" w:bidi="ar-SA"/>
        </w:rPr>
      </w:pPr>
      <w:r>
        <w:rPr>
          <w:rFonts w:hint="eastAsia" w:hAnsi="仿宋" w:cs="宋体"/>
          <w:kern w:val="0"/>
          <w:sz w:val="28"/>
          <w:szCs w:val="28"/>
          <w:shd w:val="clear"/>
          <w:lang w:val="en-US" w:eastAsia="zh-CN" w:bidi="ar-SA"/>
        </w:rPr>
        <w:tab/>
        <w:t xml:space="preserve"> </w:t>
      </w:r>
      <w:r>
        <w:rPr>
          <w:rFonts w:hint="eastAsia" w:ascii="仿宋" w:hAnsi="仿宋" w:eastAsia="仿宋" w:cs="宋体"/>
          <w:kern w:val="0"/>
          <w:sz w:val="28"/>
          <w:szCs w:val="28"/>
          <w:shd w:val="clear"/>
          <w:lang w:val="en-US" w:eastAsia="zh-CN" w:bidi="ar-SA"/>
        </w:rPr>
        <w:t>二0二</w:t>
      </w:r>
      <w:r>
        <w:rPr>
          <w:rFonts w:hint="eastAsia" w:hAnsi="仿宋" w:cs="宋体"/>
          <w:kern w:val="0"/>
          <w:sz w:val="28"/>
          <w:szCs w:val="28"/>
          <w:shd w:val="clear"/>
          <w:lang w:val="en-US" w:eastAsia="zh-CN" w:bidi="ar-SA"/>
        </w:rPr>
        <w:t>四</w:t>
      </w:r>
      <w:r>
        <w:rPr>
          <w:rFonts w:hint="eastAsia" w:ascii="仿宋" w:hAnsi="仿宋" w:eastAsia="仿宋" w:cs="宋体"/>
          <w:kern w:val="0"/>
          <w:sz w:val="28"/>
          <w:szCs w:val="28"/>
          <w:shd w:val="clear"/>
          <w:lang w:val="en-US" w:eastAsia="zh-CN" w:bidi="ar-SA"/>
        </w:rPr>
        <w:t>年</w:t>
      </w:r>
      <w:r>
        <w:rPr>
          <w:rFonts w:hint="eastAsia" w:hAnsi="仿宋" w:cs="宋体"/>
          <w:kern w:val="0"/>
          <w:sz w:val="28"/>
          <w:szCs w:val="28"/>
          <w:shd w:val="clear"/>
          <w:lang w:val="en-US" w:eastAsia="zh-CN" w:bidi="ar-SA"/>
        </w:rPr>
        <w:t>六</w:t>
      </w:r>
      <w:r>
        <w:rPr>
          <w:rFonts w:hint="eastAsia" w:ascii="仿宋" w:hAnsi="仿宋" w:eastAsia="仿宋" w:cs="宋体"/>
          <w:kern w:val="0"/>
          <w:sz w:val="28"/>
          <w:szCs w:val="28"/>
          <w:shd w:val="clear"/>
          <w:lang w:val="en-US" w:eastAsia="zh-CN" w:bidi="ar-SA"/>
        </w:rPr>
        <w:t>月</w:t>
      </w:r>
      <w:r>
        <w:rPr>
          <w:rFonts w:hint="eastAsia" w:hAnsi="仿宋" w:cs="宋体"/>
          <w:kern w:val="0"/>
          <w:sz w:val="28"/>
          <w:szCs w:val="28"/>
          <w:shd w:val="clear"/>
          <w:lang w:val="en-US" w:eastAsia="zh-CN" w:bidi="ar-SA"/>
        </w:rPr>
        <w:t>十八</w:t>
      </w:r>
      <w:r>
        <w:rPr>
          <w:rFonts w:hint="eastAsia" w:ascii="仿宋" w:hAnsi="仿宋" w:eastAsia="仿宋" w:cs="宋体"/>
          <w:kern w:val="0"/>
          <w:sz w:val="28"/>
          <w:szCs w:val="28"/>
          <w:shd w:val="clear"/>
          <w:lang w:val="en-US" w:eastAsia="zh-CN" w:bidi="ar-SA"/>
        </w:rPr>
        <w:t>日</w:t>
      </w:r>
    </w:p>
    <w:p w14:paraId="452E4918">
      <w:pPr>
        <w:widowControl/>
        <w:jc w:val="left"/>
        <w:rPr>
          <w:rFonts w:ascii="仿宋" w:hAnsi="仿宋" w:eastAsia="仿宋"/>
          <w:b w:val="0"/>
          <w:bCs/>
          <w:sz w:val="30"/>
          <w:szCs w:val="30"/>
        </w:rPr>
      </w:pPr>
      <w:r>
        <w:rPr>
          <w:rFonts w:hint="eastAsia" w:ascii="仿宋" w:hAnsi="仿宋" w:eastAsia="仿宋"/>
          <w:b w:val="0"/>
          <w:bCs/>
          <w:sz w:val="28"/>
          <w:szCs w:val="28"/>
        </w:rPr>
        <w:t xml:space="preserve">附 件： </w:t>
      </w:r>
    </w:p>
    <w:p w14:paraId="6F5B91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Times New Roman"/>
          <w:b/>
          <w:bCs w:val="0"/>
          <w:kern w:val="2"/>
          <w:sz w:val="30"/>
          <w:szCs w:val="30"/>
          <w:lang w:val="en-US" w:eastAsia="zh-CN" w:bidi="ar-SA"/>
        </w:rPr>
      </w:pPr>
      <w:r>
        <w:rPr>
          <w:rFonts w:hint="eastAsia" w:ascii="仿宋" w:hAnsi="仿宋" w:eastAsia="仿宋" w:cs="Times New Roman"/>
          <w:b/>
          <w:bCs w:val="0"/>
          <w:kern w:val="2"/>
          <w:sz w:val="30"/>
          <w:szCs w:val="30"/>
          <w:lang w:val="en-US" w:eastAsia="zh-CN" w:bidi="ar-SA"/>
        </w:rPr>
        <w:t xml:space="preserve"> 建设项目全过程造价管控与结算审计实务操作专题培训班报名表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3928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4653166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noWrap w:val="0"/>
            <w:vAlign w:val="center"/>
          </w:tcPr>
          <w:p w14:paraId="082D3CE5">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896" w:type="dxa"/>
            <w:noWrap w:val="0"/>
            <w:vAlign w:val="center"/>
          </w:tcPr>
          <w:p w14:paraId="053360CE">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noWrap w:val="0"/>
            <w:vAlign w:val="center"/>
          </w:tcPr>
          <w:p w14:paraId="33FA3378">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0C58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37315EA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noWrap w:val="0"/>
            <w:vAlign w:val="center"/>
          </w:tcPr>
          <w:p w14:paraId="58040EC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1816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14A55913">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noWrap w:val="0"/>
            <w:vAlign w:val="center"/>
          </w:tcPr>
          <w:p w14:paraId="721E1641">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14:paraId="69E973D3">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noWrap w:val="0"/>
            <w:vAlign w:val="center"/>
          </w:tcPr>
          <w:p w14:paraId="34FA5FCC">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118C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74372527">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noWrap w:val="0"/>
            <w:vAlign w:val="center"/>
          </w:tcPr>
          <w:p w14:paraId="1DFD568A">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14:paraId="3CD1DA4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noWrap w:val="0"/>
            <w:vAlign w:val="center"/>
          </w:tcPr>
          <w:p w14:paraId="649FC152">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07B0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C69AAA7">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noWrap w:val="0"/>
            <w:vAlign w:val="center"/>
          </w:tcPr>
          <w:p w14:paraId="363106D4">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14:paraId="053FA16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noWrap w:val="0"/>
            <w:vAlign w:val="center"/>
          </w:tcPr>
          <w:p w14:paraId="46EB04F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5FBB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5B808FB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noWrap w:val="0"/>
            <w:vAlign w:val="center"/>
          </w:tcPr>
          <w:p w14:paraId="69050C7A">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noWrap w:val="0"/>
            <w:vAlign w:val="center"/>
          </w:tcPr>
          <w:p w14:paraId="3F6EDE93">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noWrap w:val="0"/>
            <w:vAlign w:val="center"/>
          </w:tcPr>
          <w:p w14:paraId="05D3DA8E">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noWrap w:val="0"/>
            <w:vAlign w:val="center"/>
          </w:tcPr>
          <w:p w14:paraId="48C76EAD">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noWrap w:val="0"/>
            <w:vAlign w:val="center"/>
          </w:tcPr>
          <w:p w14:paraId="0C0990D2">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箱</w:t>
            </w:r>
          </w:p>
        </w:tc>
      </w:tr>
      <w:tr w14:paraId="23D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51346972">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4B6B4324">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4F46AB85">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0080134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0E6AFEB2">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66BEF4D6">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72CA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7292E11">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1FB9F87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554A25DD">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0C03A092">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4B890789">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59B01431">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3A8F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276CE606">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30AA22C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6305FB15">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5C3B930E">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6B64F8F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2C5B877D">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6854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ADDC37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3D0484A6">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62D5410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73CB3F5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3F4029E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7677AABD">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4ADE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4A97F674">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677AD335">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5E50B752">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673D7FAA">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48D0192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5D622E29">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3CE4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7450716C">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4DCAFC8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02AC7910">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209DB06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7B24E241">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2F9540DF">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4498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27EF0B6E">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6F45185E">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57985A83">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2539B59D">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1E222090">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33D5E9A4">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543C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9A655D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3892CE6D">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4A32CE0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3E77E913">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2276296D">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1BF2C663">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6EB2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58DF8004">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noWrap w:val="0"/>
            <w:vAlign w:val="center"/>
          </w:tcPr>
          <w:p w14:paraId="3B501BAD">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55DFDBAA">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noWrap w:val="0"/>
            <w:vAlign w:val="center"/>
          </w:tcPr>
          <w:p w14:paraId="77A88346">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3EEC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6EAC430D">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noWrap w:val="0"/>
            <w:vAlign w:val="center"/>
          </w:tcPr>
          <w:p w14:paraId="7C0821AF">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14:paraId="259C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4D3C83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noWrap w:val="0"/>
            <w:vAlign w:val="center"/>
          </w:tcPr>
          <w:p w14:paraId="27FCE438">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《工程总包项目经理》□ 《</w:t>
            </w:r>
            <w:r>
              <w:rPr>
                <w:rFonts w:hint="eastAsia" w:ascii="仿宋" w:hAnsi="仿宋" w:eastAsia="仿宋" w:cs="仿宋"/>
                <w:bCs/>
                <w:color w:val="000000"/>
                <w:sz w:val="28"/>
                <w:szCs w:val="28"/>
                <w:lang w:val="en-US" w:eastAsia="zh-CN"/>
              </w:rPr>
              <w:t>商务经理</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造价</w:t>
            </w:r>
            <w:r>
              <w:rPr>
                <w:rFonts w:hint="eastAsia" w:ascii="仿宋" w:hAnsi="仿宋" w:eastAsia="仿宋" w:cs="仿宋"/>
                <w:bCs/>
                <w:color w:val="000000"/>
                <w:sz w:val="28"/>
                <w:szCs w:val="28"/>
              </w:rPr>
              <w:t>经理》□</w:t>
            </w:r>
          </w:p>
        </w:tc>
      </w:tr>
      <w:tr w14:paraId="34C4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211A534">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noWrap w:val="0"/>
            <w:vAlign w:val="center"/>
          </w:tcPr>
          <w:p w14:paraId="2F7E80DB">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noWrap w:val="0"/>
            <w:vAlign w:val="center"/>
          </w:tcPr>
          <w:p w14:paraId="27A12A77">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noWrap w:val="0"/>
            <w:vAlign w:val="top"/>
          </w:tcPr>
          <w:p w14:paraId="0B2AAB9D">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3CA7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noWrap w:val="0"/>
            <w:vAlign w:val="center"/>
          </w:tcPr>
          <w:p w14:paraId="2737E3F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p w14:paraId="4A1E97D7">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noWrap w:val="0"/>
            <w:vAlign w:val="top"/>
          </w:tcPr>
          <w:p w14:paraId="666A6D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开户名称：北京中科善若教育咨询有限公司 </w:t>
            </w:r>
          </w:p>
          <w:p w14:paraId="74C93E9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行：中国工商银行股份有限公司北京半壁店支行</w:t>
            </w:r>
          </w:p>
          <w:p w14:paraId="36BFA55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 xml:space="preserve">账    号：0200247009200077514 </w:t>
            </w:r>
          </w:p>
        </w:tc>
      </w:tr>
      <w:tr w14:paraId="613A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noWrap w:val="0"/>
            <w:vAlign w:val="center"/>
          </w:tcPr>
          <w:p w14:paraId="35C862D8">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noWrap w:val="0"/>
            <w:vAlign w:val="center"/>
          </w:tcPr>
          <w:p w14:paraId="48BE533C">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14:paraId="201FE299">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p>
          <w:p w14:paraId="4E4C5EBC">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noWrap w:val="0"/>
            <w:vAlign w:val="center"/>
          </w:tcPr>
          <w:p w14:paraId="1C48D7B4">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14:paraId="4AF32982">
            <w:pPr>
              <w:pStyle w:val="8"/>
              <w:ind w:firstLine="480"/>
            </w:pPr>
          </w:p>
          <w:p w14:paraId="06AB69F5">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rPr>
              <w:t>4</w:t>
            </w:r>
            <w:r>
              <w:rPr>
                <w:rFonts w:ascii="仿宋" w:hAnsi="仿宋" w:eastAsia="仿宋" w:cs="仿宋"/>
                <w:bCs/>
                <w:color w:val="000000"/>
                <w:sz w:val="28"/>
                <w:szCs w:val="28"/>
              </w:rPr>
              <w:t>年  月  日</w:t>
            </w:r>
          </w:p>
        </w:tc>
      </w:tr>
    </w:tbl>
    <w:p w14:paraId="1E23D121">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14:paraId="3631744A">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2、报名负责人：聂红军 主任18211071700（微信）   </w:t>
      </w:r>
    </w:p>
    <w:p w14:paraId="381D80F1">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电    话：13141289128        邮    箱：zqgphwz@126.com  </w:t>
      </w:r>
    </w:p>
    <w:p w14:paraId="6D79D48D">
      <w:pPr>
        <w:spacing w:line="500" w:lineRule="exact"/>
        <w:ind w:firstLine="1120" w:firstLineChars="400"/>
        <w:rPr>
          <w:rFonts w:hint="eastAsia" w:ascii="仿宋" w:hAnsi="仿宋" w:eastAsia="仿宋" w:cs="宋体"/>
          <w:bCs/>
          <w:sz w:val="28"/>
          <w:szCs w:val="28"/>
        </w:rPr>
      </w:pPr>
      <w:r>
        <w:rPr>
          <w:rFonts w:hint="eastAsia" w:ascii="仿宋" w:hAnsi="仿宋" w:eastAsia="仿宋" w:cs="宋体"/>
          <w:sz w:val="28"/>
          <w:szCs w:val="28"/>
        </w:rPr>
        <w:t xml:space="preserve">qq咨询：3177524020       </w:t>
      </w:r>
      <w:bookmarkStart w:id="0" w:name="_GoBack"/>
      <w:bookmarkEnd w:id="0"/>
      <w:r>
        <w:rPr>
          <w:rFonts w:hint="eastAsia" w:ascii="仿宋" w:hAnsi="仿宋" w:eastAsia="仿宋" w:cs="宋体"/>
          <w:sz w:val="28"/>
          <w:szCs w:val="28"/>
        </w:rPr>
        <w:t>网    址：http://www.zqgpchina.cn</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0815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3B07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83B07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027639"/>
    <w:rsid w:val="00027639"/>
    <w:rsid w:val="000513B4"/>
    <w:rsid w:val="001C250E"/>
    <w:rsid w:val="002239AD"/>
    <w:rsid w:val="00250056"/>
    <w:rsid w:val="00381D72"/>
    <w:rsid w:val="0044601B"/>
    <w:rsid w:val="004F7BCB"/>
    <w:rsid w:val="005C1C7B"/>
    <w:rsid w:val="00601C67"/>
    <w:rsid w:val="006623E6"/>
    <w:rsid w:val="00697750"/>
    <w:rsid w:val="006C0AF0"/>
    <w:rsid w:val="006C5735"/>
    <w:rsid w:val="00843CF0"/>
    <w:rsid w:val="00852A43"/>
    <w:rsid w:val="00870260"/>
    <w:rsid w:val="00893A6E"/>
    <w:rsid w:val="008F5B4C"/>
    <w:rsid w:val="00A1286A"/>
    <w:rsid w:val="00C11E2C"/>
    <w:rsid w:val="00DD5753"/>
    <w:rsid w:val="00E11468"/>
    <w:rsid w:val="01316E7C"/>
    <w:rsid w:val="01516AF1"/>
    <w:rsid w:val="01987FE8"/>
    <w:rsid w:val="01AE4574"/>
    <w:rsid w:val="02246087"/>
    <w:rsid w:val="02283D27"/>
    <w:rsid w:val="02C16945"/>
    <w:rsid w:val="02E736C5"/>
    <w:rsid w:val="02EC7B2B"/>
    <w:rsid w:val="034A3564"/>
    <w:rsid w:val="03EF1A7B"/>
    <w:rsid w:val="04463A45"/>
    <w:rsid w:val="046B7B3A"/>
    <w:rsid w:val="04B540F9"/>
    <w:rsid w:val="04BF763A"/>
    <w:rsid w:val="04FE368F"/>
    <w:rsid w:val="05417508"/>
    <w:rsid w:val="059A1535"/>
    <w:rsid w:val="05CB627D"/>
    <w:rsid w:val="06D1078B"/>
    <w:rsid w:val="070257B1"/>
    <w:rsid w:val="070D763C"/>
    <w:rsid w:val="07103229"/>
    <w:rsid w:val="07107623"/>
    <w:rsid w:val="075305FE"/>
    <w:rsid w:val="075A03B2"/>
    <w:rsid w:val="078464D6"/>
    <w:rsid w:val="09CB1100"/>
    <w:rsid w:val="0A7210C7"/>
    <w:rsid w:val="0A737B86"/>
    <w:rsid w:val="0A8D5FD1"/>
    <w:rsid w:val="0A946EB5"/>
    <w:rsid w:val="0AE67746"/>
    <w:rsid w:val="0C216BA7"/>
    <w:rsid w:val="0C2A7A8F"/>
    <w:rsid w:val="0C5A58C0"/>
    <w:rsid w:val="0EBC2521"/>
    <w:rsid w:val="0ED41F07"/>
    <w:rsid w:val="0F25330D"/>
    <w:rsid w:val="0F724577"/>
    <w:rsid w:val="11335E1F"/>
    <w:rsid w:val="116C044F"/>
    <w:rsid w:val="127D248A"/>
    <w:rsid w:val="130C0529"/>
    <w:rsid w:val="13B93AA7"/>
    <w:rsid w:val="13F353AF"/>
    <w:rsid w:val="15962717"/>
    <w:rsid w:val="16C819B2"/>
    <w:rsid w:val="17405949"/>
    <w:rsid w:val="17C34C76"/>
    <w:rsid w:val="17E354E6"/>
    <w:rsid w:val="1839071D"/>
    <w:rsid w:val="19031FD6"/>
    <w:rsid w:val="1995519E"/>
    <w:rsid w:val="1B244036"/>
    <w:rsid w:val="1C5D7946"/>
    <w:rsid w:val="1C5E224C"/>
    <w:rsid w:val="1C6B75F8"/>
    <w:rsid w:val="1CA54A2B"/>
    <w:rsid w:val="1CFD2F9D"/>
    <w:rsid w:val="1D712F04"/>
    <w:rsid w:val="1D807902"/>
    <w:rsid w:val="1D8F101C"/>
    <w:rsid w:val="1DE87CF1"/>
    <w:rsid w:val="1ECD7B33"/>
    <w:rsid w:val="1F625EE4"/>
    <w:rsid w:val="1F7F5EEC"/>
    <w:rsid w:val="1F9B0676"/>
    <w:rsid w:val="209041B3"/>
    <w:rsid w:val="20E1336C"/>
    <w:rsid w:val="21363C77"/>
    <w:rsid w:val="214B1AB8"/>
    <w:rsid w:val="21D34E85"/>
    <w:rsid w:val="22146EA2"/>
    <w:rsid w:val="22205588"/>
    <w:rsid w:val="22602004"/>
    <w:rsid w:val="22B13BF7"/>
    <w:rsid w:val="22DE0403"/>
    <w:rsid w:val="232817FD"/>
    <w:rsid w:val="242C2EB1"/>
    <w:rsid w:val="245A6146"/>
    <w:rsid w:val="24DA76D0"/>
    <w:rsid w:val="25333A00"/>
    <w:rsid w:val="257162D7"/>
    <w:rsid w:val="25894AE9"/>
    <w:rsid w:val="25B463BE"/>
    <w:rsid w:val="25CF331C"/>
    <w:rsid w:val="25E42F4C"/>
    <w:rsid w:val="263B316A"/>
    <w:rsid w:val="263F0AFB"/>
    <w:rsid w:val="272A3D8F"/>
    <w:rsid w:val="27E234BC"/>
    <w:rsid w:val="27F40B59"/>
    <w:rsid w:val="281D624C"/>
    <w:rsid w:val="284A2E8F"/>
    <w:rsid w:val="285C24E1"/>
    <w:rsid w:val="28B7273F"/>
    <w:rsid w:val="28DF6826"/>
    <w:rsid w:val="29E54625"/>
    <w:rsid w:val="2A842608"/>
    <w:rsid w:val="2AE00186"/>
    <w:rsid w:val="2B1617BA"/>
    <w:rsid w:val="2C1B3710"/>
    <w:rsid w:val="2CF87677"/>
    <w:rsid w:val="2E9740EA"/>
    <w:rsid w:val="2EA919F7"/>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4D72C4"/>
    <w:rsid w:val="34857C70"/>
    <w:rsid w:val="34E84457"/>
    <w:rsid w:val="3504664F"/>
    <w:rsid w:val="35D00C4E"/>
    <w:rsid w:val="35EC51ED"/>
    <w:rsid w:val="35FC247C"/>
    <w:rsid w:val="3655075B"/>
    <w:rsid w:val="36E92171"/>
    <w:rsid w:val="374660BF"/>
    <w:rsid w:val="37476A89"/>
    <w:rsid w:val="377C07F6"/>
    <w:rsid w:val="387E2E52"/>
    <w:rsid w:val="38E27111"/>
    <w:rsid w:val="38F31DD6"/>
    <w:rsid w:val="393130F5"/>
    <w:rsid w:val="39E64B64"/>
    <w:rsid w:val="3A5B6E57"/>
    <w:rsid w:val="3B173090"/>
    <w:rsid w:val="3B1A08AC"/>
    <w:rsid w:val="3B5566D9"/>
    <w:rsid w:val="3C322776"/>
    <w:rsid w:val="3C9506A5"/>
    <w:rsid w:val="3CE734E8"/>
    <w:rsid w:val="3DEC596B"/>
    <w:rsid w:val="3E2E5006"/>
    <w:rsid w:val="3E5945DA"/>
    <w:rsid w:val="3E9B1F29"/>
    <w:rsid w:val="3EA01D70"/>
    <w:rsid w:val="3EBE7890"/>
    <w:rsid w:val="3ECB6600"/>
    <w:rsid w:val="3EE020AB"/>
    <w:rsid w:val="3EF65E41"/>
    <w:rsid w:val="41140FA4"/>
    <w:rsid w:val="414D55BF"/>
    <w:rsid w:val="415365F3"/>
    <w:rsid w:val="416D064F"/>
    <w:rsid w:val="42037909"/>
    <w:rsid w:val="421A65C9"/>
    <w:rsid w:val="445428A5"/>
    <w:rsid w:val="44F31B62"/>
    <w:rsid w:val="452300F9"/>
    <w:rsid w:val="454A4722"/>
    <w:rsid w:val="455A5594"/>
    <w:rsid w:val="45A21D6F"/>
    <w:rsid w:val="4607616F"/>
    <w:rsid w:val="46C85908"/>
    <w:rsid w:val="4740023F"/>
    <w:rsid w:val="47925F0D"/>
    <w:rsid w:val="47947ED7"/>
    <w:rsid w:val="480D306A"/>
    <w:rsid w:val="482F7BFF"/>
    <w:rsid w:val="485A43AD"/>
    <w:rsid w:val="49100BEF"/>
    <w:rsid w:val="493C25D4"/>
    <w:rsid w:val="4B1D01E3"/>
    <w:rsid w:val="4B2105DB"/>
    <w:rsid w:val="4B935DB5"/>
    <w:rsid w:val="4C270A49"/>
    <w:rsid w:val="4C3F71EA"/>
    <w:rsid w:val="4CA23F11"/>
    <w:rsid w:val="4D01600E"/>
    <w:rsid w:val="4EB0783E"/>
    <w:rsid w:val="4F9B0500"/>
    <w:rsid w:val="4FFE3B4C"/>
    <w:rsid w:val="501E0B2E"/>
    <w:rsid w:val="508227B1"/>
    <w:rsid w:val="50843749"/>
    <w:rsid w:val="51072E29"/>
    <w:rsid w:val="514A0CA9"/>
    <w:rsid w:val="51B613A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C85650"/>
    <w:rsid w:val="581A2C5C"/>
    <w:rsid w:val="59183369"/>
    <w:rsid w:val="591D44D4"/>
    <w:rsid w:val="594E2CF2"/>
    <w:rsid w:val="597B0EF6"/>
    <w:rsid w:val="59D0248F"/>
    <w:rsid w:val="59D8249B"/>
    <w:rsid w:val="5B1600C0"/>
    <w:rsid w:val="5B8B1239"/>
    <w:rsid w:val="5BA25CE6"/>
    <w:rsid w:val="5BE2525D"/>
    <w:rsid w:val="5C485A8F"/>
    <w:rsid w:val="5C694405"/>
    <w:rsid w:val="5CDF5916"/>
    <w:rsid w:val="5D1A2BD1"/>
    <w:rsid w:val="5D3B220F"/>
    <w:rsid w:val="5D5E3558"/>
    <w:rsid w:val="5D8B205D"/>
    <w:rsid w:val="5DB02812"/>
    <w:rsid w:val="5DC14469"/>
    <w:rsid w:val="5DFE3EA4"/>
    <w:rsid w:val="5E57605E"/>
    <w:rsid w:val="5F477CD2"/>
    <w:rsid w:val="5FDE1567"/>
    <w:rsid w:val="617E5305"/>
    <w:rsid w:val="61F90E67"/>
    <w:rsid w:val="620324DC"/>
    <w:rsid w:val="62157F05"/>
    <w:rsid w:val="62515973"/>
    <w:rsid w:val="63010E7F"/>
    <w:rsid w:val="631B72A6"/>
    <w:rsid w:val="635F7F10"/>
    <w:rsid w:val="63FA178C"/>
    <w:rsid w:val="63FF0115"/>
    <w:rsid w:val="64B1156D"/>
    <w:rsid w:val="64F6629B"/>
    <w:rsid w:val="65005A5A"/>
    <w:rsid w:val="652F01FE"/>
    <w:rsid w:val="65334239"/>
    <w:rsid w:val="65B82E88"/>
    <w:rsid w:val="65DF3E6E"/>
    <w:rsid w:val="66280DA5"/>
    <w:rsid w:val="677245A4"/>
    <w:rsid w:val="67B06A02"/>
    <w:rsid w:val="67CC4360"/>
    <w:rsid w:val="67D422AC"/>
    <w:rsid w:val="68407ECF"/>
    <w:rsid w:val="69AE723D"/>
    <w:rsid w:val="6A272DD0"/>
    <w:rsid w:val="6A4C1286"/>
    <w:rsid w:val="6AAD6029"/>
    <w:rsid w:val="6ADA3941"/>
    <w:rsid w:val="6B57393D"/>
    <w:rsid w:val="6B59096C"/>
    <w:rsid w:val="6CD3577D"/>
    <w:rsid w:val="6CDB2A7E"/>
    <w:rsid w:val="6DFB7150"/>
    <w:rsid w:val="6E7B18D7"/>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C53F91"/>
    <w:rsid w:val="77E02FA1"/>
    <w:rsid w:val="785A0282"/>
    <w:rsid w:val="789B48A7"/>
    <w:rsid w:val="78CF5E67"/>
    <w:rsid w:val="78E937EF"/>
    <w:rsid w:val="795C6A1C"/>
    <w:rsid w:val="79ED6E4F"/>
    <w:rsid w:val="7AB4450E"/>
    <w:rsid w:val="7AE373EA"/>
    <w:rsid w:val="7B5B0882"/>
    <w:rsid w:val="7B6F834D"/>
    <w:rsid w:val="7BF658CD"/>
    <w:rsid w:val="7C6C3019"/>
    <w:rsid w:val="7C84619E"/>
    <w:rsid w:val="7CC16BC7"/>
    <w:rsid w:val="7CE253F0"/>
    <w:rsid w:val="7CE45748"/>
    <w:rsid w:val="7D030DF0"/>
    <w:rsid w:val="7D144014"/>
    <w:rsid w:val="7E721350"/>
    <w:rsid w:val="7E962F62"/>
    <w:rsid w:val="7FCD356F"/>
    <w:rsid w:val="7FFF04A0"/>
    <w:rsid w:val="9FEFB93E"/>
    <w:rsid w:val="DB7D24D0"/>
    <w:rsid w:val="FEFF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kern w:val="0"/>
      <w:sz w:val="24"/>
      <w:szCs w:val="24"/>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Body Text First Indent 2"/>
    <w:basedOn w:val="3"/>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列出段落1"/>
    <w:basedOn w:val="1"/>
    <w:qFormat/>
    <w:uiPriority w:val="34"/>
    <w:pPr>
      <w:ind w:left="480" w:leftChars="200"/>
    </w:pPr>
  </w:style>
  <w:style w:type="character" w:customStyle="1" w:styleId="15">
    <w:name w:val="页眉 Char"/>
    <w:basedOn w:val="11"/>
    <w:link w:val="5"/>
    <w:qFormat/>
    <w:uiPriority w:val="0"/>
    <w:rPr>
      <w:kern w:val="2"/>
      <w:sz w:val="18"/>
      <w:szCs w:val="18"/>
    </w:rPr>
  </w:style>
  <w:style w:type="character" w:customStyle="1" w:styleId="16">
    <w:name w:val="页脚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6061</Words>
  <Characters>6535</Characters>
  <Lines>26</Lines>
  <Paragraphs>7</Paragraphs>
  <TotalTime>6</TotalTime>
  <ScaleCrop>false</ScaleCrop>
  <LinksUpToDate>false</LinksUpToDate>
  <CharactersWithSpaces>6667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聂红军</cp:lastModifiedBy>
  <dcterms:modified xsi:type="dcterms:W3CDTF">2024-06-27T01:01:23Z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982F4B9C27E84C04A7BD1A3FBCA26A03_13</vt:lpwstr>
  </property>
</Properties>
</file>