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0478">
      <w:pPr>
        <w:jc w:val="distribute"/>
        <w:rPr>
          <w:rFonts w:ascii="宋体" w:hAnsi="宋体" w:eastAsia="宋体"/>
          <w:b/>
          <w:bCs/>
          <w:color w:val="FF0000"/>
          <w:sz w:val="84"/>
          <w:szCs w:val="84"/>
          <w:lang w:val="zh-TW" w:eastAsia="zh-TW" w:bidi="zh-TW"/>
        </w:rPr>
      </w:pPr>
      <w:r>
        <w:rPr>
          <w:rFonts w:ascii="宋体" w:hAnsi="宋体" w:eastAsia="宋体"/>
          <w:b/>
          <w:bCs/>
          <w:color w:val="FF0000"/>
          <w:sz w:val="84"/>
          <w:szCs w:val="84"/>
          <w:lang w:val="zh-TW" w:eastAsia="zh-TW" w:bidi="zh-TW"/>
        </w:rPr>
        <w:t>中国投资协会培训中心</w:t>
      </w:r>
    </w:p>
    <w:p w14:paraId="6F808971">
      <w:pPr>
        <w:keepNext w:val="0"/>
        <w:keepLines w:val="0"/>
        <w:pageBreakBefore w:val="0"/>
        <w:widowControl w:val="0"/>
        <w:tabs>
          <w:tab w:val="left" w:pos="1390"/>
          <w:tab w:val="center" w:pos="5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0" w:firstLineChars="10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/>
          <w:color w:val="000000"/>
          <w:sz w:val="30"/>
          <w:szCs w:val="30"/>
          <w:lang w:val="zh-TW" w:eastAsia="zh-TW" w:bidi="zh-TW"/>
        </w:rPr>
        <w:t>中投协培〔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val="zh-TW" w:eastAsia="zh-TW" w:bidi="zh-TW"/>
        </w:rPr>
        <w:t>202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bidi="zh-TW"/>
        </w:rPr>
        <w:t>4</w:t>
      </w:r>
      <w:r>
        <w:rPr>
          <w:rFonts w:ascii="宋体" w:hAnsi="宋体" w:eastAsia="宋体"/>
          <w:color w:val="000000"/>
          <w:sz w:val="30"/>
          <w:szCs w:val="30"/>
          <w:lang w:val="zh-TW" w:eastAsia="zh-TW" w:bidi="zh-TW"/>
        </w:rPr>
        <w:t>〕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 w:bidi="zh-TW"/>
        </w:rPr>
        <w:t>9</w:t>
      </w:r>
      <w:r>
        <w:rPr>
          <w:rFonts w:ascii="宋体" w:hAnsi="宋体" w:eastAsia="宋体"/>
          <w:color w:val="000000"/>
          <w:sz w:val="30"/>
          <w:szCs w:val="30"/>
          <w:lang w:val="zh-TW" w:eastAsia="zh-TW" w:bidi="zh-TW"/>
        </w:rPr>
        <w:t>号</w:t>
      </w:r>
    </w:p>
    <w:p w14:paraId="4D42F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280" w:hangingChars="1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ge">
                  <wp:posOffset>2240280</wp:posOffset>
                </wp:positionV>
                <wp:extent cx="5838825" cy="0"/>
                <wp:effectExtent l="0" t="19050" r="9525" b="190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1pt;margin-top:176.4pt;height:0pt;width:459.75pt;mso-position-vertical-relative:page;z-index:251659264;mso-width-relative:page;mso-height-relative:page;" filled="f" stroked="t" coordsize="21600,21600" o:gfxdata="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sn/gDYAAAACQEAAA8AAAAAAAAAAQAgAAAAIgAAAGRy&#10;cy9kb3ducmV2LnhtbFBLAQIUABQAAAAIAIdO4kBRymcsBQIAAPcDAAAOAAAAAAAAAAEAIAAAACcB&#10;AABkcnMvZTJvRG9jLnhtbFBLBQYAAAAABgAGAFkBAACe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5A3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321" w:hangingChars="1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关于举办“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构建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EPC项目设计、招采、施工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深度融合的大商务格局</w:t>
      </w:r>
      <w:r>
        <w:rPr>
          <w:rFonts w:hint="eastAsia" w:cs="仿宋"/>
          <w:b/>
          <w:bCs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提高三次经营创效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落地实操能力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”专题培训班的通知</w:t>
      </w:r>
    </w:p>
    <w:p w14:paraId="5C0F00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5FE88F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baseline"/>
        <w:outlineLvl w:val="0"/>
        <w:rPr>
          <w:rFonts w:hint="eastAsia" w:ascii="仿宋" w:hAnsi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36"/>
          <w:lang w:val="en-US" w:eastAsia="zh-CN"/>
        </w:rPr>
        <w:t>各有关单位：</w:t>
      </w:r>
    </w:p>
    <w:p w14:paraId="0BF137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baseline"/>
        <w:outlineLvl w:val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“十四五”建筑业发展规划指出大力推行工程总承包模式，鼓励我国建筑企业参与共建“一带一路”，支持工程总承包单位做优做强，提高工程总承包单位项目管理、资源配置、风险管控等综合服务能力。工程总承包是企业适应建筑行业新时代的必然之选，走出去的必由之路，实现高质量发展的重要之举。</w:t>
      </w:r>
    </w:p>
    <w:p w14:paraId="3DD30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现在的政府投资项目，基本都是采用工程总承包模式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对于施工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、设计单位、咨询单位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来说，能否胜任工程总承包模式，直接关系到企业的生存和发展。</w:t>
      </w:r>
    </w:p>
    <w:p w14:paraId="0D22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工程总承包模式反映了市场专业化分工趋势和风险规避要求，并促进建筑业改革不断迈上新的台阶。EPC</w:t>
      </w:r>
      <w:r>
        <w:rPr>
          <w:rFonts w:hint="eastAsia"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设计变更、人工材料涨价、计价纠纷、工程款纠纷、结算审计与财政评审等等各类EPC项目造价问题严重困扰着各参建方，如何在造价层面予以防范？避免不必要的损失！以及产生纠纷后如何有效处理？EPC项目工程造价有哪些新特点？EPC合同纠纷的计价与结算审计有哪些热点与难点问题？如何确定EPC项目造价？这都是在EPC工程实践中</w:t>
      </w:r>
      <w:r>
        <w:rPr>
          <w:rFonts w:hint="eastAsia"/>
          <w:color w:val="000000"/>
          <w:sz w:val="28"/>
          <w:szCs w:val="28"/>
          <w:lang w:val="en-US" w:eastAsia="zh-CN"/>
        </w:rPr>
        <w:t>亟须掌握</w:t>
      </w: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的重中之重。</w:t>
      </w:r>
    </w:p>
    <w:p w14:paraId="3B8C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为实现各方合作共赢，中国投资协会</w:t>
      </w:r>
      <w:r>
        <w:rPr>
          <w:rFonts w:hint="eastAsia"/>
          <w:color w:val="000000"/>
          <w:sz w:val="28"/>
          <w:szCs w:val="28"/>
          <w:lang w:val="en-US" w:eastAsia="zh-CN"/>
        </w:rPr>
        <w:t>培训中心</w:t>
      </w: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决定举办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“构建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EPC项目设计、</w:t>
      </w:r>
      <w:r>
        <w:rPr>
          <w:rFonts w:hint="eastAsia" w:cs="仿宋"/>
          <w:b/>
          <w:bCs/>
          <w:kern w:val="0"/>
          <w:sz w:val="28"/>
          <w:szCs w:val="28"/>
          <w:lang w:val="en-US" w:eastAsia="zh-CN" w:bidi="ar"/>
        </w:rPr>
        <w:t>招采、施工深度融合的大商务格局，提高三次经营创效落地实操能力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”专题培训班</w:t>
      </w: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。现将有关事项通知如下：</w:t>
      </w:r>
    </w:p>
    <w:p w14:paraId="484C6D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baseline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一、培训内容：</w:t>
      </w:r>
    </w:p>
    <w:p w14:paraId="6008C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EPC项目达到合同目的，实现预期可得利润，是项目成功的标志。多个成功项目的经验告诉我们想做好EPC项目必须从转变观念入手，理解好合同及政策文件，用好合同、政策文件。做好全过程（投标阶段、实施阶段、竣工维保阶段）的筹划才能实现</w:t>
      </w: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预期可得利润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2A760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" w:firstLineChars="10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课程收益</w:t>
      </w:r>
      <w:r>
        <w:rPr>
          <w:rFonts w:hint="eastAsia" w:cs="仿宋"/>
          <w:b/>
          <w:bCs/>
          <w:kern w:val="2"/>
          <w:sz w:val="28"/>
          <w:szCs w:val="28"/>
          <w:lang w:val="en-US" w:eastAsia="zh-CN" w:bidi="ar-SA"/>
        </w:rPr>
        <w:t>：</w:t>
      </w:r>
    </w:p>
    <w:p w14:paraId="7FC22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leftChars="100" w:firstLine="0" w:firstLineChars="0"/>
        <w:jc w:val="left"/>
        <w:textAlignment w:val="auto"/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.如何构建设计、招采、施工深度融合的大商务格局</w:t>
      </w:r>
    </w:p>
    <w:p w14:paraId="7A35B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leftChars="100" w:firstLine="0" w:firstLineChars="0"/>
        <w:jc w:val="left"/>
        <w:textAlignment w:val="auto"/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2.三次经营的要点及落地实操方法</w:t>
      </w:r>
    </w:p>
    <w:p w14:paraId="5FD6F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leftChars="1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掌握EPC模式下常见风险及如何应对</w:t>
      </w:r>
    </w:p>
    <w:p w14:paraId="7729D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leftChars="1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掌握合同管理与风险控制（落实过程结算）</w:t>
      </w:r>
    </w:p>
    <w:p w14:paraId="2ECEE6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leftChars="1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掌握EPC模式下财政审计</w:t>
      </w: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方法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及应对</w:t>
      </w:r>
    </w:p>
    <w:p w14:paraId="52A6AC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leftChars="1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掌握如何催收工程款</w:t>
      </w:r>
    </w:p>
    <w:p w14:paraId="46878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leftChars="1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掌握相关法律条款</w:t>
      </w:r>
    </w:p>
    <w:p w14:paraId="4279D481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jc w:val="both"/>
        <w:textAlignment w:val="auto"/>
        <w:rPr>
          <w:rFonts w:hint="eastAsia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第一部分</w:t>
      </w:r>
      <w:r>
        <w:rPr>
          <w:rFonts w:hint="eastAsia" w:cs="仿宋"/>
          <w:b/>
          <w:bCs/>
          <w:kern w:val="2"/>
          <w:sz w:val="28"/>
          <w:szCs w:val="28"/>
          <w:lang w:val="en-US" w:eastAsia="zh-CN" w:bidi="ar-SA"/>
        </w:rPr>
        <w:t>：EPC项目合约风险/结算审计/工程款催收管理实务</w:t>
      </w:r>
    </w:p>
    <w:p w14:paraId="5B240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开篇分享：从审计思路看EPC项目结算风险防范</w:t>
      </w:r>
    </w:p>
    <w:p w14:paraId="54325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1" w:hanging="281" w:hanging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EPC工程总承包实施条件与合约风险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为什么要关注项目实施条件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项目实施条件的定义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项目实施条件管理要求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EPC项目主要风险表现形式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EPC项目风险防范五大要点</w:t>
      </w:r>
    </w:p>
    <w:p w14:paraId="7F7F6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EPC项目合同管理与风险防范</w:t>
      </w:r>
    </w:p>
    <w:p w14:paraId="4ED7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如何定义“好合同”</w:t>
      </w:r>
    </w:p>
    <w:p w14:paraId="7097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如何掌握合同</w:t>
      </w:r>
    </w:p>
    <w:p w14:paraId="67A6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合同签约阶段必须谈的风险点</w:t>
      </w:r>
    </w:p>
    <w:p w14:paraId="7A9D3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合同条款风险识别与规避</w:t>
      </w:r>
    </w:p>
    <w:p w14:paraId="46D5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如何应对霸王条款</w:t>
      </w:r>
    </w:p>
    <w:p w14:paraId="01C3E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如何利用合同管理合作方</w:t>
      </w:r>
    </w:p>
    <w:p w14:paraId="581A0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案例分享：看看这份合同存在哪些风险以及如何应对</w:t>
      </w:r>
    </w:p>
    <w:p w14:paraId="326D2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竣工结算疑难法律问题与解决办法</w:t>
      </w:r>
    </w:p>
    <w:p w14:paraId="40EC0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发包人合同结算条款的拟定和审查方法</w:t>
      </w:r>
    </w:p>
    <w:p w14:paraId="692E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1.发包人送审价条款的应对</w:t>
      </w:r>
    </w:p>
    <w:p w14:paraId="78A2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2.发包人合同价格形式条款的管控</w:t>
      </w:r>
    </w:p>
    <w:p w14:paraId="69FD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3.发包人合同价格波动条款管控</w:t>
      </w:r>
    </w:p>
    <w:p w14:paraId="52617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4.发包人签证、变更价款管控</w:t>
      </w:r>
    </w:p>
    <w:p w14:paraId="7915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竣工结算概述：发承包的公平与效率</w:t>
      </w:r>
    </w:p>
    <w:p w14:paraId="63597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1.竣工结算申请的法律理解：要约承诺</w:t>
      </w:r>
    </w:p>
    <w:p w14:paraId="25931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2.竣工结算审核的主体和后果</w:t>
      </w:r>
    </w:p>
    <w:p w14:paraId="62884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3.甩项竣工协议的法律性质</w:t>
      </w:r>
    </w:p>
    <w:p w14:paraId="2A3D8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4.最终结清与索赔结算事项</w:t>
      </w:r>
    </w:p>
    <w:p w14:paraId="3A92E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承包人竣工结算编制的方法及技巧</w:t>
      </w:r>
    </w:p>
    <w:p w14:paraId="05F73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1.全面收集证据资料的方法</w:t>
      </w:r>
    </w:p>
    <w:p w14:paraId="465FF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2.全面整理结算索赔事项</w:t>
      </w:r>
    </w:p>
    <w:p w14:paraId="6B2A0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（四）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发包人对结算价款审查的注意要点</w:t>
      </w:r>
    </w:p>
    <w:p w14:paraId="67E1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1.关注审减费的约定</w:t>
      </w:r>
    </w:p>
    <w:p w14:paraId="57CB5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2.准确理解委托结算的法律性质</w:t>
      </w:r>
    </w:p>
    <w:p w14:paraId="54EC9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3.按约结算是最高原则</w:t>
      </w:r>
    </w:p>
    <w:p w14:paraId="7BF6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4.送审资料的准确完整由委托人负责</w:t>
      </w:r>
    </w:p>
    <w:p w14:paraId="0DAB0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5.背靠背条款的逻辑判断与价值取舍</w:t>
      </w:r>
    </w:p>
    <w:p w14:paraId="36F3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答疑分享：</w:t>
      </w:r>
    </w:p>
    <w:p w14:paraId="40848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EPC项目合同中提到“招标定价”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这是指什么价格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如果施工图预算超过此价格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增加的费用由承包人自行承担吗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？</w:t>
      </w:r>
    </w:p>
    <w:p w14:paraId="5EE0E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地方财政部门的内部价格文件是否必须执行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？</w:t>
      </w:r>
    </w:p>
    <w:p w14:paraId="71D4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财政部门要求在初步设计批准后以图纸编制预算控制价进行招标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并签订暂定总价合同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这是否符合法规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？</w:t>
      </w:r>
    </w:p>
    <w:p w14:paraId="21B8C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财政评审后的综合单价能否作为最终结算的依据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？</w:t>
      </w:r>
    </w:p>
    <w:p w14:paraId="452C6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工程款清理催收要点</w:t>
      </w:r>
    </w:p>
    <w:p w14:paraId="6EF9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时机/方式/沟通</w:t>
      </w:r>
    </w:p>
    <w:p w14:paraId="7B067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及时、频繁和有力度</w:t>
      </w:r>
    </w:p>
    <w:p w14:paraId="2DAF0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选择合适时机，采用正确方式</w:t>
      </w:r>
    </w:p>
    <w:p w14:paraId="3F9E3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选派合适的人</w:t>
      </w:r>
    </w:p>
    <w:p w14:paraId="14938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注重沟通和随机应变能力</w:t>
      </w:r>
    </w:p>
    <w:p w14:paraId="34AC5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在理解客户方难处的同时，让客户理解己方难处</w:t>
      </w:r>
    </w:p>
    <w:p w14:paraId="7B81F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在表明“非结不可”坚决态度的同时，做到有礼有节</w:t>
      </w:r>
    </w:p>
    <w:p w14:paraId="6EA5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如何让业主心甘情愿地支付工程款</w:t>
      </w:r>
    </w:p>
    <w:p w14:paraId="4EFD7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以卓越的服务取胜，轻松收款</w:t>
      </w:r>
    </w:p>
    <w:p w14:paraId="3E09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如何处理客户抱怨，提高收款业绩</w:t>
      </w:r>
    </w:p>
    <w:p w14:paraId="56C96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利用人际关系创造差异化，优先收款</w:t>
      </w:r>
    </w:p>
    <w:p w14:paraId="0D27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活用“礼尚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来”原则，有效收款</w:t>
      </w:r>
    </w:p>
    <w:p w14:paraId="5390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运用适宜的谈判技巧，创造双赢局面</w:t>
      </w:r>
    </w:p>
    <w:p w14:paraId="5DC4B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如何对付拖欠工程款的业主</w:t>
      </w:r>
    </w:p>
    <w:p w14:paraId="370AC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如何应对业主拖延付款的借口</w:t>
      </w:r>
    </w:p>
    <w:p w14:paraId="4AB0D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如何采取针对性策略收回账款</w:t>
      </w:r>
    </w:p>
    <w:p w14:paraId="7C9A7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如何采用软硬兼施策略对付客户</w:t>
      </w:r>
    </w:p>
    <w:p w14:paraId="1B230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如何利用高压手段进行催账</w:t>
      </w:r>
    </w:p>
    <w:p w14:paraId="6D207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如何置之死地而后生</w:t>
      </w:r>
    </w:p>
    <w:p w14:paraId="33CD6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分享：催收工程款十大攻略</w:t>
      </w:r>
    </w:p>
    <w:p w14:paraId="298D6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攻略一：催收工程款应该直截了当</w:t>
      </w:r>
    </w:p>
    <w:p w14:paraId="7C8F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攻略二：在采取行动前，先弄清造成拖欠的原因</w:t>
      </w:r>
    </w:p>
    <w:p w14:paraId="673B7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......</w:t>
      </w:r>
    </w:p>
    <w:p w14:paraId="0D4DA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答疑讨论总结</w:t>
      </w:r>
    </w:p>
    <w:p w14:paraId="45A5F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第二部分：如何构建设计、招采、施工深度融合的大商务格局</w:t>
      </w:r>
    </w:p>
    <w:p w14:paraId="6A5F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一、大商务管理的概念</w:t>
      </w:r>
    </w:p>
    <w:p w14:paraId="08DD2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二、大商务管理的顶层设计</w:t>
      </w:r>
    </w:p>
    <w:p w14:paraId="5E614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第三部分：一次经营-EPC项目投标阶段的筹划</w:t>
      </w:r>
    </w:p>
    <w:p w14:paraId="4746F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投标阶段的筹划从深度解读招标文件入手，手把手教你如何找到招标文件的坑点，教会你如何避坑，做好筹划，将无限风险化解为有限风险，为项目成功打下良好基础。</w:t>
      </w:r>
    </w:p>
    <w:p w14:paraId="10BCF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深度解读招标文件，识别风险点，制定风险防范方法</w:t>
      </w:r>
    </w:p>
    <w:p w14:paraId="2A787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投标阶段筹划要点</w:t>
      </w:r>
    </w:p>
    <w:p w14:paraId="4831B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1.对照《发包人要求》明确工程总承包费用构成，划分好界面</w:t>
      </w:r>
    </w:p>
    <w:p w14:paraId="7AD4A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2.施工、设计、报价维度的项目调研的重点内容</w:t>
      </w:r>
    </w:p>
    <w:p w14:paraId="4B3F8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案例：指标数据复核</w:t>
      </w:r>
    </w:p>
    <w:p w14:paraId="2A56C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案例：勘察数据的复核</w:t>
      </w:r>
    </w:p>
    <w:p w14:paraId="48902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3.联合体协议及分工需要注意的内容</w:t>
      </w:r>
    </w:p>
    <w:p w14:paraId="6EF1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4.承包人建议书与投标报价的关系</w:t>
      </w:r>
    </w:p>
    <w:p w14:paraId="55CFC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5.明确合同形式，有针对性地进行报价筹划。</w:t>
      </w:r>
    </w:p>
    <w:p w14:paraId="760A5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目前常用的这六种计价方式（总价、平方米单价、定额、费率（下浮率）、清单、双控等计价模式）报价策略</w:t>
      </w:r>
    </w:p>
    <w:p w14:paraId="57408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案例：报价策略案例</w:t>
      </w:r>
    </w:p>
    <w:p w14:paraId="6EFDB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6.投标阶段的税务筹划及税务风险防控</w:t>
      </w:r>
    </w:p>
    <w:p w14:paraId="612A3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案例：税务筹划案例</w:t>
      </w:r>
    </w:p>
    <w:p w14:paraId="5178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7.标前成本测算的方法</w:t>
      </w:r>
    </w:p>
    <w:p w14:paraId="53B64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本章解决的疑难问题</w:t>
      </w:r>
    </w:p>
    <w:p w14:paraId="624F9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1.吃透评标办法，提高中标率</w:t>
      </w:r>
    </w:p>
    <w:p w14:paraId="19F0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2.经济标如何进行筹划，才能对结算有利</w:t>
      </w:r>
    </w:p>
    <w:p w14:paraId="73DF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3.承包人建议书，如何在响应招标文件的同时，对项目结算埋下伏笔</w:t>
      </w:r>
    </w:p>
    <w:p w14:paraId="795EA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4.《发包人要求》错误由谁来承担？</w:t>
      </w:r>
    </w:p>
    <w:p w14:paraId="17F27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5.不可预见地质条件风险由谁承担？</w:t>
      </w:r>
    </w:p>
    <w:p w14:paraId="0AB86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6.发包人提供的基础资料错误由谁来承担？</w:t>
      </w:r>
    </w:p>
    <w:p w14:paraId="1BA62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7.检验试验费由谁承担？</w:t>
      </w:r>
    </w:p>
    <w:p w14:paraId="42BA1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8.水至清则无鱼，不是所有的问题都要在招标阶段提问，教你巧妙提答疑</w:t>
      </w:r>
    </w:p>
    <w:p w14:paraId="5FFA0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9.《发包人要求》不明确时，如何制定投标报价策略</w:t>
      </w:r>
    </w:p>
    <w:p w14:paraId="6DF4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10.将无限风险化解为有限风险的策划点体现在哪里，结算的时候才能落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地</w:t>
      </w:r>
    </w:p>
    <w:p w14:paraId="1D521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11.兼营、混合销售下如何筹划才能做到报价低而利润高</w:t>
      </w:r>
    </w:p>
    <w:p w14:paraId="1D9BE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第四部分：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二次经营-EPC项目实施阶段的筹划</w:t>
      </w:r>
    </w:p>
    <w:p w14:paraId="6A457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在满足《发包人要求》的前提下，进行项目的增收节支筹划是实施阶段的重点，也是项目成功的关键。</w:t>
      </w:r>
    </w:p>
    <w:p w14:paraId="320BD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EPC项目实施阶段的增收筹划</w:t>
      </w:r>
    </w:p>
    <w:p w14:paraId="54809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1.合同风险分析</w:t>
      </w:r>
    </w:p>
    <w:p w14:paraId="3FEDD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2.接口管理</w:t>
      </w:r>
    </w:p>
    <w:p w14:paraId="5D149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（1）合同承包范围与建设单位直接分包商界面划分</w:t>
      </w:r>
    </w:p>
    <w:p w14:paraId="1E822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（2）联合体间界面划分及分工协作</w:t>
      </w:r>
    </w:p>
    <w:p w14:paraId="5826E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3.优化设计、设计优化、专项设计、深化设计</w:t>
      </w:r>
    </w:p>
    <w:p w14:paraId="6D235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（1）优化设计、设计优化、专项设计、深化设计的关系</w:t>
      </w:r>
    </w:p>
    <w:p w14:paraId="5D13A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（2）设计限额的设置</w:t>
      </w:r>
    </w:p>
    <w:p w14:paraId="1D66F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案例：设计限额计算</w:t>
      </w:r>
    </w:p>
    <w:p w14:paraId="4B51F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（3）设计优化的要点</w:t>
      </w:r>
    </w:p>
    <w:p w14:paraId="4ACB7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案例：限额设计指标划分的案例</w:t>
      </w:r>
    </w:p>
    <w:p w14:paraId="6636C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4.施工图对签约合同价的调整</w:t>
      </w:r>
    </w:p>
    <w:p w14:paraId="00AD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案例：下浮率转固的案例</w:t>
      </w:r>
    </w:p>
    <w:p w14:paraId="10783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5.合同过程调整项筹划</w:t>
      </w:r>
    </w:p>
    <w:p w14:paraId="3CCFB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（1）价差调整的要点</w:t>
      </w:r>
    </w:p>
    <w:p w14:paraId="544FE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案例：指数法调整价差的案例</w:t>
      </w:r>
    </w:p>
    <w:p w14:paraId="0DA90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（2）过程变更、签证</w:t>
      </w:r>
    </w:p>
    <w:p w14:paraId="419E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可转化成变更的项目、变更计价的原则</w:t>
      </w:r>
    </w:p>
    <w:p w14:paraId="6B5A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案例：总价合同过程变更的案例</w:t>
      </w:r>
    </w:p>
    <w:p w14:paraId="108C7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（3）过程索赔</w:t>
      </w:r>
    </w:p>
    <w:p w14:paraId="6BD43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可以索赔的机会点、避免索赔失权的方法</w:t>
      </w:r>
    </w:p>
    <w:p w14:paraId="70AC1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（4）基准日后的法律和标准变化</w:t>
      </w:r>
    </w:p>
    <w:p w14:paraId="0810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项目实施降本筹划</w:t>
      </w:r>
    </w:p>
    <w:p w14:paraId="657C5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1.精益化成本管控的底层逻辑</w:t>
      </w:r>
    </w:p>
    <w:p w14:paraId="0FF5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（1）精益化成本管控的概念</w:t>
      </w:r>
    </w:p>
    <w:p w14:paraId="2AC27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（2）成本管控的难点分析</w:t>
      </w:r>
    </w:p>
    <w:p w14:paraId="4178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（3）成本管控的底层逻辑</w:t>
      </w:r>
    </w:p>
    <w:p w14:paraId="58A3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2.EPC项目的降本增收筹划</w:t>
      </w:r>
    </w:p>
    <w:p w14:paraId="509F4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（1）业务创效</w:t>
      </w:r>
    </w:p>
    <w:p w14:paraId="4C15F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（2）技术创效</w:t>
      </w:r>
    </w:p>
    <w:p w14:paraId="72EA2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（3）管理创效</w:t>
      </w:r>
    </w:p>
    <w:p w14:paraId="10FB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3.EPC项目实施阶段的降本实施方法</w:t>
      </w:r>
    </w:p>
    <w:p w14:paraId="1CC9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（1）目标成本及税务筹划案例</w:t>
      </w:r>
    </w:p>
    <w:p w14:paraId="7F4F3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（2）合约规划</w:t>
      </w:r>
    </w:p>
    <w:p w14:paraId="23239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合同类型选择：</w:t>
      </w:r>
    </w:p>
    <w:p w14:paraId="3AF2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①分包分供合同界面划分</w:t>
      </w:r>
    </w:p>
    <w:p w14:paraId="5AFEE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案例：劳务合同分工分界案例</w:t>
      </w:r>
    </w:p>
    <w:p w14:paraId="3F9AD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②分包分供合同要点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 w14:paraId="4BD5A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A.劳务、材料、机械租赁、专业分包合同要点</w:t>
      </w:r>
    </w:p>
    <w:p w14:paraId="216FB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案例：劳务、材料、机械租赁、专业分包合同案例</w:t>
      </w:r>
    </w:p>
    <w:p w14:paraId="538C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（3）成本要素过程管控</w:t>
      </w:r>
    </w:p>
    <w:p w14:paraId="23A59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人工费管控方法、材料费管控方法、机械费管控方法、专业分包费用管控方法、间接费管控方法）</w:t>
      </w:r>
    </w:p>
    <w:p w14:paraId="772DA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（4）成本核算</w:t>
      </w:r>
    </w:p>
    <w:p w14:paraId="0DC3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1）一般计税项目的成本核算方法</w:t>
      </w:r>
    </w:p>
    <w:p w14:paraId="20954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2）里程碑节点成本核算</w:t>
      </w:r>
    </w:p>
    <w:p w14:paraId="1396E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①里程碑节点成本核算原则</w:t>
      </w:r>
    </w:p>
    <w:p w14:paraId="52905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②里程碑节点收入核算方法</w:t>
      </w:r>
    </w:p>
    <w:p w14:paraId="14EF0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③里程碑节点成本核算方法</w:t>
      </w:r>
    </w:p>
    <w:p w14:paraId="2F4B9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A.人工费核算方法、B.材料费核算方法、C.机械费核算方法、D.专业分包费用核算方法、E.间接费核算方法、F.增值税核算方法）</w:t>
      </w:r>
    </w:p>
    <w:p w14:paraId="1689F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案例：成本核算案例</w:t>
      </w:r>
    </w:p>
    <w:p w14:paraId="79DDF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（5）成本动态管控方法</w:t>
      </w:r>
    </w:p>
    <w:p w14:paraId="36BE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（三算对比的方法、收入的动态管控方法、成本的动态管控方法）</w:t>
      </w:r>
    </w:p>
    <w:p w14:paraId="5471F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（6）成本要素的全过程成本管控案例</w:t>
      </w:r>
    </w:p>
    <w:p w14:paraId="59B2C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（7）工程款支付管理</w:t>
      </w:r>
    </w:p>
    <w:p w14:paraId="31DA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（预付款管理、进度款管理、结算款支付管理、保修款支付管理、资金计划编制、逾期支付的资金成本计算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）</w:t>
      </w:r>
    </w:p>
    <w:p w14:paraId="7F64F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本章解决的疑难问题</w:t>
      </w:r>
    </w:p>
    <w:p w14:paraId="6D115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1.如何通过接口管理明确施工范围，进行有效界面划分</w:t>
      </w:r>
    </w:p>
    <w:p w14:paraId="1D6F1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2.运用价值工程做好二阶段限额设计，让项目不超概？</w:t>
      </w:r>
    </w:p>
    <w:p w14:paraId="18384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3.如果项目超概了，如何进行有效应对，化解风险</w:t>
      </w:r>
    </w:p>
    <w:p w14:paraId="20BC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4.优化设计从哪些方面入手，造价人员、施工人员如何配合</w:t>
      </w:r>
    </w:p>
    <w:p w14:paraId="296A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5.如何设置扁平化的EPC项目的管理体系，让设计和施工不再是两张皮</w:t>
      </w:r>
    </w:p>
    <w:p w14:paraId="5504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6.联合体标后协议，必须明确的9大问题，让联合体内部责权分明不再扯皮</w:t>
      </w:r>
    </w:p>
    <w:p w14:paraId="2454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7.充分利用合同可调整项约定，制定符合合同约定的共赢增收策略，经得起财评和审计</w:t>
      </w:r>
    </w:p>
    <w:p w14:paraId="17DCD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8.暂估价二次招标，控制价能超原清单价吗</w:t>
      </w:r>
    </w:p>
    <w:p w14:paraId="5A8AB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9.甲方要求更换材料品牌，乙方如何调整价格</w:t>
      </w:r>
    </w:p>
    <w:p w14:paraId="077BC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10.收到预付款，没有进项抵扣怎么办</w:t>
      </w:r>
    </w:p>
    <w:p w14:paraId="23505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.合同约定按照财评的价格下浮，财评的规则是什么</w:t>
      </w:r>
    </w:p>
    <w:p w14:paraId="1D69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.EPC项目招标清单漏项费用，谁来承担</w:t>
      </w:r>
    </w:p>
    <w:p w14:paraId="286C5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.费率合同，还需要进行限额设计吗</w:t>
      </w:r>
    </w:p>
    <w:p w14:paraId="0CB7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.定额计价方式，如何应对现有定额内缺项子目问题</w:t>
      </w:r>
    </w:p>
    <w:p w14:paraId="6E1A5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.图审后优化，算变更吗</w:t>
      </w:r>
    </w:p>
    <w:p w14:paraId="22D9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.下浮率合同形式下浮的基数是什么？认质认价、专业暂估、安文费、规费、税金能下浮吗</w:t>
      </w:r>
    </w:p>
    <w:p w14:paraId="39E4C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.如何列项目的无效成本清单，根据无效成本产生节点设置管控节点</w:t>
      </w:r>
    </w:p>
    <w:p w14:paraId="2F891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.如果准确进行里程碑节点成本核算，精准地找到成本管控的跑冒滴漏，及时防范</w:t>
      </w:r>
    </w:p>
    <w:p w14:paraId="6DCDB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.如何通过合约规划降低成本</w:t>
      </w:r>
    </w:p>
    <w:p w14:paraId="1BD9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.如何通过分包分供的来分散风险，合同条款怎么写才能有效</w:t>
      </w:r>
    </w:p>
    <w:p w14:paraId="7FBFE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.如何通过税务筹划降低成本</w:t>
      </w:r>
    </w:p>
    <w:p w14:paraId="72326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第五部分：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三次经营-EPC项目竣工维保阶段的筹划</w:t>
      </w:r>
    </w:p>
    <w:p w14:paraId="60D71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竣工收尾阶段及时锁定成本，为结算报审策略制定提供参考。切实可行的结算策划是项目成功的关键，结算报审时合理设置必争项、公关项、筹码项，让结算谈判进退有度，有效地缩短结算周期，加速资金周转，将项目所创的效益落到实处，做到颗粒归仓。</w:t>
      </w:r>
    </w:p>
    <w:p w14:paraId="2C7F4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验收交付</w:t>
      </w:r>
    </w:p>
    <w:p w14:paraId="7FEC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1.竣工验收流程</w:t>
      </w:r>
    </w:p>
    <w:p w14:paraId="28728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2.开工时间认定</w:t>
      </w:r>
    </w:p>
    <w:p w14:paraId="1DAE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3.竣工时间认定</w:t>
      </w:r>
    </w:p>
    <w:p w14:paraId="59FA9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4.工期延误的认定</w:t>
      </w:r>
    </w:p>
    <w:p w14:paraId="3910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竣工结算筹划</w:t>
      </w:r>
    </w:p>
    <w:p w14:paraId="62A69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1.结算报审流程</w:t>
      </w:r>
    </w:p>
    <w:p w14:paraId="27EFF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2.六种计价形式的结算要点</w:t>
      </w:r>
    </w:p>
    <w:p w14:paraId="4DAB5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案例：结算策划的案例</w:t>
      </w:r>
    </w:p>
    <w:p w14:paraId="502F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3.财评项目注意问题</w:t>
      </w:r>
    </w:p>
    <w:p w14:paraId="59658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4.解除合同的结算</w:t>
      </w:r>
    </w:p>
    <w:p w14:paraId="69012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5.争议问题的解决</w:t>
      </w:r>
    </w:p>
    <w:p w14:paraId="5CA0B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EPC项目成本封口</w:t>
      </w:r>
    </w:p>
    <w:p w14:paraId="0CEFC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分包分供合同结算要点</w:t>
      </w:r>
    </w:p>
    <w:p w14:paraId="3255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税率调整下的结算</w:t>
      </w:r>
    </w:p>
    <w:p w14:paraId="5D5E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成本封口</w:t>
      </w:r>
    </w:p>
    <w:p w14:paraId="5106F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维保注意的问题</w:t>
      </w:r>
    </w:p>
    <w:p w14:paraId="2643A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本章解决的疑难问题</w:t>
      </w:r>
    </w:p>
    <w:p w14:paraId="51BF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1.完整的结算资料包括哪些内容？</w:t>
      </w:r>
    </w:p>
    <w:p w14:paraId="699E5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2.竣工结算报告怎么写？</w:t>
      </w:r>
    </w:p>
    <w:p w14:paraId="36123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3.财评项目要准备哪些报审资料？</w:t>
      </w:r>
    </w:p>
    <w:p w14:paraId="2291C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4.结算报审时如何设置必争项、公关项、筹码项？</w:t>
      </w:r>
    </w:p>
    <w:p w14:paraId="61FF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5.工期延误过程中甲方没有确认，如何认定？</w:t>
      </w:r>
    </w:p>
    <w:p w14:paraId="7F9E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6.开工时间有争议，如何认定？</w:t>
      </w:r>
    </w:p>
    <w:p w14:paraId="2DE6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7.竣工时间有争议，如何认定？</w:t>
      </w:r>
    </w:p>
    <w:p w14:paraId="7BD8F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8.竣工后试验达不到《发包人要求》，如何应对？</w:t>
      </w:r>
    </w:p>
    <w:p w14:paraId="2E364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9.遇到甲方拖延审计怎么办？</w:t>
      </w:r>
    </w:p>
    <w:p w14:paraId="53F6C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10.发包人不签收结算资料怎么办？</w:t>
      </w:r>
    </w:p>
    <w:p w14:paraId="0EDD4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11.按旧定额签合同，审计按新定额结算是否合规？</w:t>
      </w:r>
    </w:p>
    <w:p w14:paraId="07CF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12.合同解除时已完工程如何计价、临时如何折算费用？</w:t>
      </w:r>
    </w:p>
    <w:p w14:paraId="322F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13.总价合同，审计方能否将总价打开，按照施工图重新计算？</w:t>
      </w:r>
    </w:p>
    <w:p w14:paraId="41A82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第六部分：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EPC项目后评价</w:t>
      </w:r>
    </w:p>
    <w:p w14:paraId="418A1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通过项目后评价的形式，对项目实施全过程进行充分、全面、系统地回顾和总结，总结项目管理过程中的各种教训和实施中获取的宝贵管理经验，对提高项目投标的成功率、加强项目内部控制、风险管控、提高盈利水平和项目管理水平具有重要意义。</w:t>
      </w:r>
    </w:p>
    <w:p w14:paraId="710F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成功经验和失败教训总结</w:t>
      </w:r>
    </w:p>
    <w:p w14:paraId="70076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可推广管理经验总结</w:t>
      </w:r>
    </w:p>
    <w:p w14:paraId="77A7D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增收节支的案例</w:t>
      </w:r>
    </w:p>
    <w:p w14:paraId="2B342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数据分析</w:t>
      </w:r>
    </w:p>
    <w:p w14:paraId="5D77B0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培训师资介绍：</w:t>
      </w:r>
    </w:p>
    <w:p w14:paraId="3CD85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张老师：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建筑业工程综合管理与成本管控专家一级建造师，一级造价师，多家工程企业特聘顾问，在15年的建筑企业经历和5年甲方从业经历以及8年全过程工程咨询管理公司工作经历中，建筑工程领域不可多得的实战派工程管理及成本管理专家。是一位从一线工程师、项目经理、公司副总（经营与工程）、epc工程总承包经理、全过程咨询等成长起来的实战专家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。</w:t>
      </w:r>
    </w:p>
    <w:p w14:paraId="78367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textAlignment w:val="auto"/>
        <w:rPr>
          <w:rFonts w:hint="default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李老师：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29年施工企业+6年咨询企业工作经历，具备一级注册造价师，高级经济师职称，现为中国建设工程造价管理协会师资库专家、河南争议评审中心专家库专家、重庆施工成本控制专业委员会专家。</w:t>
      </w: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有着多个大型项目的商务管控实操经验。</w:t>
      </w:r>
    </w:p>
    <w:p w14:paraId="32E7B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三、培训对象</w:t>
      </w:r>
    </w:p>
    <w:p w14:paraId="616E8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各地政府建设项目主管部门，各业主、施工、设计等相关单位从事项目管理、合同管理、工程项目建设、开发、成本造价、审计等相关部门人员，参与EPC项目管理的所有管理者。</w:t>
      </w:r>
    </w:p>
    <w:p w14:paraId="3B195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四、时间及地点</w:t>
      </w:r>
    </w:p>
    <w:p w14:paraId="7D570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09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25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日-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09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日（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25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日报到）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北京市</w:t>
      </w:r>
    </w:p>
    <w:p w14:paraId="0380B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日-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02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日（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日报到）</w:t>
      </w: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杭州市</w:t>
      </w:r>
    </w:p>
    <w:p w14:paraId="0E5EE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五、培训费用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ab/>
      </w:r>
    </w:p>
    <w:p w14:paraId="068B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培训费：3800元/人（费用含会务费、资料费、午餐费）</w:t>
      </w:r>
    </w:p>
    <w:p w14:paraId="0C5C5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培训期满：</w:t>
      </w:r>
      <w:r>
        <w:rPr>
          <w:rFonts w:hint="eastAsia" w:cs="仿宋"/>
          <w:bCs/>
          <w:color w:val="auto"/>
          <w:kern w:val="2"/>
          <w:sz w:val="28"/>
          <w:szCs w:val="28"/>
          <w:lang w:val="en-US" w:eastAsia="zh-CN" w:bidi="ar-SA"/>
        </w:rPr>
        <w:t>由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中国投资协会培训中心颁发结业证书。</w:t>
      </w:r>
    </w:p>
    <w:p w14:paraId="40170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、报名办法及联系方式</w:t>
      </w:r>
    </w:p>
    <w:p w14:paraId="586D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firstLine="0" w:firstLineChars="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请参加培训班同志认真填写报名回执表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通过传真或电子邮件发至会务组。</w:t>
      </w:r>
    </w:p>
    <w:p w14:paraId="65473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firstLine="0" w:firstLineChars="0"/>
        <w:textAlignment w:val="auto"/>
        <w:rPr>
          <w:rFonts w:hint="eastAsia" w:cs="仿宋"/>
          <w:bCs/>
          <w:sz w:val="28"/>
          <w:szCs w:val="28"/>
          <w:lang w:val="en-US" w:eastAsia="zh-CN"/>
        </w:rPr>
      </w:pPr>
      <w:permStart w:id="0" w:edGrp="everyone"/>
      <w:r>
        <w:rPr>
          <w:rFonts w:hint="eastAsia" w:ascii="仿宋" w:hAnsi="仿宋" w:eastAsia="仿宋" w:cs="仿宋"/>
          <w:bCs/>
          <w:sz w:val="28"/>
          <w:szCs w:val="28"/>
        </w:rPr>
        <w:t>联 系 人：</w:t>
      </w:r>
      <w:r>
        <w:rPr>
          <w:rFonts w:hint="eastAsia"/>
        </w:rPr>
        <w:t>聂红军</w:t>
      </w:r>
    </w:p>
    <w:p w14:paraId="3F232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firstLine="0" w:firstLineChars="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联系电话：</w:t>
      </w:r>
      <w:r>
        <w:rPr>
          <w:rFonts w:hint="eastAsia"/>
        </w:rPr>
        <w:t>13141289128  18211071700</w:t>
      </w:r>
      <w:r>
        <w:rPr>
          <w:rFonts w:hint="eastAsia" w:cs="仿宋"/>
          <w:bCs/>
          <w:sz w:val="28"/>
          <w:szCs w:val="28"/>
          <w:lang w:val="en-US" w:eastAsia="zh-CN"/>
        </w:rPr>
        <w:t>（微信）</w:t>
      </w:r>
    </w:p>
    <w:p w14:paraId="4F9B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firstLine="0" w:firstLineChars="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    箱：</w:t>
      </w:r>
      <w:r>
        <w:rPr>
          <w:rFonts w:hint="eastAsia"/>
        </w:rPr>
        <w:t>470882753</w:t>
      </w:r>
      <w:r>
        <w:rPr>
          <w:rFonts w:hint="eastAsia" w:cs="仿宋"/>
          <w:bCs/>
          <w:sz w:val="28"/>
          <w:szCs w:val="28"/>
          <w:lang w:val="en-US" w:eastAsia="zh-CN"/>
        </w:rPr>
        <w:t>@qq.com</w:t>
      </w:r>
    </w:p>
    <w:permEnd w:id="0"/>
    <w:p w14:paraId="3998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firstLine="0" w:firstLineChars="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189865</wp:posOffset>
            </wp:positionV>
            <wp:extent cx="1524000" cy="1496695"/>
            <wp:effectExtent l="0" t="0" r="0" b="8255"/>
            <wp:wrapNone/>
            <wp:docPr id="1" name="图片 1" descr="中投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投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培训中心监督电话</w:t>
      </w:r>
      <w:r>
        <w:rPr>
          <w:rFonts w:hint="eastAsia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010-63361773     许桂荣</w:t>
      </w:r>
    </w:p>
    <w:p w14:paraId="5BAB0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firstLine="0" w:firstLineChars="0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通讯地址：北京市复兴路2号院A座</w:t>
      </w:r>
    </w:p>
    <w:p w14:paraId="7A381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firstLine="0" w:firstLineChars="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邮政编码：100038    </w:t>
      </w:r>
    </w:p>
    <w:p w14:paraId="368FD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附件：报名回执表</w:t>
      </w:r>
      <w:r>
        <w:rPr>
          <w:rFonts w:hint="eastAsia" w:cs="仿宋"/>
          <w:bCs/>
          <w:sz w:val="28"/>
          <w:szCs w:val="28"/>
          <w:lang w:val="en-US" w:eastAsia="zh-CN"/>
        </w:rPr>
        <w:t xml:space="preserve">                             中国投资协会培训中心</w:t>
      </w:r>
    </w:p>
    <w:p w14:paraId="746ED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default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 w:eastAsia="zh-CN"/>
        </w:rPr>
        <w:t xml:space="preserve">                                               2024年8月21日</w:t>
      </w:r>
    </w:p>
    <w:p w14:paraId="00A5E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default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0754009F">
      <w:pPr>
        <w:spacing w:line="400" w:lineRule="exact"/>
        <w:rPr>
          <w:rFonts w:hint="eastAsia" w:ascii="仿宋" w:hAnsi="仿宋" w:eastAsia="仿宋" w:cs="仿宋"/>
          <w:b/>
          <w:sz w:val="28"/>
          <w:szCs w:val="28"/>
        </w:rPr>
      </w:pPr>
    </w:p>
    <w:p w14:paraId="4401A411">
      <w:pPr>
        <w:keepNext w:val="0"/>
        <w:keepLines w:val="0"/>
        <w:pageBreakBefore w:val="0"/>
        <w:widowControl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pacing w:after="159" w:afterLines="50" w:afterAutospacing="0" w:line="360" w:lineRule="exact"/>
        <w:ind w:left="2531" w:leftChars="0" w:hanging="2531" w:hangingChars="900"/>
        <w:jc w:val="both"/>
        <w:rPr>
          <w:rFonts w:ascii="仿宋" w:hAnsi="Times New Roman" w:eastAsia="仿宋" w:cs="仿宋"/>
          <w:b/>
          <w:bCs/>
          <w:kern w:val="2"/>
          <w:sz w:val="32"/>
          <w:szCs w:val="32"/>
          <w:lang w:val="en-US" w:eastAsia="zh-CN" w:bidi="ar-SA"/>
        </w:rPr>
      </w:pPr>
      <w:permStart w:id="1" w:edGrp="everyone"/>
      <w:r>
        <w:rPr>
          <w:rFonts w:hint="eastAsia" w:ascii="仿宋" w:hAnsi="Times New Roman" w:eastAsia="仿宋" w:cs="仿宋"/>
          <w:b/>
          <w:bCs/>
          <w:color w:val="000000"/>
          <w:spacing w:val="-20"/>
          <w:kern w:val="2"/>
          <w:sz w:val="32"/>
          <w:szCs w:val="32"/>
          <w:lang w:val="en-US" w:eastAsia="zh-CN" w:bidi="ar-SA"/>
        </w:rPr>
        <w:t>“构建EPC项目设计、招采、施工深度融合的大商务格局、提高三次经营创效落地实操能力”专题培训班</w:t>
      </w:r>
      <w:r>
        <w:rPr>
          <w:rFonts w:hint="eastAsia" w:ascii="仿宋" w:hAnsi="Times New Roman" w:eastAsia="仿宋" w:cs="仿宋"/>
          <w:b/>
          <w:bCs/>
          <w:kern w:val="2"/>
          <w:sz w:val="32"/>
          <w:szCs w:val="32"/>
          <w:lang w:val="en-US" w:eastAsia="zh-CN" w:bidi="ar-SA"/>
        </w:rPr>
        <w:t>回执表</w:t>
      </w:r>
    </w:p>
    <w:tbl>
      <w:tblPr>
        <w:tblStyle w:val="10"/>
        <w:tblW w:w="95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45"/>
        <w:gridCol w:w="330"/>
        <w:gridCol w:w="330"/>
        <w:gridCol w:w="840"/>
        <w:gridCol w:w="1200"/>
        <w:gridCol w:w="765"/>
        <w:gridCol w:w="870"/>
        <w:gridCol w:w="540"/>
        <w:gridCol w:w="555"/>
        <w:gridCol w:w="750"/>
        <w:gridCol w:w="1395"/>
      </w:tblGrid>
      <w:tr w14:paraId="3D0F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4044">
            <w:pPr>
              <w:widowControl/>
              <w:spacing w:beforeAutospacing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5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849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C6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行业类别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FDF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29F5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AE23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462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6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E51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953E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6A5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71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9C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896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41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76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67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F90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634B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AA9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电话/区号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CAF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0D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传真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D09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66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4A0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669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A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代表姓名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1F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0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4A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21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D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9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649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25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56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220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33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5F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DB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C95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E7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5EF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567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46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7A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21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39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766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8CDCC75"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E14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20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05B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7E9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818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1AC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94C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A58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C13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83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F50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44D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EA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9ED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EEF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A7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A8D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02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17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25C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81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44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B6F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433C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41A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D2C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5CF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CDF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9DC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9A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EC5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4A4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DEF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发票要求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3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□增值税普通发票               □增值税专用发票</w:t>
            </w:r>
          </w:p>
        </w:tc>
      </w:tr>
      <w:tr w14:paraId="6619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BA5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   点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E65E">
            <w:pPr>
              <w:widowControl/>
              <w:tabs>
                <w:tab w:val="left" w:pos="5289"/>
              </w:tabs>
              <w:ind w:firstLine="2400" w:firstLineChars="10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杭州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</w:p>
        </w:tc>
      </w:tr>
      <w:tr w14:paraId="23BF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23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757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E8D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1.开票名称：</w:t>
            </w:r>
          </w:p>
          <w:p w14:paraId="62A09AD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2.纳税人识别号：</w:t>
            </w:r>
          </w:p>
          <w:p w14:paraId="476D6D8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3.地址、电话：</w:t>
            </w:r>
          </w:p>
          <w:p w14:paraId="2833B86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4.开户行及账号：</w:t>
            </w:r>
          </w:p>
        </w:tc>
      </w:tr>
      <w:tr w14:paraId="48843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DC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专票请填写</w:t>
            </w:r>
          </w:p>
          <w:p w14:paraId="46391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1-4全部信息</w:t>
            </w:r>
          </w:p>
          <w:p w14:paraId="4031C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普票请填写 </w:t>
            </w:r>
          </w:p>
          <w:p w14:paraId="17FB78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1-2全部信息</w:t>
            </w:r>
          </w:p>
        </w:tc>
        <w:tc>
          <w:tcPr>
            <w:tcW w:w="7575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4A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EA65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286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住宿安排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A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□单间  □标间      订房数量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间； □自行安排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其他说明：</w:t>
            </w:r>
          </w:p>
        </w:tc>
      </w:tr>
      <w:tr w14:paraId="0F143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73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费用总额</w:t>
            </w:r>
          </w:p>
        </w:tc>
        <w:tc>
          <w:tcPr>
            <w:tcW w:w="6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17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万     仟     佰    拾     元整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EA9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F9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*:</w:t>
            </w:r>
          </w:p>
        </w:tc>
      </w:tr>
      <w:tr w14:paraId="728F4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0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607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6F2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请将《报名回执表》回传至会务组，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会务组即发《报到通知附带汇款账号》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并在报名3日内办理培训费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会务组确认到款后即发《日程安排》，详细说明培训安排具体事项。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4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单位印章</w:t>
            </w:r>
          </w:p>
          <w:p w14:paraId="0FB1B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  月  日</w:t>
            </w:r>
          </w:p>
        </w:tc>
      </w:tr>
      <w:tr w14:paraId="6D6D3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DF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72B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A3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8D5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5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1DF6BE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参加本次会议您想学习哪些内容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希望与专家交流的问题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？</w:t>
            </w:r>
          </w:p>
        </w:tc>
      </w:tr>
      <w:tr w14:paraId="7490C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5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 系 人：</w:t>
            </w:r>
            <w:r>
              <w:rPr>
                <w:rFonts w:hint="eastAsia"/>
              </w:rPr>
              <w:t>聂红军</w:t>
            </w:r>
          </w:p>
          <w:p w14:paraId="45F9C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  <w:r>
              <w:rPr>
                <w:rFonts w:hint="eastAsia"/>
              </w:rPr>
              <w:t>13141289128   18211071700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（微信）</w:t>
            </w:r>
          </w:p>
          <w:p w14:paraId="2C845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邮    箱：</w:t>
            </w:r>
            <w:r>
              <w:rPr>
                <w:rFonts w:hint="eastAsia"/>
              </w:rPr>
              <w:t>470882753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@qq.com</w:t>
            </w:r>
          </w:p>
        </w:tc>
      </w:tr>
    </w:tbl>
    <w:p w14:paraId="7A2DDBD4">
      <w:pPr>
        <w:spacing w:line="4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8"/>
          <w:kern w:val="0"/>
          <w:position w:val="1"/>
          <w:sz w:val="24"/>
          <w:szCs w:val="24"/>
        </w:rPr>
        <w:t>注</w:t>
      </w:r>
      <w:r>
        <w:rPr>
          <w:rFonts w:hint="eastAsia" w:eastAsia="仿宋"/>
          <w:b/>
          <w:bCs/>
          <w:snapToGrid w:val="0"/>
          <w:color w:val="000000"/>
          <w:spacing w:val="8"/>
          <w:kern w:val="0"/>
          <w:position w:val="1"/>
          <w:sz w:val="24"/>
          <w:szCs w:val="24"/>
          <w:lang w:eastAsia="zh-CN"/>
        </w:rPr>
        <w:t>：</w:t>
      </w:r>
      <w:r>
        <w:rPr>
          <w:rFonts w:hint="eastAsia"/>
          <w:b/>
          <w:bCs/>
          <w:snapToGrid w:val="0"/>
          <w:color w:val="000000"/>
          <w:spacing w:val="8"/>
          <w:kern w:val="0"/>
          <w:position w:val="1"/>
          <w:sz w:val="24"/>
          <w:szCs w:val="24"/>
        </w:rPr>
        <w:t>为保证培训质量，培训班名额有限，额满为止，请确定人员后及早报名；本次培训内容及建筑行业相关培训内容均可赴企业提供内训。</w:t>
      </w:r>
      <w:permEnd w:id="1"/>
    </w:p>
    <w:sectPr>
      <w:pgSz w:w="11906" w:h="16838"/>
      <w:pgMar w:top="1440" w:right="1026" w:bottom="1118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23336"/>
    <w:multiLevelType w:val="singleLevel"/>
    <w:tmpl w:val="578233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KJf/AQ9c+yfEIe+CNxWBLL5BEso=" w:salt="hh5Y8w2gUhkIJPBMcoblj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MWM5NTU3NmQwMzYzZGY2NjUyMjZkNDUzMDVhNDkifQ=="/>
    <w:docVar w:name="KSO_WPS_MARK_KEY" w:val="cfc8d9be-f504-412a-b420-b6d2173d19df"/>
  </w:docVars>
  <w:rsids>
    <w:rsidRoot w:val="00747D83"/>
    <w:rsid w:val="001950E3"/>
    <w:rsid w:val="00302A6A"/>
    <w:rsid w:val="003A5579"/>
    <w:rsid w:val="0048665F"/>
    <w:rsid w:val="004C3F0A"/>
    <w:rsid w:val="00507717"/>
    <w:rsid w:val="005523AD"/>
    <w:rsid w:val="006A63E0"/>
    <w:rsid w:val="00747D83"/>
    <w:rsid w:val="007B7250"/>
    <w:rsid w:val="007E3266"/>
    <w:rsid w:val="00A168D3"/>
    <w:rsid w:val="00A364B9"/>
    <w:rsid w:val="00A650BD"/>
    <w:rsid w:val="00CB30D9"/>
    <w:rsid w:val="00D11736"/>
    <w:rsid w:val="00DA626C"/>
    <w:rsid w:val="00E07A64"/>
    <w:rsid w:val="00F13738"/>
    <w:rsid w:val="018541F5"/>
    <w:rsid w:val="02D84414"/>
    <w:rsid w:val="030F42DA"/>
    <w:rsid w:val="031028E9"/>
    <w:rsid w:val="03771E7F"/>
    <w:rsid w:val="04496B83"/>
    <w:rsid w:val="04943EDE"/>
    <w:rsid w:val="06EF599D"/>
    <w:rsid w:val="081B727D"/>
    <w:rsid w:val="08B50D1E"/>
    <w:rsid w:val="09B01C47"/>
    <w:rsid w:val="09B35FA1"/>
    <w:rsid w:val="09F1555A"/>
    <w:rsid w:val="09F15B6D"/>
    <w:rsid w:val="0A3F1AC2"/>
    <w:rsid w:val="0B0C0548"/>
    <w:rsid w:val="0B413304"/>
    <w:rsid w:val="0B6D4294"/>
    <w:rsid w:val="0BE30309"/>
    <w:rsid w:val="0BED2CDE"/>
    <w:rsid w:val="0C3721AC"/>
    <w:rsid w:val="0D0F0BA7"/>
    <w:rsid w:val="0D2503E7"/>
    <w:rsid w:val="0D9D0734"/>
    <w:rsid w:val="0DB53CD0"/>
    <w:rsid w:val="0E506F75"/>
    <w:rsid w:val="0E8611C8"/>
    <w:rsid w:val="0F5848BD"/>
    <w:rsid w:val="0F633E66"/>
    <w:rsid w:val="0FDA1FA5"/>
    <w:rsid w:val="0FE12B5A"/>
    <w:rsid w:val="11CE72AB"/>
    <w:rsid w:val="11E71C7F"/>
    <w:rsid w:val="130C7B21"/>
    <w:rsid w:val="131907D0"/>
    <w:rsid w:val="139323BD"/>
    <w:rsid w:val="144B471D"/>
    <w:rsid w:val="145E301F"/>
    <w:rsid w:val="159879CD"/>
    <w:rsid w:val="17233A58"/>
    <w:rsid w:val="18730A0F"/>
    <w:rsid w:val="188E5849"/>
    <w:rsid w:val="19C022A8"/>
    <w:rsid w:val="1A654E38"/>
    <w:rsid w:val="1A9A04D5"/>
    <w:rsid w:val="1AA03612"/>
    <w:rsid w:val="1BF14125"/>
    <w:rsid w:val="1DE33F41"/>
    <w:rsid w:val="1E9B6F5E"/>
    <w:rsid w:val="1EDF44F4"/>
    <w:rsid w:val="1F1F79EA"/>
    <w:rsid w:val="20CA4E6D"/>
    <w:rsid w:val="21521B0A"/>
    <w:rsid w:val="21A51775"/>
    <w:rsid w:val="22552F34"/>
    <w:rsid w:val="229C1912"/>
    <w:rsid w:val="230E1A60"/>
    <w:rsid w:val="23953C04"/>
    <w:rsid w:val="2475476C"/>
    <w:rsid w:val="251C1CC4"/>
    <w:rsid w:val="25726D6F"/>
    <w:rsid w:val="25CA4F57"/>
    <w:rsid w:val="269C52F7"/>
    <w:rsid w:val="27976201"/>
    <w:rsid w:val="279A7D67"/>
    <w:rsid w:val="29671359"/>
    <w:rsid w:val="29673C78"/>
    <w:rsid w:val="29986528"/>
    <w:rsid w:val="2A151926"/>
    <w:rsid w:val="2D416019"/>
    <w:rsid w:val="2FF26266"/>
    <w:rsid w:val="32665168"/>
    <w:rsid w:val="34637732"/>
    <w:rsid w:val="34E55522"/>
    <w:rsid w:val="35450939"/>
    <w:rsid w:val="356E72B8"/>
    <w:rsid w:val="36A93B22"/>
    <w:rsid w:val="36F744C4"/>
    <w:rsid w:val="37D26FE9"/>
    <w:rsid w:val="381355A8"/>
    <w:rsid w:val="38AB0E15"/>
    <w:rsid w:val="3971469F"/>
    <w:rsid w:val="39902263"/>
    <w:rsid w:val="399F120C"/>
    <w:rsid w:val="3A0B0650"/>
    <w:rsid w:val="3A992316"/>
    <w:rsid w:val="3B251BE5"/>
    <w:rsid w:val="3BFC64A2"/>
    <w:rsid w:val="3CBE7BFC"/>
    <w:rsid w:val="3D63486F"/>
    <w:rsid w:val="3D946844"/>
    <w:rsid w:val="3E0E6961"/>
    <w:rsid w:val="40CA0701"/>
    <w:rsid w:val="40F759FA"/>
    <w:rsid w:val="42955336"/>
    <w:rsid w:val="42A05D7C"/>
    <w:rsid w:val="45266E75"/>
    <w:rsid w:val="45401AF6"/>
    <w:rsid w:val="458A2D71"/>
    <w:rsid w:val="45CA502C"/>
    <w:rsid w:val="45E074DB"/>
    <w:rsid w:val="46216874"/>
    <w:rsid w:val="475A3BA8"/>
    <w:rsid w:val="478E5F15"/>
    <w:rsid w:val="496B1EC3"/>
    <w:rsid w:val="49AA1C33"/>
    <w:rsid w:val="4C2260A9"/>
    <w:rsid w:val="4CF15A7B"/>
    <w:rsid w:val="4D2F37DC"/>
    <w:rsid w:val="4D41465D"/>
    <w:rsid w:val="4D846439"/>
    <w:rsid w:val="4ECA68D4"/>
    <w:rsid w:val="4FE87012"/>
    <w:rsid w:val="5009580A"/>
    <w:rsid w:val="508077C0"/>
    <w:rsid w:val="534B6E60"/>
    <w:rsid w:val="5413586A"/>
    <w:rsid w:val="56703B74"/>
    <w:rsid w:val="571921A6"/>
    <w:rsid w:val="572F560E"/>
    <w:rsid w:val="57C567F9"/>
    <w:rsid w:val="5BEB0232"/>
    <w:rsid w:val="5CC1517E"/>
    <w:rsid w:val="5D4D2822"/>
    <w:rsid w:val="5DF627A9"/>
    <w:rsid w:val="5EEE5CC7"/>
    <w:rsid w:val="60231D59"/>
    <w:rsid w:val="60310561"/>
    <w:rsid w:val="605129B1"/>
    <w:rsid w:val="605C73D5"/>
    <w:rsid w:val="60EF2978"/>
    <w:rsid w:val="6155202D"/>
    <w:rsid w:val="63491BBC"/>
    <w:rsid w:val="636E22E4"/>
    <w:rsid w:val="639C3F43"/>
    <w:rsid w:val="66065FEC"/>
    <w:rsid w:val="672A7AB8"/>
    <w:rsid w:val="67FC76A6"/>
    <w:rsid w:val="68AB69D7"/>
    <w:rsid w:val="68E51EE8"/>
    <w:rsid w:val="6A884B0A"/>
    <w:rsid w:val="6C303270"/>
    <w:rsid w:val="6C7D40F6"/>
    <w:rsid w:val="6CB11C5E"/>
    <w:rsid w:val="6DCF32FD"/>
    <w:rsid w:val="6DEC3D19"/>
    <w:rsid w:val="6ED60994"/>
    <w:rsid w:val="6FA64AAB"/>
    <w:rsid w:val="6FA86DD3"/>
    <w:rsid w:val="714D2D21"/>
    <w:rsid w:val="72713894"/>
    <w:rsid w:val="72956902"/>
    <w:rsid w:val="74714F78"/>
    <w:rsid w:val="75053C12"/>
    <w:rsid w:val="759F5B15"/>
    <w:rsid w:val="763338AB"/>
    <w:rsid w:val="77E66B14"/>
    <w:rsid w:val="78E26444"/>
    <w:rsid w:val="799B610F"/>
    <w:rsid w:val="79E66164"/>
    <w:rsid w:val="7A70724A"/>
    <w:rsid w:val="7B6A2721"/>
    <w:rsid w:val="7C481904"/>
    <w:rsid w:val="7CE908EA"/>
    <w:rsid w:val="7D1F4EFA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99"/>
    <w:pPr>
      <w:ind w:firstLine="42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after="20" w:line="33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9">
    <w:name w:val="标题 1 Char"/>
    <w:link w:val="2"/>
    <w:qFormat/>
    <w:uiPriority w:val="9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5482</Words>
  <Characters>5850</Characters>
  <Lines>33</Lines>
  <Paragraphs>9</Paragraphs>
  <TotalTime>91</TotalTime>
  <ScaleCrop>false</ScaleCrop>
  <LinksUpToDate>false</LinksUpToDate>
  <CharactersWithSpaces>6032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2023-01-13T05:23:00Z</dcterms:created>
  <dc:creator>l l</dc:creator>
  <cp:lastModifiedBy>聂红军</cp:lastModifiedBy>
  <dcterms:modified xsi:type="dcterms:W3CDTF">2024-08-22T09:27:21Z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8A3E3AA205774709AACE0FB5D821535A_13</vt:lpwstr>
  </property>
</Properties>
</file>