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50074">
      <w:pPr>
        <w:spacing w:line="240" w:lineRule="auto"/>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-1066165</wp:posOffset>
            </wp:positionH>
            <wp:positionV relativeFrom="paragraph">
              <wp:posOffset>-962025</wp:posOffset>
            </wp:positionV>
            <wp:extent cx="7692390" cy="10779125"/>
            <wp:effectExtent l="0" t="0" r="3810" b="3175"/>
            <wp:wrapNone/>
            <wp:docPr id="2" name="图片 2" descr="2024年EOD与三大工程培训班第四轮通知(3)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4年EOD与三大工程培训班第四轮通知(3)_01"/>
                    <pic:cNvPicPr>
                      <a:picLocks noChangeAspect="1"/>
                    </pic:cNvPicPr>
                  </pic:nvPicPr>
                  <pic:blipFill>
                    <a:blip r:embed="rId5"/>
                    <a:stretch>
                      <a:fillRect/>
                    </a:stretch>
                  </pic:blipFill>
                  <pic:spPr>
                    <a:xfrm>
                      <a:off x="0" y="0"/>
                      <a:ext cx="7692390" cy="10779125"/>
                    </a:xfrm>
                    <a:prstGeom prst="rect">
                      <a:avLst/>
                    </a:prstGeom>
                  </pic:spPr>
                </pic:pic>
              </a:graphicData>
            </a:graphic>
          </wp:anchor>
        </w:drawing>
      </w:r>
    </w:p>
    <w:p w14:paraId="2E5D9A3A">
      <w:pPr>
        <w:spacing w:line="540" w:lineRule="exact"/>
        <w:ind w:firstLine="843" w:firstLineChars="300"/>
        <w:rPr>
          <w:rFonts w:hint="default" w:ascii="仿宋" w:hAnsi="仿宋" w:eastAsia="仿宋" w:cs="仿宋"/>
          <w:b/>
          <w:bCs/>
          <w:color w:val="000000" w:themeColor="text1"/>
          <w:sz w:val="28"/>
          <w:szCs w:val="28"/>
          <w14:textFill>
            <w14:solidFill>
              <w14:schemeClr w14:val="tx1"/>
            </w14:solidFill>
          </w14:textFill>
        </w:rPr>
      </w:pPr>
    </w:p>
    <w:p w14:paraId="3FA70463">
      <w:pPr>
        <w:spacing w:line="540" w:lineRule="exact"/>
        <w:rPr>
          <w:rFonts w:hint="default" w:ascii="仿宋" w:hAnsi="仿宋" w:eastAsia="仿宋" w:cs="仿宋"/>
          <w:b/>
          <w:bCs/>
          <w:color w:val="000000" w:themeColor="text1"/>
          <w:sz w:val="28"/>
          <w:szCs w:val="28"/>
          <w14:textFill>
            <w14:solidFill>
              <w14:schemeClr w14:val="tx1"/>
            </w14:solidFill>
          </w14:textFill>
        </w:rPr>
      </w:pPr>
    </w:p>
    <w:p w14:paraId="51647AE8">
      <w:pPr>
        <w:spacing w:line="540" w:lineRule="exact"/>
        <w:ind w:firstLine="843" w:firstLineChars="300"/>
        <w:rPr>
          <w:rFonts w:hint="default" w:ascii="仿宋" w:hAnsi="仿宋" w:eastAsia="仿宋" w:cs="仿宋"/>
          <w:b/>
          <w:bCs/>
          <w:color w:val="000000" w:themeColor="text1"/>
          <w:sz w:val="28"/>
          <w:szCs w:val="28"/>
          <w14:textFill>
            <w14:solidFill>
              <w14:schemeClr w14:val="tx1"/>
            </w14:solidFill>
          </w14:textFill>
        </w:rPr>
      </w:pPr>
    </w:p>
    <w:p w14:paraId="7106421B">
      <w:pPr>
        <w:spacing w:line="540" w:lineRule="exact"/>
        <w:ind w:firstLine="843" w:firstLineChars="300"/>
        <w:rPr>
          <w:rFonts w:hint="default" w:ascii="仿宋" w:hAnsi="仿宋" w:eastAsia="仿宋" w:cs="仿宋"/>
          <w:b/>
          <w:bCs/>
          <w:color w:val="000000" w:themeColor="text1"/>
          <w:sz w:val="28"/>
          <w:szCs w:val="28"/>
          <w14:textFill>
            <w14:solidFill>
              <w14:schemeClr w14:val="tx1"/>
            </w14:solidFill>
          </w14:textFill>
        </w:rPr>
      </w:pPr>
    </w:p>
    <w:p w14:paraId="701CB48D">
      <w:pPr>
        <w:spacing w:line="540" w:lineRule="exact"/>
        <w:ind w:firstLine="0" w:firstLineChars="0"/>
        <w:rPr>
          <w:rFonts w:hint="default" w:ascii="仿宋" w:hAnsi="仿宋" w:eastAsia="仿宋" w:cs="仿宋"/>
          <w:b/>
          <w:bCs/>
          <w:color w:val="000000" w:themeColor="text1"/>
          <w:sz w:val="28"/>
          <w:szCs w:val="28"/>
          <w14:textFill>
            <w14:solidFill>
              <w14:schemeClr w14:val="tx1"/>
            </w14:solidFill>
          </w14:textFill>
        </w:rPr>
      </w:pPr>
    </w:p>
    <w:p w14:paraId="15EBAB9E">
      <w:pPr>
        <w:autoSpaceDE/>
        <w:autoSpaceDN/>
        <w:spacing w:line="500" w:lineRule="exact"/>
        <w:rPr>
          <w:rFonts w:ascii="仿宋" w:hAnsi="仿宋" w:eastAsia="仿宋" w:cs="仿宋"/>
          <w:b/>
          <w:bCs/>
          <w:color w:val="auto"/>
          <w:sz w:val="28"/>
          <w:szCs w:val="28"/>
        </w:rPr>
      </w:pPr>
    </w:p>
    <w:p w14:paraId="68AB37DF">
      <w:pPr>
        <w:autoSpaceDE/>
        <w:autoSpaceDN/>
        <w:spacing w:line="500" w:lineRule="exact"/>
        <w:rPr>
          <w:rFonts w:ascii="仿宋" w:hAnsi="仿宋" w:eastAsia="仿宋" w:cs="仿宋"/>
          <w:b/>
          <w:bCs/>
          <w:color w:val="auto"/>
          <w:sz w:val="28"/>
          <w:szCs w:val="28"/>
        </w:rPr>
      </w:pPr>
    </w:p>
    <w:p w14:paraId="71F7F8E3">
      <w:pPr>
        <w:autoSpaceDE/>
        <w:autoSpaceDN/>
        <w:spacing w:line="500" w:lineRule="exact"/>
        <w:rPr>
          <w:rFonts w:ascii="仿宋" w:hAnsi="仿宋" w:eastAsia="仿宋" w:cs="仿宋"/>
          <w:b/>
          <w:bCs/>
          <w:color w:val="auto"/>
          <w:sz w:val="28"/>
          <w:szCs w:val="28"/>
        </w:rPr>
      </w:pPr>
    </w:p>
    <w:p w14:paraId="6C144CBD">
      <w:pPr>
        <w:autoSpaceDE/>
        <w:autoSpaceDN/>
        <w:spacing w:line="500" w:lineRule="exact"/>
        <w:rPr>
          <w:rFonts w:ascii="仿宋" w:hAnsi="仿宋" w:eastAsia="仿宋" w:cs="仿宋"/>
          <w:b/>
          <w:bCs/>
          <w:color w:val="auto"/>
          <w:sz w:val="28"/>
          <w:szCs w:val="28"/>
        </w:rPr>
      </w:pPr>
    </w:p>
    <w:p w14:paraId="54781CAC">
      <w:pPr>
        <w:autoSpaceDE/>
        <w:autoSpaceDN/>
        <w:spacing w:line="500" w:lineRule="exact"/>
        <w:rPr>
          <w:rFonts w:ascii="仿宋" w:hAnsi="仿宋" w:eastAsia="仿宋" w:cs="仿宋"/>
          <w:b/>
          <w:bCs/>
          <w:color w:val="auto"/>
          <w:sz w:val="28"/>
          <w:szCs w:val="28"/>
        </w:rPr>
      </w:pPr>
    </w:p>
    <w:p w14:paraId="23EBD2B7">
      <w:pPr>
        <w:autoSpaceDE/>
        <w:autoSpaceDN/>
        <w:spacing w:line="500" w:lineRule="exact"/>
        <w:rPr>
          <w:rFonts w:ascii="仿宋" w:hAnsi="仿宋" w:eastAsia="仿宋" w:cs="仿宋"/>
          <w:b/>
          <w:bCs/>
          <w:color w:val="auto"/>
          <w:sz w:val="28"/>
          <w:szCs w:val="28"/>
        </w:rPr>
      </w:pPr>
    </w:p>
    <w:p w14:paraId="6A98925C">
      <w:pPr>
        <w:autoSpaceDE/>
        <w:autoSpaceDN/>
        <w:spacing w:line="500" w:lineRule="exact"/>
        <w:rPr>
          <w:rFonts w:ascii="仿宋" w:hAnsi="仿宋" w:eastAsia="仿宋" w:cs="仿宋"/>
          <w:b/>
          <w:bCs/>
          <w:color w:val="auto"/>
          <w:sz w:val="28"/>
          <w:szCs w:val="28"/>
        </w:rPr>
      </w:pPr>
    </w:p>
    <w:p w14:paraId="579187FD">
      <w:pPr>
        <w:autoSpaceDE/>
        <w:autoSpaceDN/>
        <w:spacing w:line="500" w:lineRule="exact"/>
        <w:rPr>
          <w:rFonts w:ascii="仿宋" w:hAnsi="仿宋" w:eastAsia="仿宋" w:cs="仿宋"/>
          <w:b/>
          <w:bCs/>
          <w:color w:val="auto"/>
          <w:sz w:val="28"/>
          <w:szCs w:val="28"/>
        </w:rPr>
      </w:pPr>
    </w:p>
    <w:p w14:paraId="350C141D">
      <w:pPr>
        <w:autoSpaceDE/>
        <w:autoSpaceDN/>
        <w:spacing w:line="500" w:lineRule="exact"/>
        <w:rPr>
          <w:rFonts w:ascii="仿宋" w:hAnsi="仿宋" w:eastAsia="仿宋" w:cs="仿宋"/>
          <w:b/>
          <w:bCs/>
          <w:color w:val="auto"/>
          <w:sz w:val="28"/>
          <w:szCs w:val="28"/>
        </w:rPr>
      </w:pPr>
    </w:p>
    <w:p w14:paraId="19A3DC57">
      <w:pPr>
        <w:autoSpaceDE/>
        <w:autoSpaceDN/>
        <w:spacing w:line="500" w:lineRule="exact"/>
        <w:rPr>
          <w:rFonts w:ascii="仿宋" w:hAnsi="仿宋" w:eastAsia="仿宋" w:cs="仿宋"/>
          <w:b/>
          <w:bCs/>
          <w:color w:val="auto"/>
          <w:sz w:val="28"/>
          <w:szCs w:val="28"/>
        </w:rPr>
      </w:pPr>
    </w:p>
    <w:p w14:paraId="7F8639F0">
      <w:pPr>
        <w:autoSpaceDE/>
        <w:autoSpaceDN/>
        <w:spacing w:line="500" w:lineRule="exact"/>
        <w:rPr>
          <w:rFonts w:ascii="仿宋" w:hAnsi="仿宋" w:eastAsia="仿宋" w:cs="仿宋"/>
          <w:b/>
          <w:bCs/>
          <w:color w:val="auto"/>
          <w:sz w:val="28"/>
          <w:szCs w:val="28"/>
        </w:rPr>
      </w:pPr>
    </w:p>
    <w:p w14:paraId="7D768703">
      <w:pPr>
        <w:autoSpaceDE/>
        <w:autoSpaceDN/>
        <w:spacing w:line="500" w:lineRule="exact"/>
        <w:rPr>
          <w:rFonts w:ascii="仿宋" w:hAnsi="仿宋" w:eastAsia="仿宋" w:cs="仿宋"/>
          <w:b/>
          <w:bCs/>
          <w:color w:val="auto"/>
          <w:sz w:val="28"/>
          <w:szCs w:val="28"/>
        </w:rPr>
      </w:pPr>
    </w:p>
    <w:p w14:paraId="65A75C36">
      <w:pPr>
        <w:autoSpaceDE/>
        <w:autoSpaceDN/>
        <w:spacing w:line="500" w:lineRule="exact"/>
        <w:rPr>
          <w:rFonts w:ascii="仿宋" w:hAnsi="仿宋" w:eastAsia="仿宋" w:cs="仿宋"/>
          <w:b/>
          <w:bCs/>
          <w:color w:val="auto"/>
          <w:sz w:val="28"/>
          <w:szCs w:val="28"/>
        </w:rPr>
      </w:pPr>
    </w:p>
    <w:p w14:paraId="121F4903">
      <w:pPr>
        <w:autoSpaceDE/>
        <w:autoSpaceDN/>
        <w:spacing w:line="500" w:lineRule="exact"/>
        <w:rPr>
          <w:rFonts w:ascii="仿宋" w:hAnsi="仿宋" w:eastAsia="仿宋" w:cs="仿宋"/>
          <w:b/>
          <w:bCs/>
          <w:color w:val="auto"/>
          <w:sz w:val="28"/>
          <w:szCs w:val="28"/>
        </w:rPr>
      </w:pPr>
    </w:p>
    <w:p w14:paraId="6ABC9F27">
      <w:pPr>
        <w:autoSpaceDE/>
        <w:autoSpaceDN/>
        <w:spacing w:line="500" w:lineRule="exact"/>
        <w:rPr>
          <w:rFonts w:ascii="仿宋" w:hAnsi="仿宋" w:eastAsia="仿宋" w:cs="仿宋"/>
          <w:b/>
          <w:bCs/>
          <w:color w:val="auto"/>
          <w:sz w:val="28"/>
          <w:szCs w:val="28"/>
        </w:rPr>
      </w:pPr>
    </w:p>
    <w:p w14:paraId="034F83A9">
      <w:pPr>
        <w:autoSpaceDE/>
        <w:autoSpaceDN/>
        <w:spacing w:line="500" w:lineRule="exact"/>
        <w:rPr>
          <w:rFonts w:ascii="仿宋" w:hAnsi="仿宋" w:eastAsia="仿宋" w:cs="仿宋"/>
          <w:b/>
          <w:bCs/>
          <w:color w:val="auto"/>
          <w:sz w:val="28"/>
          <w:szCs w:val="28"/>
        </w:rPr>
      </w:pPr>
    </w:p>
    <w:p w14:paraId="008F69C5">
      <w:pPr>
        <w:autoSpaceDE/>
        <w:autoSpaceDN/>
        <w:spacing w:line="500" w:lineRule="exact"/>
        <w:rPr>
          <w:rFonts w:ascii="仿宋" w:hAnsi="仿宋" w:eastAsia="仿宋" w:cs="仿宋"/>
          <w:b/>
          <w:bCs/>
          <w:color w:val="auto"/>
          <w:sz w:val="28"/>
          <w:szCs w:val="28"/>
        </w:rPr>
      </w:pPr>
    </w:p>
    <w:p w14:paraId="14FFE584">
      <w:pPr>
        <w:autoSpaceDE/>
        <w:autoSpaceDN/>
        <w:spacing w:line="500" w:lineRule="exact"/>
        <w:rPr>
          <w:rFonts w:ascii="仿宋" w:hAnsi="仿宋" w:eastAsia="仿宋" w:cs="仿宋"/>
          <w:b/>
          <w:bCs/>
          <w:color w:val="auto"/>
          <w:sz w:val="28"/>
          <w:szCs w:val="28"/>
        </w:rPr>
      </w:pPr>
    </w:p>
    <w:p w14:paraId="7E5742D1">
      <w:pPr>
        <w:autoSpaceDE/>
        <w:autoSpaceDN/>
        <w:spacing w:line="500" w:lineRule="exact"/>
        <w:rPr>
          <w:rFonts w:ascii="仿宋" w:hAnsi="仿宋" w:eastAsia="仿宋" w:cs="仿宋"/>
          <w:b/>
          <w:bCs/>
          <w:color w:val="auto"/>
          <w:sz w:val="28"/>
          <w:szCs w:val="28"/>
        </w:rPr>
      </w:pPr>
    </w:p>
    <w:p w14:paraId="69474160">
      <w:pPr>
        <w:autoSpaceDE/>
        <w:autoSpaceDN/>
        <w:spacing w:line="500" w:lineRule="exact"/>
        <w:rPr>
          <w:rFonts w:ascii="仿宋" w:hAnsi="仿宋" w:eastAsia="仿宋" w:cs="仿宋"/>
          <w:b/>
          <w:bCs/>
          <w:color w:val="auto"/>
          <w:sz w:val="28"/>
          <w:szCs w:val="28"/>
        </w:rPr>
      </w:pPr>
    </w:p>
    <w:p w14:paraId="599925C4">
      <w:pPr>
        <w:autoSpaceDE/>
        <w:autoSpaceDN/>
        <w:spacing w:line="500" w:lineRule="exact"/>
        <w:rPr>
          <w:rFonts w:ascii="仿宋" w:hAnsi="仿宋" w:eastAsia="仿宋" w:cs="仿宋"/>
          <w:b/>
          <w:bCs/>
          <w:color w:val="auto"/>
          <w:sz w:val="28"/>
          <w:szCs w:val="28"/>
        </w:rPr>
      </w:pPr>
    </w:p>
    <w:p w14:paraId="067BD031">
      <w:pPr>
        <w:autoSpaceDE/>
        <w:autoSpaceDN/>
        <w:spacing w:line="240" w:lineRule="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drawing>
          <wp:anchor distT="0" distB="0" distL="114300" distR="114300" simplePos="0" relativeHeight="251660288" behindDoc="0" locked="0" layoutInCell="1" allowOverlap="1">
            <wp:simplePos x="0" y="0"/>
            <wp:positionH relativeFrom="column">
              <wp:posOffset>-1047750</wp:posOffset>
            </wp:positionH>
            <wp:positionV relativeFrom="paragraph">
              <wp:posOffset>-952500</wp:posOffset>
            </wp:positionV>
            <wp:extent cx="7664450" cy="10779125"/>
            <wp:effectExtent l="0" t="0" r="12700" b="3175"/>
            <wp:wrapNone/>
            <wp:docPr id="3" name="图片 3" descr="2024年EOD与三大工程培训班第四轮通知(3)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4年EOD与三大工程培训班第四轮通知(3)_02"/>
                    <pic:cNvPicPr>
                      <a:picLocks noChangeAspect="1"/>
                    </pic:cNvPicPr>
                  </pic:nvPicPr>
                  <pic:blipFill>
                    <a:blip r:embed="rId6"/>
                    <a:stretch>
                      <a:fillRect/>
                    </a:stretch>
                  </pic:blipFill>
                  <pic:spPr>
                    <a:xfrm>
                      <a:off x="0" y="0"/>
                      <a:ext cx="7664450" cy="10779125"/>
                    </a:xfrm>
                    <a:prstGeom prst="rect">
                      <a:avLst/>
                    </a:prstGeom>
                  </pic:spPr>
                </pic:pic>
              </a:graphicData>
            </a:graphic>
          </wp:anchor>
        </w:drawing>
      </w:r>
    </w:p>
    <w:p w14:paraId="42DD9596">
      <w:pPr>
        <w:autoSpaceDE/>
        <w:autoSpaceDN/>
        <w:spacing w:line="500" w:lineRule="exact"/>
        <w:rPr>
          <w:rFonts w:ascii="仿宋" w:hAnsi="仿宋" w:eastAsia="仿宋" w:cs="仿宋"/>
          <w:b/>
          <w:bCs/>
          <w:color w:val="auto"/>
          <w:sz w:val="28"/>
          <w:szCs w:val="28"/>
        </w:rPr>
      </w:pPr>
    </w:p>
    <w:p w14:paraId="11B44132">
      <w:pPr>
        <w:autoSpaceDE/>
        <w:autoSpaceDN/>
        <w:spacing w:line="500" w:lineRule="exact"/>
        <w:rPr>
          <w:rFonts w:ascii="仿宋" w:hAnsi="仿宋" w:eastAsia="仿宋" w:cs="仿宋"/>
          <w:b/>
          <w:bCs/>
          <w:color w:val="auto"/>
          <w:sz w:val="28"/>
          <w:szCs w:val="28"/>
        </w:rPr>
      </w:pPr>
    </w:p>
    <w:p w14:paraId="72B6D5A4">
      <w:pPr>
        <w:autoSpaceDE/>
        <w:autoSpaceDN/>
        <w:spacing w:line="500" w:lineRule="exact"/>
        <w:rPr>
          <w:rFonts w:ascii="仿宋" w:hAnsi="仿宋" w:eastAsia="仿宋" w:cs="仿宋"/>
          <w:b/>
          <w:bCs/>
          <w:color w:val="auto"/>
          <w:sz w:val="28"/>
          <w:szCs w:val="28"/>
        </w:rPr>
      </w:pPr>
    </w:p>
    <w:p w14:paraId="547687DB">
      <w:pPr>
        <w:autoSpaceDE/>
        <w:autoSpaceDN/>
        <w:spacing w:line="500" w:lineRule="exact"/>
        <w:rPr>
          <w:rFonts w:ascii="仿宋" w:hAnsi="仿宋" w:eastAsia="仿宋" w:cs="仿宋"/>
          <w:b/>
          <w:bCs/>
          <w:color w:val="auto"/>
          <w:sz w:val="28"/>
          <w:szCs w:val="28"/>
        </w:rPr>
      </w:pPr>
    </w:p>
    <w:p w14:paraId="527B5C98">
      <w:pPr>
        <w:autoSpaceDE/>
        <w:autoSpaceDN/>
        <w:spacing w:line="500" w:lineRule="exact"/>
        <w:rPr>
          <w:rFonts w:ascii="仿宋" w:hAnsi="仿宋" w:eastAsia="仿宋" w:cs="仿宋"/>
          <w:b/>
          <w:bCs/>
          <w:color w:val="auto"/>
          <w:sz w:val="28"/>
          <w:szCs w:val="28"/>
        </w:rPr>
      </w:pPr>
    </w:p>
    <w:p w14:paraId="6E7F161D">
      <w:pPr>
        <w:autoSpaceDE/>
        <w:autoSpaceDN/>
        <w:spacing w:line="500" w:lineRule="exact"/>
        <w:rPr>
          <w:rFonts w:ascii="仿宋" w:hAnsi="仿宋" w:eastAsia="仿宋" w:cs="仿宋"/>
          <w:b/>
          <w:bCs/>
          <w:color w:val="auto"/>
          <w:sz w:val="28"/>
          <w:szCs w:val="28"/>
        </w:rPr>
      </w:pPr>
    </w:p>
    <w:p w14:paraId="37BADE6B">
      <w:pPr>
        <w:autoSpaceDE/>
        <w:autoSpaceDN/>
        <w:spacing w:line="500" w:lineRule="exact"/>
        <w:rPr>
          <w:rFonts w:ascii="仿宋" w:hAnsi="仿宋" w:eastAsia="仿宋" w:cs="仿宋"/>
          <w:b/>
          <w:bCs/>
          <w:color w:val="auto"/>
          <w:sz w:val="28"/>
          <w:szCs w:val="28"/>
        </w:rPr>
      </w:pPr>
    </w:p>
    <w:p w14:paraId="498EA40C">
      <w:pPr>
        <w:autoSpaceDE/>
        <w:autoSpaceDN/>
        <w:spacing w:line="500" w:lineRule="exact"/>
        <w:rPr>
          <w:rFonts w:ascii="仿宋" w:hAnsi="仿宋" w:eastAsia="仿宋" w:cs="仿宋"/>
          <w:b/>
          <w:bCs/>
          <w:color w:val="auto"/>
          <w:sz w:val="28"/>
          <w:szCs w:val="28"/>
        </w:rPr>
      </w:pPr>
    </w:p>
    <w:p w14:paraId="2A3299F0">
      <w:pPr>
        <w:autoSpaceDE/>
        <w:autoSpaceDN/>
        <w:spacing w:line="500" w:lineRule="exact"/>
        <w:rPr>
          <w:rFonts w:ascii="仿宋" w:hAnsi="仿宋" w:eastAsia="仿宋" w:cs="仿宋"/>
          <w:b/>
          <w:bCs/>
          <w:color w:val="auto"/>
          <w:sz w:val="28"/>
          <w:szCs w:val="28"/>
        </w:rPr>
      </w:pPr>
    </w:p>
    <w:p w14:paraId="3C730837">
      <w:pPr>
        <w:autoSpaceDE/>
        <w:autoSpaceDN/>
        <w:spacing w:line="500" w:lineRule="exact"/>
        <w:rPr>
          <w:rFonts w:ascii="仿宋" w:hAnsi="仿宋" w:eastAsia="仿宋" w:cs="仿宋"/>
          <w:b/>
          <w:bCs/>
          <w:color w:val="auto"/>
          <w:sz w:val="28"/>
          <w:szCs w:val="28"/>
        </w:rPr>
      </w:pPr>
    </w:p>
    <w:p w14:paraId="248A206A">
      <w:pPr>
        <w:autoSpaceDE/>
        <w:autoSpaceDN/>
        <w:spacing w:line="500" w:lineRule="exact"/>
        <w:rPr>
          <w:rFonts w:ascii="仿宋" w:hAnsi="仿宋" w:eastAsia="仿宋" w:cs="仿宋"/>
          <w:b/>
          <w:bCs/>
          <w:color w:val="auto"/>
          <w:sz w:val="28"/>
          <w:szCs w:val="28"/>
        </w:rPr>
      </w:pPr>
    </w:p>
    <w:p w14:paraId="48F66BB3">
      <w:pPr>
        <w:autoSpaceDE/>
        <w:autoSpaceDN/>
        <w:spacing w:line="500" w:lineRule="exact"/>
        <w:rPr>
          <w:rFonts w:ascii="仿宋" w:hAnsi="仿宋" w:eastAsia="仿宋" w:cs="仿宋"/>
          <w:b/>
          <w:bCs/>
          <w:color w:val="auto"/>
          <w:sz w:val="28"/>
          <w:szCs w:val="28"/>
        </w:rPr>
      </w:pPr>
    </w:p>
    <w:p w14:paraId="34EAE172">
      <w:pPr>
        <w:autoSpaceDE/>
        <w:autoSpaceDN/>
        <w:spacing w:line="500" w:lineRule="exact"/>
        <w:rPr>
          <w:rFonts w:ascii="仿宋" w:hAnsi="仿宋" w:eastAsia="仿宋" w:cs="仿宋"/>
          <w:b/>
          <w:bCs/>
          <w:color w:val="auto"/>
          <w:sz w:val="28"/>
          <w:szCs w:val="28"/>
        </w:rPr>
      </w:pPr>
    </w:p>
    <w:p w14:paraId="491CB14C">
      <w:pPr>
        <w:autoSpaceDE/>
        <w:autoSpaceDN/>
        <w:spacing w:line="500" w:lineRule="exact"/>
        <w:rPr>
          <w:rFonts w:ascii="仿宋" w:hAnsi="仿宋" w:eastAsia="仿宋" w:cs="仿宋"/>
          <w:b/>
          <w:bCs/>
          <w:color w:val="auto"/>
          <w:sz w:val="28"/>
          <w:szCs w:val="28"/>
        </w:rPr>
      </w:pPr>
    </w:p>
    <w:p w14:paraId="50BB78FE">
      <w:pPr>
        <w:autoSpaceDE/>
        <w:autoSpaceDN/>
        <w:spacing w:line="500" w:lineRule="exact"/>
        <w:rPr>
          <w:rFonts w:ascii="仿宋" w:hAnsi="仿宋" w:eastAsia="仿宋" w:cs="仿宋"/>
          <w:b/>
          <w:bCs/>
          <w:color w:val="auto"/>
          <w:sz w:val="28"/>
          <w:szCs w:val="28"/>
        </w:rPr>
      </w:pPr>
    </w:p>
    <w:p w14:paraId="2E65064C">
      <w:pPr>
        <w:autoSpaceDE/>
        <w:autoSpaceDN/>
        <w:spacing w:line="500" w:lineRule="exact"/>
        <w:rPr>
          <w:rFonts w:ascii="仿宋" w:hAnsi="仿宋" w:eastAsia="仿宋" w:cs="仿宋"/>
          <w:b/>
          <w:bCs/>
          <w:color w:val="auto"/>
          <w:sz w:val="28"/>
          <w:szCs w:val="28"/>
        </w:rPr>
      </w:pPr>
    </w:p>
    <w:p w14:paraId="77353462">
      <w:pPr>
        <w:autoSpaceDE/>
        <w:autoSpaceDN/>
        <w:spacing w:line="500" w:lineRule="exact"/>
        <w:rPr>
          <w:rFonts w:ascii="仿宋" w:hAnsi="仿宋" w:eastAsia="仿宋" w:cs="仿宋"/>
          <w:b/>
          <w:bCs/>
          <w:color w:val="auto"/>
          <w:sz w:val="28"/>
          <w:szCs w:val="28"/>
        </w:rPr>
      </w:pPr>
    </w:p>
    <w:p w14:paraId="6F099835">
      <w:pPr>
        <w:autoSpaceDE/>
        <w:autoSpaceDN/>
        <w:spacing w:line="500" w:lineRule="exact"/>
        <w:rPr>
          <w:rFonts w:ascii="仿宋" w:hAnsi="仿宋" w:eastAsia="仿宋" w:cs="仿宋"/>
          <w:b/>
          <w:bCs/>
          <w:color w:val="auto"/>
          <w:sz w:val="28"/>
          <w:szCs w:val="28"/>
        </w:rPr>
      </w:pPr>
    </w:p>
    <w:p w14:paraId="484ACC12">
      <w:pPr>
        <w:autoSpaceDE/>
        <w:autoSpaceDN/>
        <w:spacing w:line="500" w:lineRule="exact"/>
        <w:rPr>
          <w:rFonts w:ascii="仿宋" w:hAnsi="仿宋" w:eastAsia="仿宋" w:cs="仿宋"/>
          <w:b/>
          <w:bCs/>
          <w:color w:val="auto"/>
          <w:sz w:val="28"/>
          <w:szCs w:val="28"/>
        </w:rPr>
      </w:pPr>
    </w:p>
    <w:p w14:paraId="19FAC797">
      <w:pPr>
        <w:autoSpaceDE/>
        <w:autoSpaceDN/>
        <w:spacing w:line="500" w:lineRule="exact"/>
        <w:rPr>
          <w:rFonts w:ascii="仿宋" w:hAnsi="仿宋" w:eastAsia="仿宋" w:cs="仿宋"/>
          <w:b/>
          <w:bCs/>
          <w:color w:val="auto"/>
          <w:sz w:val="28"/>
          <w:szCs w:val="28"/>
        </w:rPr>
      </w:pPr>
    </w:p>
    <w:p w14:paraId="56A8D622">
      <w:pPr>
        <w:autoSpaceDE/>
        <w:autoSpaceDN/>
        <w:spacing w:line="500" w:lineRule="exact"/>
        <w:rPr>
          <w:rFonts w:ascii="仿宋" w:hAnsi="仿宋" w:eastAsia="仿宋" w:cs="仿宋"/>
          <w:b/>
          <w:bCs/>
          <w:color w:val="auto"/>
          <w:sz w:val="28"/>
          <w:szCs w:val="28"/>
        </w:rPr>
      </w:pPr>
    </w:p>
    <w:p w14:paraId="10CB046B">
      <w:pPr>
        <w:autoSpaceDE/>
        <w:autoSpaceDN/>
        <w:spacing w:line="500" w:lineRule="exact"/>
        <w:rPr>
          <w:rFonts w:ascii="仿宋" w:hAnsi="仿宋" w:eastAsia="仿宋" w:cs="仿宋"/>
          <w:b/>
          <w:bCs/>
          <w:color w:val="auto"/>
          <w:sz w:val="28"/>
          <w:szCs w:val="28"/>
        </w:rPr>
      </w:pPr>
    </w:p>
    <w:p w14:paraId="46AAFF45">
      <w:pPr>
        <w:autoSpaceDE/>
        <w:autoSpaceDN/>
        <w:spacing w:line="500" w:lineRule="exact"/>
        <w:rPr>
          <w:rFonts w:ascii="仿宋" w:hAnsi="仿宋" w:eastAsia="仿宋" w:cs="仿宋"/>
          <w:b/>
          <w:bCs/>
          <w:color w:val="auto"/>
          <w:sz w:val="28"/>
          <w:szCs w:val="28"/>
        </w:rPr>
      </w:pPr>
    </w:p>
    <w:p w14:paraId="44D57409">
      <w:pPr>
        <w:autoSpaceDE/>
        <w:autoSpaceDN/>
        <w:spacing w:line="500" w:lineRule="exact"/>
        <w:rPr>
          <w:rFonts w:ascii="仿宋" w:hAnsi="仿宋" w:eastAsia="仿宋" w:cs="仿宋"/>
          <w:b/>
          <w:bCs/>
          <w:color w:val="auto"/>
          <w:sz w:val="28"/>
          <w:szCs w:val="28"/>
        </w:rPr>
      </w:pPr>
    </w:p>
    <w:p w14:paraId="3713F6C5">
      <w:pPr>
        <w:autoSpaceDE/>
        <w:autoSpaceDN/>
        <w:spacing w:line="500" w:lineRule="exact"/>
        <w:rPr>
          <w:rFonts w:ascii="仿宋" w:hAnsi="仿宋" w:eastAsia="仿宋" w:cs="仿宋"/>
          <w:b/>
          <w:bCs/>
          <w:color w:val="auto"/>
          <w:sz w:val="28"/>
          <w:szCs w:val="28"/>
        </w:rPr>
      </w:pPr>
    </w:p>
    <w:p w14:paraId="47DAE062">
      <w:pPr>
        <w:autoSpaceDE/>
        <w:autoSpaceDN/>
        <w:spacing w:line="500" w:lineRule="exact"/>
        <w:rPr>
          <w:rFonts w:ascii="仿宋" w:hAnsi="仿宋" w:eastAsia="仿宋" w:cs="仿宋"/>
          <w:b/>
          <w:bCs/>
          <w:color w:val="auto"/>
          <w:sz w:val="28"/>
          <w:szCs w:val="28"/>
        </w:rPr>
      </w:pPr>
    </w:p>
    <w:p w14:paraId="46302B97">
      <w:pPr>
        <w:autoSpaceDE/>
        <w:autoSpaceDN/>
        <w:spacing w:line="500" w:lineRule="exact"/>
        <w:rPr>
          <w:rFonts w:ascii="仿宋" w:hAnsi="仿宋" w:eastAsia="仿宋" w:cs="仿宋"/>
          <w:b/>
          <w:bCs/>
          <w:color w:val="auto"/>
          <w:sz w:val="28"/>
          <w:szCs w:val="28"/>
        </w:rPr>
      </w:pPr>
      <w:r>
        <w:rPr>
          <w:rFonts w:ascii="仿宋" w:hAnsi="仿宋" w:eastAsia="仿宋" w:cs="仿宋"/>
          <w:b/>
          <w:bCs/>
          <w:color w:val="auto"/>
          <w:sz w:val="28"/>
          <w:szCs w:val="28"/>
        </w:rPr>
        <w:t>附件1：</w:t>
      </w:r>
    </w:p>
    <w:p w14:paraId="26484A7E">
      <w:pPr>
        <w:autoSpaceDE/>
        <w:autoSpaceDN/>
        <w:spacing w:line="500" w:lineRule="exact"/>
        <w:jc w:val="center"/>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培训说明</w:t>
      </w:r>
    </w:p>
    <w:p w14:paraId="09F74D43">
      <w:pPr>
        <w:autoSpaceDE/>
        <w:autoSpaceDN/>
        <w:spacing w:line="500" w:lineRule="exact"/>
        <w:ind w:firstLine="562" w:firstLineChars="200"/>
        <w:rPr>
          <w:rFonts w:hint="default" w:ascii="仿宋" w:hAnsi="仿宋" w:eastAsia="仿宋" w:cs="仿宋"/>
          <w:b/>
          <w:bCs/>
          <w:color w:val="auto"/>
          <w:sz w:val="28"/>
          <w:szCs w:val="28"/>
        </w:rPr>
      </w:pPr>
      <w:r>
        <w:rPr>
          <w:rFonts w:hint="eastAsia" w:ascii="仿宋" w:hAnsi="仿宋" w:eastAsia="仿宋" w:cs="仿宋"/>
          <w:b/>
          <w:bCs/>
          <w:color w:val="auto"/>
          <w:sz w:val="28"/>
          <w:szCs w:val="28"/>
          <w:lang w:val="en-US" w:eastAsia="zh-CN"/>
        </w:rPr>
        <w:t>一</w:t>
      </w:r>
      <w:r>
        <w:rPr>
          <w:rFonts w:ascii="仿宋" w:hAnsi="仿宋" w:eastAsia="仿宋" w:cs="仿宋"/>
          <w:b/>
          <w:bCs/>
          <w:color w:val="auto"/>
          <w:sz w:val="28"/>
          <w:szCs w:val="28"/>
        </w:rPr>
        <w:t>、培训内容</w:t>
      </w:r>
    </w:p>
    <w:p w14:paraId="7AD741B9">
      <w:pPr>
        <w:keepNext w:val="0"/>
        <w:keepLines w:val="0"/>
        <w:pageBreakBefore w:val="0"/>
        <w:kinsoku/>
        <w:wordWrap/>
        <w:overflowPunct/>
        <w:topLinePunct w:val="0"/>
        <w:autoSpaceDE/>
        <w:autoSpaceDN/>
        <w:bidi w:val="0"/>
        <w:spacing w:line="500" w:lineRule="exact"/>
        <w:ind w:firstLine="562" w:firstLineChars="200"/>
        <w:textAlignment w:val="auto"/>
        <w:rPr>
          <w:rFonts w:hint="default" w:ascii="仿宋" w:hAnsi="仿宋" w:eastAsia="仿宋" w:cs="仿宋"/>
          <w:b/>
          <w:bCs/>
          <w:color w:val="auto"/>
          <w:spacing w:val="8"/>
          <w:sz w:val="28"/>
          <w:szCs w:val="28"/>
        </w:rPr>
      </w:pPr>
      <w:bookmarkStart w:id="0" w:name="OLE_LINK3"/>
      <w:r>
        <w:rPr>
          <w:rFonts w:ascii="仿宋" w:hAnsi="仿宋" w:eastAsia="仿宋" w:cs="仿宋"/>
          <w:b/>
          <w:bCs/>
          <w:color w:val="auto"/>
          <w:sz w:val="28"/>
          <w:szCs w:val="28"/>
        </w:rPr>
        <w:t>（一）</w:t>
      </w:r>
      <w:r>
        <w:rPr>
          <w:rFonts w:hint="default" w:ascii="仿宋" w:hAnsi="仿宋" w:eastAsia="仿宋" w:cs="仿宋"/>
          <w:b/>
          <w:bCs/>
          <w:color w:val="auto"/>
          <w:spacing w:val="8"/>
          <w:sz w:val="28"/>
          <w:szCs w:val="28"/>
        </w:rPr>
        <w:t>最新国家财政、金融和投融资政策的解读</w:t>
      </w:r>
    </w:p>
    <w:p w14:paraId="513732E8">
      <w:pPr>
        <w:keepNext w:val="0"/>
        <w:keepLines w:val="0"/>
        <w:pageBreakBefore w:val="0"/>
        <w:kinsoku/>
        <w:wordWrap/>
        <w:overflowPunct/>
        <w:topLinePunct w:val="0"/>
        <w:autoSpaceDE/>
        <w:autoSpaceDN/>
        <w:bidi w:val="0"/>
        <w:spacing w:line="500" w:lineRule="exact"/>
        <w:ind w:firstLine="840" w:firstLineChars="3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w:t>
      </w:r>
      <w:r>
        <w:rPr>
          <w:rFonts w:hint="default" w:ascii="仿宋" w:hAnsi="仿宋" w:eastAsia="仿宋" w:cs="仿宋"/>
          <w:bCs/>
          <w:color w:val="auto"/>
          <w:sz w:val="28"/>
          <w:szCs w:val="28"/>
          <w:lang w:val="en-US" w:eastAsia="zh-CN"/>
        </w:rPr>
        <w:t>二十届三中全会投融资体制改革要点</w:t>
      </w:r>
      <w:r>
        <w:rPr>
          <w:rFonts w:hint="eastAsia" w:ascii="仿宋" w:hAnsi="仿宋" w:eastAsia="仿宋" w:cs="仿宋"/>
          <w:bCs/>
          <w:color w:val="auto"/>
          <w:sz w:val="28"/>
          <w:szCs w:val="28"/>
          <w:lang w:val="en-US" w:eastAsia="zh-CN"/>
        </w:rPr>
        <w:t>及</w:t>
      </w:r>
      <w:r>
        <w:rPr>
          <w:rFonts w:hint="default" w:ascii="仿宋" w:hAnsi="仿宋" w:eastAsia="仿宋" w:cs="仿宋"/>
          <w:bCs/>
          <w:color w:val="auto"/>
          <w:sz w:val="28"/>
          <w:szCs w:val="28"/>
          <w:lang w:val="en-US" w:eastAsia="zh-CN"/>
        </w:rPr>
        <w:t>财政体制改革对项目融资的影响</w:t>
      </w:r>
      <w:r>
        <w:rPr>
          <w:rFonts w:hint="eastAsia" w:ascii="仿宋" w:hAnsi="仿宋" w:eastAsia="仿宋" w:cs="仿宋"/>
          <w:bCs/>
          <w:color w:val="auto"/>
          <w:sz w:val="28"/>
          <w:szCs w:val="28"/>
          <w:lang w:val="en-US" w:eastAsia="zh-CN"/>
        </w:rPr>
        <w:t>；</w:t>
      </w:r>
    </w:p>
    <w:p w14:paraId="380FB53F">
      <w:pPr>
        <w:keepNext w:val="0"/>
        <w:keepLines w:val="0"/>
        <w:pageBreakBefore w:val="0"/>
        <w:kinsoku/>
        <w:wordWrap/>
        <w:overflowPunct/>
        <w:topLinePunct w:val="0"/>
        <w:autoSpaceDE/>
        <w:autoSpaceDN/>
        <w:bidi w:val="0"/>
        <w:spacing w:line="500" w:lineRule="exact"/>
        <w:ind w:firstLine="840" w:firstLineChars="300"/>
        <w:textAlignment w:val="auto"/>
        <w:rPr>
          <w:rFonts w:hint="default" w:ascii="仿宋" w:hAnsi="仿宋" w:eastAsia="仿宋" w:cs="仿宋"/>
          <w:b w:val="0"/>
          <w:bCs/>
          <w:color w:val="auto"/>
          <w:sz w:val="28"/>
          <w:szCs w:val="28"/>
        </w:rPr>
      </w:pPr>
      <w:r>
        <w:rPr>
          <w:rFonts w:hint="eastAsia" w:ascii="仿宋" w:hAnsi="仿宋" w:eastAsia="仿宋" w:cs="仿宋"/>
          <w:bCs/>
          <w:color w:val="auto"/>
          <w:sz w:val="28"/>
          <w:szCs w:val="28"/>
          <w:lang w:val="en-US" w:eastAsia="zh-CN"/>
        </w:rPr>
        <w:t>2</w:t>
      </w:r>
      <w:r>
        <w:rPr>
          <w:rFonts w:hint="default" w:ascii="仿宋" w:hAnsi="仿宋" w:eastAsia="仿宋" w:cs="仿宋"/>
          <w:bCs/>
          <w:color w:val="auto"/>
          <w:sz w:val="28"/>
          <w:szCs w:val="28"/>
        </w:rPr>
        <w:t>.</w:t>
      </w:r>
      <w:r>
        <w:rPr>
          <w:rFonts w:ascii="仿宋" w:hAnsi="仿宋" w:eastAsia="仿宋" w:cs="仿宋"/>
          <w:bCs/>
          <w:color w:val="auto"/>
          <w:sz w:val="28"/>
          <w:szCs w:val="28"/>
        </w:rPr>
        <w:t>我国当前经济形势、中央最新会议精神和</w:t>
      </w:r>
      <w:r>
        <w:rPr>
          <w:rFonts w:hint="default" w:ascii="仿宋" w:hAnsi="仿宋" w:eastAsia="仿宋" w:cs="仿宋"/>
          <w:b w:val="0"/>
          <w:bCs/>
          <w:color w:val="auto"/>
          <w:sz w:val="28"/>
          <w:szCs w:val="28"/>
        </w:rPr>
        <w:t>财政金融</w:t>
      </w:r>
      <w:r>
        <w:rPr>
          <w:rFonts w:ascii="仿宋" w:hAnsi="仿宋" w:eastAsia="仿宋" w:cs="仿宋"/>
          <w:bCs/>
          <w:color w:val="auto"/>
          <w:sz w:val="28"/>
          <w:szCs w:val="28"/>
        </w:rPr>
        <w:t>政策</w:t>
      </w:r>
      <w:r>
        <w:rPr>
          <w:rFonts w:hint="default" w:ascii="仿宋" w:hAnsi="仿宋" w:eastAsia="仿宋" w:cs="仿宋"/>
          <w:bCs/>
          <w:color w:val="auto"/>
          <w:sz w:val="28"/>
          <w:szCs w:val="28"/>
        </w:rPr>
        <w:t>对政府投融资</w:t>
      </w:r>
      <w:r>
        <w:rPr>
          <w:rFonts w:hint="default" w:ascii="仿宋" w:hAnsi="仿宋" w:eastAsia="仿宋" w:cs="仿宋"/>
          <w:b w:val="0"/>
          <w:bCs/>
          <w:color w:val="auto"/>
          <w:sz w:val="28"/>
          <w:szCs w:val="28"/>
        </w:rPr>
        <w:t>的影响分析</w:t>
      </w:r>
      <w:r>
        <w:rPr>
          <w:rFonts w:hint="default" w:ascii="仿宋" w:hAnsi="仿宋" w:eastAsia="仿宋" w:cs="仿宋"/>
          <w:bCs/>
          <w:color w:val="auto"/>
          <w:sz w:val="28"/>
          <w:szCs w:val="28"/>
        </w:rPr>
        <w:t>；</w:t>
      </w:r>
    </w:p>
    <w:p w14:paraId="2C322CFA">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仿宋" w:hAnsi="仿宋" w:eastAsia="仿宋" w:cs="仿宋"/>
          <w:b w:val="0"/>
          <w:bCs/>
          <w:color w:val="auto"/>
          <w:sz w:val="28"/>
          <w:szCs w:val="28"/>
        </w:rPr>
      </w:pPr>
      <w:r>
        <w:rPr>
          <w:rFonts w:hint="default" w:ascii="仿宋" w:hAnsi="仿宋" w:eastAsia="仿宋" w:cs="仿宋"/>
          <w:b w:val="0"/>
          <w:bCs/>
          <w:color w:val="auto"/>
          <w:sz w:val="28"/>
          <w:szCs w:val="28"/>
        </w:rPr>
        <w:tab/>
      </w:r>
      <w:r>
        <w:rPr>
          <w:rFonts w:hint="eastAsia" w:ascii="仿宋" w:hAnsi="仿宋" w:eastAsia="仿宋" w:cs="仿宋"/>
          <w:bCs/>
          <w:color w:val="auto"/>
          <w:sz w:val="28"/>
          <w:szCs w:val="28"/>
          <w:lang w:val="en-US" w:eastAsia="zh-CN"/>
        </w:rPr>
        <w:t>3</w:t>
      </w:r>
      <w:r>
        <w:rPr>
          <w:rFonts w:hint="default" w:ascii="仿宋" w:hAnsi="仿宋" w:eastAsia="仿宋" w:cs="仿宋"/>
          <w:bCs/>
          <w:color w:val="auto"/>
          <w:sz w:val="28"/>
          <w:szCs w:val="28"/>
        </w:rPr>
        <w:t>.</w:t>
      </w:r>
      <w:r>
        <w:rPr>
          <w:rFonts w:ascii="仿宋" w:hAnsi="仿宋" w:eastAsia="仿宋" w:cs="仿宋"/>
          <w:bCs/>
          <w:color w:val="auto"/>
          <w:sz w:val="28"/>
          <w:szCs w:val="28"/>
        </w:rPr>
        <w:t>从基础设施相关领域政策（如PPP新机制、基础设施</w:t>
      </w:r>
      <w:r>
        <w:rPr>
          <w:rFonts w:hint="default" w:ascii="仿宋" w:hAnsi="仿宋" w:eastAsia="仿宋" w:cs="仿宋"/>
          <w:bCs/>
          <w:color w:val="auto"/>
          <w:sz w:val="28"/>
          <w:szCs w:val="28"/>
        </w:rPr>
        <w:t>REITs、专项债、超长期特别国债等），看未来</w:t>
      </w:r>
      <w:r>
        <w:rPr>
          <w:rFonts w:ascii="仿宋" w:hAnsi="仿宋" w:eastAsia="仿宋" w:cs="仿宋"/>
          <w:bCs/>
          <w:color w:val="auto"/>
          <w:sz w:val="28"/>
          <w:szCs w:val="28"/>
        </w:rPr>
        <w:t>政府</w:t>
      </w:r>
      <w:r>
        <w:rPr>
          <w:rFonts w:hint="default" w:ascii="仿宋" w:hAnsi="仿宋" w:eastAsia="仿宋" w:cs="仿宋"/>
          <w:bCs/>
          <w:color w:val="auto"/>
          <w:sz w:val="28"/>
          <w:szCs w:val="28"/>
        </w:rPr>
        <w:t>投融资的重点方向和区域；</w:t>
      </w:r>
    </w:p>
    <w:p w14:paraId="3F522D59">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仿宋" w:hAnsi="仿宋" w:eastAsia="仿宋" w:cs="仿宋"/>
          <w:b w:val="0"/>
          <w:bCs/>
          <w:color w:val="auto"/>
          <w:sz w:val="28"/>
          <w:szCs w:val="28"/>
        </w:rPr>
      </w:pPr>
      <w:r>
        <w:rPr>
          <w:rFonts w:hint="default" w:ascii="仿宋" w:hAnsi="仿宋" w:eastAsia="仿宋" w:cs="仿宋"/>
          <w:b w:val="0"/>
          <w:bCs/>
          <w:color w:val="auto"/>
          <w:sz w:val="28"/>
          <w:szCs w:val="28"/>
        </w:rPr>
        <w:tab/>
      </w:r>
      <w:r>
        <w:rPr>
          <w:rFonts w:hint="eastAsia" w:ascii="仿宋" w:hAnsi="仿宋" w:eastAsia="仿宋" w:cs="仿宋"/>
          <w:bCs/>
          <w:color w:val="auto"/>
          <w:sz w:val="28"/>
          <w:szCs w:val="28"/>
          <w:lang w:val="en-US" w:eastAsia="zh-CN"/>
        </w:rPr>
        <w:t>4</w:t>
      </w:r>
      <w:r>
        <w:rPr>
          <w:rFonts w:hint="default" w:ascii="仿宋" w:hAnsi="仿宋" w:eastAsia="仿宋" w:cs="仿宋"/>
          <w:bCs/>
          <w:color w:val="auto"/>
          <w:sz w:val="28"/>
          <w:szCs w:val="28"/>
        </w:rPr>
        <w:t>.</w:t>
      </w:r>
      <w:r>
        <w:rPr>
          <w:rFonts w:hint="default" w:ascii="仿宋" w:hAnsi="仿宋" w:eastAsia="仿宋" w:cs="仿宋"/>
          <w:b w:val="0"/>
          <w:bCs/>
          <w:color w:val="auto"/>
          <w:sz w:val="28"/>
          <w:szCs w:val="28"/>
        </w:rPr>
        <w:t>重点政府投融资政策的详解，如《政府投资条例》</w:t>
      </w:r>
      <w:r>
        <w:rPr>
          <w:rFonts w:ascii="仿宋" w:hAnsi="仿宋" w:eastAsia="仿宋" w:cs="仿宋"/>
          <w:bCs/>
          <w:color w:val="auto"/>
          <w:sz w:val="28"/>
          <w:szCs w:val="28"/>
        </w:rPr>
        <w:t>，</w:t>
      </w:r>
      <w:r>
        <w:rPr>
          <w:rFonts w:hint="default" w:ascii="仿宋" w:hAnsi="仿宋" w:eastAsia="仿宋" w:cs="仿宋"/>
          <w:b w:val="0"/>
          <w:bCs/>
          <w:color w:val="auto"/>
          <w:sz w:val="28"/>
          <w:szCs w:val="28"/>
        </w:rPr>
        <w:t>财预50号文</w:t>
      </w:r>
      <w:r>
        <w:rPr>
          <w:rFonts w:ascii="仿宋" w:hAnsi="仿宋" w:eastAsia="仿宋" w:cs="仿宋"/>
          <w:bCs/>
          <w:color w:val="auto"/>
          <w:sz w:val="28"/>
          <w:szCs w:val="28"/>
        </w:rPr>
        <w:t>，</w:t>
      </w:r>
      <w:r>
        <w:rPr>
          <w:rFonts w:hint="default" w:ascii="仿宋" w:hAnsi="仿宋" w:eastAsia="仿宋" w:cs="仿宋"/>
          <w:b w:val="0"/>
          <w:bCs/>
          <w:color w:val="auto"/>
          <w:sz w:val="28"/>
          <w:szCs w:val="28"/>
        </w:rPr>
        <w:t>国办发19号文</w:t>
      </w:r>
      <w:r>
        <w:rPr>
          <w:rFonts w:ascii="仿宋" w:hAnsi="仿宋" w:eastAsia="仿宋" w:cs="仿宋"/>
          <w:bCs/>
          <w:color w:val="auto"/>
          <w:sz w:val="28"/>
          <w:szCs w:val="28"/>
        </w:rPr>
        <w:t>，</w:t>
      </w:r>
      <w:r>
        <w:rPr>
          <w:rFonts w:hint="default" w:ascii="仿宋" w:hAnsi="仿宋" w:eastAsia="仿宋" w:cs="仿宋"/>
          <w:bCs/>
          <w:color w:val="auto"/>
          <w:sz w:val="28"/>
          <w:szCs w:val="28"/>
        </w:rPr>
        <w:t>国办发35号文、47号文和134号文，国办函</w:t>
      </w:r>
      <w:r>
        <w:rPr>
          <w:rFonts w:ascii="仿宋" w:hAnsi="仿宋" w:eastAsia="仿宋" w:cs="仿宋"/>
          <w:bCs/>
          <w:color w:val="auto"/>
          <w:sz w:val="28"/>
          <w:szCs w:val="28"/>
        </w:rPr>
        <w:t>1</w:t>
      </w:r>
      <w:r>
        <w:rPr>
          <w:rFonts w:hint="default" w:ascii="仿宋" w:hAnsi="仿宋" w:eastAsia="仿宋" w:cs="仿宋"/>
          <w:bCs/>
          <w:color w:val="auto"/>
          <w:sz w:val="28"/>
          <w:szCs w:val="28"/>
        </w:rPr>
        <w:t>15号文</w:t>
      </w:r>
      <w:r>
        <w:rPr>
          <w:rFonts w:ascii="仿宋" w:hAnsi="仿宋" w:eastAsia="仿宋" w:cs="仿宋"/>
          <w:bCs/>
          <w:color w:val="auto"/>
          <w:sz w:val="28"/>
          <w:szCs w:val="28"/>
        </w:rPr>
        <w:t>，</w:t>
      </w:r>
      <w:r>
        <w:rPr>
          <w:rFonts w:hint="default" w:ascii="仿宋" w:hAnsi="仿宋" w:eastAsia="仿宋" w:cs="仿宋"/>
          <w:b w:val="0"/>
          <w:bCs/>
          <w:color w:val="auto"/>
          <w:sz w:val="28"/>
          <w:szCs w:val="28"/>
        </w:rPr>
        <w:t>财资108号文</w:t>
      </w:r>
      <w:r>
        <w:rPr>
          <w:rFonts w:hint="eastAsia" w:ascii="仿宋" w:hAnsi="仿宋" w:eastAsia="仿宋" w:cs="仿宋"/>
          <w:b w:val="0"/>
          <w:bCs/>
          <w:color w:val="auto"/>
          <w:sz w:val="28"/>
          <w:szCs w:val="28"/>
          <w:lang w:val="en-US" w:eastAsia="zh-CN"/>
        </w:rPr>
        <w:t>及四部委150号文</w:t>
      </w:r>
      <w:r>
        <w:rPr>
          <w:rFonts w:hint="default" w:ascii="仿宋" w:hAnsi="仿宋" w:eastAsia="仿宋" w:cs="仿宋"/>
          <w:b w:val="0"/>
          <w:bCs/>
          <w:color w:val="auto"/>
          <w:sz w:val="28"/>
          <w:szCs w:val="28"/>
        </w:rPr>
        <w:t>等政策</w:t>
      </w:r>
      <w:r>
        <w:rPr>
          <w:rFonts w:hint="default" w:ascii="仿宋" w:hAnsi="仿宋" w:eastAsia="仿宋" w:cs="仿宋"/>
          <w:bCs/>
          <w:color w:val="auto"/>
          <w:sz w:val="28"/>
          <w:szCs w:val="28"/>
        </w:rPr>
        <w:t>；</w:t>
      </w:r>
    </w:p>
    <w:p w14:paraId="260CF435">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b w:val="0"/>
          <w:bCs/>
          <w:color w:val="auto"/>
          <w:sz w:val="28"/>
          <w:szCs w:val="28"/>
          <w:lang w:eastAsia="zh-CN"/>
        </w:rPr>
      </w:pPr>
      <w:r>
        <w:rPr>
          <w:rFonts w:hint="default" w:ascii="仿宋" w:hAnsi="仿宋" w:eastAsia="仿宋" w:cs="仿宋"/>
          <w:b w:val="0"/>
          <w:bCs/>
          <w:color w:val="auto"/>
          <w:sz w:val="28"/>
          <w:szCs w:val="28"/>
        </w:rPr>
        <w:tab/>
      </w:r>
      <w:r>
        <w:rPr>
          <w:rFonts w:hint="eastAsia" w:ascii="仿宋" w:hAnsi="仿宋" w:eastAsia="仿宋" w:cs="仿宋"/>
          <w:bCs/>
          <w:color w:val="auto"/>
          <w:sz w:val="28"/>
          <w:szCs w:val="28"/>
          <w:lang w:val="en-US" w:eastAsia="zh-CN"/>
        </w:rPr>
        <w:t>5</w:t>
      </w:r>
      <w:r>
        <w:rPr>
          <w:rFonts w:hint="default" w:ascii="仿宋" w:hAnsi="仿宋" w:eastAsia="仿宋" w:cs="仿宋"/>
          <w:bCs/>
          <w:color w:val="auto"/>
          <w:sz w:val="28"/>
          <w:szCs w:val="28"/>
        </w:rPr>
        <w:t>.</w:t>
      </w:r>
      <w:r>
        <w:rPr>
          <w:rFonts w:hint="default" w:ascii="仿宋" w:hAnsi="仿宋" w:eastAsia="仿宋" w:cs="仿宋"/>
          <w:b w:val="0"/>
          <w:bCs/>
          <w:color w:val="auto"/>
          <w:sz w:val="28"/>
          <w:szCs w:val="28"/>
        </w:rPr>
        <w:t>审计署最新工作报告</w:t>
      </w:r>
      <w:r>
        <w:rPr>
          <w:rFonts w:hint="default" w:ascii="仿宋" w:hAnsi="仿宋" w:eastAsia="仿宋" w:cs="仿宋"/>
          <w:bCs/>
          <w:color w:val="auto"/>
          <w:sz w:val="28"/>
          <w:szCs w:val="28"/>
        </w:rPr>
        <w:t>、财政部最新债务报告等</w:t>
      </w:r>
      <w:r>
        <w:rPr>
          <w:rFonts w:hint="default" w:ascii="仿宋" w:hAnsi="仿宋" w:eastAsia="仿宋" w:cs="仿宋"/>
          <w:b w:val="0"/>
          <w:bCs/>
          <w:color w:val="auto"/>
          <w:sz w:val="28"/>
          <w:szCs w:val="28"/>
        </w:rPr>
        <w:t>对地方</w:t>
      </w:r>
      <w:r>
        <w:rPr>
          <w:rFonts w:ascii="仿宋" w:hAnsi="仿宋" w:eastAsia="仿宋" w:cs="仿宋"/>
          <w:bCs/>
          <w:color w:val="auto"/>
          <w:sz w:val="28"/>
          <w:szCs w:val="28"/>
        </w:rPr>
        <w:t>政府</w:t>
      </w:r>
      <w:r>
        <w:rPr>
          <w:rFonts w:hint="default" w:ascii="仿宋" w:hAnsi="仿宋" w:eastAsia="仿宋" w:cs="仿宋"/>
          <w:bCs/>
          <w:color w:val="auto"/>
          <w:sz w:val="28"/>
          <w:szCs w:val="28"/>
        </w:rPr>
        <w:t>投融资</w:t>
      </w:r>
      <w:r>
        <w:rPr>
          <w:rFonts w:hint="default" w:ascii="仿宋" w:hAnsi="仿宋" w:eastAsia="仿宋" w:cs="仿宋"/>
          <w:b w:val="0"/>
          <w:bCs/>
          <w:color w:val="auto"/>
          <w:sz w:val="28"/>
          <w:szCs w:val="28"/>
        </w:rPr>
        <w:t>的</w:t>
      </w:r>
      <w:r>
        <w:rPr>
          <w:rFonts w:ascii="仿宋" w:hAnsi="仿宋" w:eastAsia="仿宋" w:cs="仿宋"/>
          <w:bCs/>
          <w:color w:val="auto"/>
          <w:sz w:val="28"/>
          <w:szCs w:val="28"/>
        </w:rPr>
        <w:t>影响和审计案例</w:t>
      </w:r>
      <w:r>
        <w:rPr>
          <w:rFonts w:hint="default" w:ascii="仿宋" w:hAnsi="仿宋" w:eastAsia="仿宋" w:cs="仿宋"/>
          <w:b w:val="0"/>
          <w:bCs/>
          <w:color w:val="auto"/>
          <w:sz w:val="28"/>
          <w:szCs w:val="28"/>
        </w:rPr>
        <w:t>分析</w:t>
      </w:r>
      <w:r>
        <w:rPr>
          <w:rFonts w:hint="eastAsia" w:ascii="仿宋" w:hAnsi="仿宋" w:eastAsia="仿宋" w:cs="仿宋"/>
          <w:b w:val="0"/>
          <w:bCs/>
          <w:color w:val="auto"/>
          <w:sz w:val="28"/>
          <w:szCs w:val="28"/>
          <w:lang w:eastAsia="zh-CN"/>
        </w:rPr>
        <w:t>；</w:t>
      </w:r>
    </w:p>
    <w:p w14:paraId="2A91330E">
      <w:pPr>
        <w:keepNext w:val="0"/>
        <w:keepLines w:val="0"/>
        <w:pageBreakBefore w:val="0"/>
        <w:kinsoku/>
        <w:wordWrap/>
        <w:overflowPunct/>
        <w:topLinePunct w:val="0"/>
        <w:autoSpaceDE/>
        <w:autoSpaceDN/>
        <w:bidi w:val="0"/>
        <w:spacing w:line="500" w:lineRule="exact"/>
        <w:ind w:firstLine="840" w:firstLineChars="300"/>
        <w:textAlignment w:val="auto"/>
        <w:rPr>
          <w:rFonts w:hint="default"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6.财政部最新</w:t>
      </w:r>
      <w:r>
        <w:rPr>
          <w:rFonts w:hint="eastAsia" w:ascii="仿宋" w:hAnsi="仿宋" w:eastAsia="仿宋"/>
          <w:color w:val="000000" w:themeColor="text1"/>
          <w:sz w:val="28"/>
          <w:szCs w:val="28"/>
          <w14:textFill>
            <w14:solidFill>
              <w14:schemeClr w14:val="tx1"/>
            </w14:solidFill>
          </w14:textFill>
        </w:rPr>
        <w:t>通报八起地方政府隐性债务问责典型案例</w:t>
      </w:r>
      <w:r>
        <w:rPr>
          <w:rFonts w:hint="eastAsia" w:ascii="仿宋" w:hAnsi="仿宋" w:eastAsia="仿宋"/>
          <w:color w:val="000000" w:themeColor="text1"/>
          <w:sz w:val="28"/>
          <w:szCs w:val="28"/>
          <w:lang w:val="en-US" w:eastAsia="zh-CN"/>
          <w14:textFill>
            <w14:solidFill>
              <w14:schemeClr w14:val="tx1"/>
            </w14:solidFill>
          </w14:textFill>
        </w:rPr>
        <w:t>解析。</w:t>
      </w:r>
    </w:p>
    <w:p w14:paraId="43D66471">
      <w:pPr>
        <w:keepNext w:val="0"/>
        <w:keepLines w:val="0"/>
        <w:pageBreakBefore w:val="0"/>
        <w:kinsoku/>
        <w:wordWrap/>
        <w:overflowPunct/>
        <w:topLinePunct w:val="0"/>
        <w:autoSpaceDE/>
        <w:autoSpaceDN/>
        <w:bidi w:val="0"/>
        <w:spacing w:line="500" w:lineRule="exact"/>
        <w:ind w:firstLine="594" w:firstLineChars="200"/>
        <w:textAlignment w:val="auto"/>
        <w:rPr>
          <w:rFonts w:hint="default" w:ascii="仿宋" w:hAnsi="仿宋" w:eastAsia="仿宋" w:cs="仿宋"/>
          <w:b/>
          <w:bCs/>
          <w:color w:val="auto"/>
          <w:spacing w:val="8"/>
          <w:sz w:val="28"/>
          <w:szCs w:val="28"/>
        </w:rPr>
      </w:pPr>
      <w:r>
        <w:rPr>
          <w:rFonts w:ascii="仿宋" w:hAnsi="仿宋" w:eastAsia="仿宋" w:cs="仿宋"/>
          <w:b/>
          <w:bCs/>
          <w:color w:val="auto"/>
          <w:spacing w:val="8"/>
          <w:sz w:val="28"/>
          <w:szCs w:val="28"/>
        </w:rPr>
        <w:t>（二）35号文背景下金融支持融资平台化债的实务和案例</w:t>
      </w:r>
    </w:p>
    <w:p w14:paraId="69F3B109">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ascii="仿宋" w:hAnsi="仿宋" w:eastAsia="仿宋" w:cs="仿宋"/>
          <w:color w:val="auto"/>
          <w:spacing w:val="8"/>
          <w:sz w:val="28"/>
          <w:szCs w:val="28"/>
        </w:rPr>
        <w:t>1.怎样理解地方国企的分类管理，针对名单内的融资平台融资“限制”、“福利”，以及存量债务借新还旧的要求及案例；</w:t>
      </w:r>
    </w:p>
    <w:p w14:paraId="4978A061">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hint="default" w:ascii="仿宋" w:hAnsi="仿宋" w:eastAsia="仿宋" w:cs="仿宋"/>
          <w:color w:val="auto"/>
          <w:spacing w:val="8"/>
          <w:sz w:val="28"/>
          <w:szCs w:val="28"/>
        </w:rPr>
        <w:t>2</w:t>
      </w:r>
      <w:r>
        <w:rPr>
          <w:rFonts w:ascii="仿宋" w:hAnsi="仿宋" w:eastAsia="仿宋" w:cs="仿宋"/>
          <w:color w:val="auto"/>
          <w:spacing w:val="8"/>
          <w:sz w:val="28"/>
          <w:szCs w:val="28"/>
        </w:rPr>
        <w:t>.名单外参考融资平台公司管理的融资导向及实务，以及新增融资条件及案例；</w:t>
      </w:r>
    </w:p>
    <w:p w14:paraId="0A9D84E6">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hint="default" w:ascii="仿宋" w:hAnsi="仿宋" w:eastAsia="仿宋" w:cs="仿宋"/>
          <w:color w:val="auto"/>
          <w:spacing w:val="8"/>
          <w:sz w:val="28"/>
          <w:szCs w:val="28"/>
        </w:rPr>
        <w:t>3</w:t>
      </w:r>
      <w:r>
        <w:rPr>
          <w:rFonts w:ascii="仿宋" w:hAnsi="仿宋" w:eastAsia="仿宋" w:cs="仿宋"/>
          <w:color w:val="auto"/>
          <w:spacing w:val="8"/>
          <w:sz w:val="28"/>
          <w:szCs w:val="28"/>
        </w:rPr>
        <w:t>.融资平台公司产业转型标准（3</w:t>
      </w:r>
      <w:r>
        <w:rPr>
          <w:rFonts w:hint="default" w:ascii="仿宋" w:hAnsi="仿宋" w:eastAsia="仿宋" w:cs="仿宋"/>
          <w:color w:val="auto"/>
          <w:spacing w:val="8"/>
          <w:sz w:val="28"/>
          <w:szCs w:val="28"/>
        </w:rPr>
        <w:t>35指标</w:t>
      </w:r>
      <w:r>
        <w:rPr>
          <w:rFonts w:ascii="仿宋" w:hAnsi="仿宋" w:eastAsia="仿宋" w:cs="仿宋"/>
          <w:color w:val="auto"/>
          <w:spacing w:val="8"/>
          <w:sz w:val="28"/>
          <w:szCs w:val="28"/>
        </w:rPr>
        <w:t>）解析及主体选择，以及如何建立防范融资平台公司债务风险长效机制；</w:t>
      </w:r>
    </w:p>
    <w:p w14:paraId="660D5150">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hint="default" w:ascii="仿宋" w:hAnsi="仿宋" w:eastAsia="仿宋" w:cs="仿宋"/>
          <w:color w:val="auto"/>
          <w:spacing w:val="8"/>
          <w:sz w:val="28"/>
          <w:szCs w:val="28"/>
        </w:rPr>
        <w:t>4</w:t>
      </w:r>
      <w:r>
        <w:rPr>
          <w:rFonts w:ascii="仿宋" w:hAnsi="仿宋" w:eastAsia="仿宋" w:cs="仿宋"/>
          <w:color w:val="auto"/>
          <w:spacing w:val="8"/>
          <w:sz w:val="28"/>
          <w:szCs w:val="28"/>
        </w:rPr>
        <w:t>.处于高风险地区或财务指标不达标时如何开展融资</w:t>
      </w:r>
      <w:r>
        <w:rPr>
          <w:rFonts w:hint="default" w:ascii="仿宋" w:hAnsi="仿宋" w:eastAsia="仿宋" w:cs="仿宋"/>
          <w:color w:val="auto"/>
          <w:spacing w:val="8"/>
          <w:sz w:val="28"/>
          <w:szCs w:val="28"/>
        </w:rPr>
        <w:t>，</w:t>
      </w:r>
      <w:r>
        <w:rPr>
          <w:rFonts w:ascii="仿宋" w:hAnsi="仿宋" w:eastAsia="仿宋" w:cs="仿宋"/>
          <w:color w:val="auto"/>
          <w:spacing w:val="8"/>
          <w:sz w:val="28"/>
          <w:szCs w:val="28"/>
        </w:rPr>
        <w:t>非高风险地区且达到相关财务指标的情况下如何开展融资。</w:t>
      </w:r>
    </w:p>
    <w:bookmarkEnd w:id="0"/>
    <w:p w14:paraId="0AB43648">
      <w:pPr>
        <w:keepNext w:val="0"/>
        <w:keepLines w:val="0"/>
        <w:pageBreakBefore w:val="0"/>
        <w:kinsoku/>
        <w:wordWrap/>
        <w:overflowPunct/>
        <w:topLinePunct w:val="0"/>
        <w:autoSpaceDE/>
        <w:autoSpaceDN/>
        <w:bidi w:val="0"/>
        <w:spacing w:line="500" w:lineRule="exact"/>
        <w:ind w:firstLine="594" w:firstLineChars="200"/>
        <w:textAlignment w:val="auto"/>
        <w:rPr>
          <w:rFonts w:hint="default" w:ascii="仿宋" w:hAnsi="仿宋" w:eastAsia="仿宋" w:cs="仿宋"/>
          <w:b/>
          <w:bCs/>
          <w:color w:val="auto"/>
          <w:spacing w:val="8"/>
          <w:sz w:val="28"/>
          <w:szCs w:val="28"/>
        </w:rPr>
      </w:pPr>
      <w:r>
        <w:rPr>
          <w:rFonts w:ascii="仿宋" w:hAnsi="仿宋" w:eastAsia="仿宋" w:cs="仿宋"/>
          <w:b/>
          <w:bCs/>
          <w:color w:val="auto"/>
          <w:spacing w:val="8"/>
          <w:sz w:val="28"/>
          <w:szCs w:val="28"/>
        </w:rPr>
        <w:t>（三）地方债务风险防范、存量债务化解和投融资合规运作</w:t>
      </w:r>
    </w:p>
    <w:p w14:paraId="7CE2B78D">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仿宋" w:hAnsi="仿宋" w:eastAsia="仿宋" w:cs="仿宋"/>
          <w:color w:val="auto"/>
          <w:spacing w:val="0"/>
          <w:sz w:val="28"/>
          <w:szCs w:val="28"/>
        </w:rPr>
      </w:pPr>
      <w:r>
        <w:rPr>
          <w:rFonts w:hint="default" w:ascii="仿宋" w:hAnsi="仿宋" w:eastAsia="仿宋" w:cs="仿宋"/>
          <w:color w:val="auto"/>
          <w:spacing w:val="0"/>
          <w:sz w:val="28"/>
          <w:szCs w:val="28"/>
        </w:rPr>
        <w:t>1.我国地方政府隐性债务的分类、规模和现状，地方政府政府“红橙黄绿”债务等级的判定和影响；</w:t>
      </w:r>
    </w:p>
    <w:p w14:paraId="682FF59D">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仿宋" w:hAnsi="仿宋" w:eastAsia="仿宋" w:cs="仿宋"/>
          <w:color w:val="auto"/>
          <w:spacing w:val="0"/>
          <w:sz w:val="28"/>
          <w:szCs w:val="28"/>
        </w:rPr>
      </w:pPr>
      <w:r>
        <w:rPr>
          <w:rFonts w:hint="default" w:ascii="仿宋" w:hAnsi="仿宋" w:eastAsia="仿宋" w:cs="仿宋"/>
          <w:color w:val="auto"/>
          <w:spacing w:val="0"/>
          <w:sz w:val="28"/>
          <w:szCs w:val="28"/>
        </w:rPr>
        <w:t>2.如何辨析政府法定债务、政府隐性债务和城投经营性债务，以及分类管理对政府投融资的影响；</w:t>
      </w:r>
    </w:p>
    <w:p w14:paraId="5B76257E">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仿宋" w:hAnsi="仿宋" w:eastAsia="仿宋" w:cs="仿宋"/>
          <w:color w:val="auto"/>
          <w:spacing w:val="0"/>
          <w:sz w:val="28"/>
          <w:szCs w:val="28"/>
        </w:rPr>
      </w:pPr>
      <w:r>
        <w:rPr>
          <w:rFonts w:hint="default" w:ascii="仿宋" w:hAnsi="仿宋" w:eastAsia="仿宋" w:cs="仿宋"/>
          <w:color w:val="auto"/>
          <w:spacing w:val="0"/>
          <w:sz w:val="28"/>
          <w:szCs w:val="28"/>
        </w:rPr>
        <w:t>3.我国地方债务管理的政策的要点解析，如国发43号文，财预50号文，中发27号文，银保监15号文，国办发35号文等；</w:t>
      </w:r>
    </w:p>
    <w:p w14:paraId="51E503CD">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仿宋" w:hAnsi="仿宋" w:eastAsia="仿宋" w:cs="仿宋"/>
          <w:color w:val="auto"/>
          <w:spacing w:val="0"/>
          <w:sz w:val="28"/>
          <w:szCs w:val="28"/>
        </w:rPr>
      </w:pPr>
      <w:r>
        <w:rPr>
          <w:rFonts w:hint="default" w:ascii="仿宋" w:hAnsi="仿宋" w:eastAsia="仿宋" w:cs="仿宋"/>
          <w:color w:val="auto"/>
          <w:spacing w:val="0"/>
          <w:sz w:val="28"/>
          <w:szCs w:val="28"/>
        </w:rPr>
        <w:t>4.财政部认定的</w:t>
      </w:r>
      <w:r>
        <w:rPr>
          <w:rFonts w:ascii="仿宋" w:hAnsi="仿宋" w:eastAsia="仿宋" w:cs="仿宋"/>
          <w:color w:val="auto"/>
          <w:spacing w:val="0"/>
          <w:sz w:val="28"/>
          <w:szCs w:val="28"/>
        </w:rPr>
        <w:t>政府投融资涉嫌新增政府隐性债务的</w:t>
      </w:r>
      <w:r>
        <w:rPr>
          <w:rFonts w:hint="default" w:ascii="仿宋" w:hAnsi="仿宋" w:eastAsia="仿宋" w:cs="仿宋"/>
          <w:color w:val="auto"/>
          <w:spacing w:val="0"/>
          <w:sz w:val="28"/>
          <w:szCs w:val="28"/>
        </w:rPr>
        <w:t>24个</w:t>
      </w:r>
      <w:r>
        <w:rPr>
          <w:rFonts w:ascii="仿宋" w:hAnsi="仿宋" w:eastAsia="仿宋" w:cs="仿宋"/>
          <w:color w:val="auto"/>
          <w:spacing w:val="0"/>
          <w:sz w:val="28"/>
          <w:szCs w:val="28"/>
        </w:rPr>
        <w:t>典型案例分析和风险规避策略；</w:t>
      </w:r>
    </w:p>
    <w:p w14:paraId="2AFA642A">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仿宋" w:hAnsi="仿宋" w:eastAsia="仿宋" w:cs="仿宋"/>
          <w:color w:val="auto"/>
          <w:spacing w:val="0"/>
          <w:sz w:val="28"/>
          <w:szCs w:val="28"/>
        </w:rPr>
      </w:pPr>
      <w:r>
        <w:rPr>
          <w:rFonts w:hint="default" w:ascii="仿宋" w:hAnsi="仿宋" w:eastAsia="仿宋" w:cs="仿宋"/>
          <w:color w:val="auto"/>
          <w:spacing w:val="0"/>
          <w:sz w:val="28"/>
          <w:szCs w:val="28"/>
        </w:rPr>
        <w:t>5.</w:t>
      </w:r>
      <w:r>
        <w:rPr>
          <w:rFonts w:ascii="仿宋" w:hAnsi="仿宋" w:eastAsia="仿宋" w:cs="仿宋"/>
          <w:color w:val="auto"/>
          <w:spacing w:val="0"/>
          <w:sz w:val="28"/>
          <w:szCs w:val="28"/>
        </w:rPr>
        <w:t>地方</w:t>
      </w:r>
      <w:r>
        <w:rPr>
          <w:rFonts w:hint="default" w:ascii="仿宋" w:hAnsi="仿宋" w:eastAsia="仿宋" w:cs="仿宋"/>
          <w:color w:val="auto"/>
          <w:spacing w:val="0"/>
          <w:sz w:val="28"/>
          <w:szCs w:val="28"/>
        </w:rPr>
        <w:t>政府化债的模式分析，如财政资金偿还、资产处置、项目收益偿还、转经营性债务、债务重组、发行特殊再融资债券、发行特殊新增专项债券、盘活存量资产化债等；</w:t>
      </w:r>
    </w:p>
    <w:p w14:paraId="3F993DDE">
      <w:pPr>
        <w:autoSpaceDE/>
        <w:autoSpaceDN/>
        <w:spacing w:line="500" w:lineRule="exact"/>
        <w:ind w:firstLine="560" w:firstLineChars="200"/>
        <w:rPr>
          <w:rFonts w:hint="default" w:ascii="仿宋" w:hAnsi="仿宋" w:eastAsia="仿宋" w:cs="仿宋"/>
          <w:color w:val="auto"/>
          <w:spacing w:val="0"/>
          <w:sz w:val="28"/>
          <w:szCs w:val="28"/>
        </w:rPr>
      </w:pPr>
      <w:r>
        <w:rPr>
          <w:rFonts w:hint="default" w:ascii="仿宋" w:hAnsi="仿宋" w:eastAsia="仿宋" w:cs="仿宋"/>
          <w:color w:val="auto"/>
          <w:spacing w:val="0"/>
          <w:sz w:val="28"/>
          <w:szCs w:val="28"/>
        </w:rPr>
        <w:t>6.地方政府隐性债务监管约束下合规开展政府投融资项目的策略。</w:t>
      </w:r>
    </w:p>
    <w:p w14:paraId="5257D34C">
      <w:pPr>
        <w:keepNext w:val="0"/>
        <w:keepLines w:val="0"/>
        <w:pageBreakBefore w:val="0"/>
        <w:kinsoku/>
        <w:wordWrap/>
        <w:overflowPunct/>
        <w:topLinePunct w:val="0"/>
        <w:autoSpaceDE/>
        <w:autoSpaceDN/>
        <w:bidi w:val="0"/>
        <w:spacing w:line="500" w:lineRule="exact"/>
        <w:ind w:firstLine="594" w:firstLineChars="200"/>
        <w:textAlignment w:val="auto"/>
        <w:rPr>
          <w:rFonts w:hint="default" w:ascii="仿宋" w:hAnsi="仿宋" w:eastAsia="仿宋" w:cs="仿宋"/>
          <w:b/>
          <w:bCs/>
          <w:color w:val="auto"/>
          <w:spacing w:val="8"/>
          <w:sz w:val="28"/>
          <w:szCs w:val="28"/>
        </w:rPr>
      </w:pPr>
      <w:r>
        <w:rPr>
          <w:rFonts w:hint="default" w:ascii="仿宋" w:hAnsi="仿宋" w:eastAsia="仿宋" w:cs="仿宋"/>
          <w:b/>
          <w:bCs/>
          <w:color w:val="auto"/>
          <w:spacing w:val="8"/>
          <w:sz w:val="28"/>
          <w:szCs w:val="28"/>
          <w:lang w:eastAsia="zh-CN"/>
        </w:rPr>
        <w:t>（</w:t>
      </w:r>
      <w:r>
        <w:rPr>
          <w:rFonts w:hint="default" w:ascii="仿宋" w:hAnsi="仿宋" w:eastAsia="仿宋" w:cs="仿宋"/>
          <w:b/>
          <w:bCs/>
          <w:color w:val="auto"/>
          <w:spacing w:val="8"/>
          <w:sz w:val="28"/>
          <w:szCs w:val="28"/>
          <w:lang w:val="en-US" w:eastAsia="zh-CN"/>
        </w:rPr>
        <w:t>四</w:t>
      </w:r>
      <w:r>
        <w:rPr>
          <w:rFonts w:hint="default" w:ascii="仿宋" w:hAnsi="仿宋" w:eastAsia="仿宋" w:cs="仿宋"/>
          <w:b/>
          <w:bCs/>
          <w:color w:val="auto"/>
          <w:spacing w:val="8"/>
          <w:sz w:val="28"/>
          <w:szCs w:val="28"/>
          <w:lang w:eastAsia="zh-CN"/>
        </w:rPr>
        <w:t>）</w:t>
      </w:r>
      <w:r>
        <w:rPr>
          <w:rFonts w:hint="default" w:ascii="仿宋" w:hAnsi="仿宋" w:eastAsia="仿宋" w:cs="仿宋"/>
          <w:b/>
          <w:bCs/>
          <w:color w:val="auto"/>
          <w:spacing w:val="8"/>
          <w:sz w:val="28"/>
          <w:szCs w:val="28"/>
          <w:lang w:val="en-US" w:eastAsia="zh-CN"/>
        </w:rPr>
        <w:t>盘活存量资产、提升国有资产治理能力，促进</w:t>
      </w:r>
      <w:r>
        <w:rPr>
          <w:rFonts w:hint="eastAsia" w:ascii="仿宋" w:hAnsi="仿宋" w:eastAsia="仿宋" w:cs="仿宋"/>
          <w:b/>
          <w:bCs/>
          <w:color w:val="auto"/>
          <w:spacing w:val="8"/>
          <w:sz w:val="28"/>
          <w:szCs w:val="28"/>
          <w:lang w:val="en-US" w:eastAsia="zh-CN"/>
        </w:rPr>
        <w:t>国有</w:t>
      </w:r>
      <w:r>
        <w:rPr>
          <w:rFonts w:hint="default" w:ascii="仿宋" w:hAnsi="仿宋" w:eastAsia="仿宋" w:cs="仿宋"/>
          <w:b/>
          <w:bCs/>
          <w:color w:val="auto"/>
          <w:spacing w:val="8"/>
          <w:sz w:val="28"/>
          <w:szCs w:val="28"/>
          <w:lang w:val="en-US" w:eastAsia="zh-CN"/>
        </w:rPr>
        <w:t>资产保值增值</w:t>
      </w:r>
    </w:p>
    <w:p w14:paraId="4BC5F26F">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pacing w:val="0"/>
          <w:sz w:val="28"/>
          <w:szCs w:val="28"/>
          <w:lang w:val="en-US" w:eastAsia="zh-CN"/>
        </w:rPr>
      </w:pPr>
      <w:r>
        <w:rPr>
          <w:rFonts w:hint="default" w:ascii="仿宋" w:hAnsi="仿宋" w:eastAsia="仿宋" w:cs="仿宋"/>
          <w:color w:val="auto"/>
          <w:spacing w:val="0"/>
          <w:sz w:val="28"/>
          <w:szCs w:val="28"/>
          <w:lang w:val="en-US" w:eastAsia="zh-CN"/>
        </w:rPr>
        <w:t>1.</w:t>
      </w:r>
      <w:r>
        <w:rPr>
          <w:rFonts w:hint="default" w:ascii="仿宋" w:hAnsi="仿宋" w:eastAsia="仿宋" w:cs="仿宋"/>
          <w:color w:val="auto"/>
          <w:spacing w:val="0"/>
          <w:sz w:val="28"/>
          <w:szCs w:val="28"/>
        </w:rPr>
        <w:t>盘活存量资产、化解地方债务及</w:t>
      </w:r>
      <w:r>
        <w:rPr>
          <w:rFonts w:hint="default" w:ascii="仿宋" w:hAnsi="仿宋" w:eastAsia="仿宋" w:cs="仿宋"/>
          <w:color w:val="auto"/>
          <w:spacing w:val="0"/>
          <w:sz w:val="28"/>
          <w:szCs w:val="28"/>
          <w:lang w:val="en-US" w:eastAsia="zh-CN"/>
        </w:rPr>
        <w:t>提升国有资产治理能力</w:t>
      </w:r>
      <w:r>
        <w:rPr>
          <w:rFonts w:hint="default" w:ascii="仿宋" w:hAnsi="仿宋" w:eastAsia="仿宋" w:cs="仿宋"/>
          <w:color w:val="auto"/>
          <w:spacing w:val="0"/>
          <w:sz w:val="28"/>
          <w:szCs w:val="28"/>
        </w:rPr>
        <w:t>的相关政策</w:t>
      </w:r>
      <w:r>
        <w:rPr>
          <w:rFonts w:hint="eastAsia" w:ascii="仿宋" w:hAnsi="仿宋" w:eastAsia="仿宋" w:cs="仿宋"/>
          <w:color w:val="auto"/>
          <w:spacing w:val="0"/>
          <w:sz w:val="28"/>
          <w:szCs w:val="28"/>
          <w:lang w:val="en-US" w:eastAsia="zh-CN"/>
        </w:rPr>
        <w:t>解读；</w:t>
      </w:r>
    </w:p>
    <w:p w14:paraId="1861BCEC">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pacing w:val="0"/>
          <w:sz w:val="28"/>
          <w:szCs w:val="28"/>
          <w:lang w:eastAsia="zh-CN"/>
        </w:rPr>
      </w:pPr>
      <w:r>
        <w:rPr>
          <w:rFonts w:hint="default" w:ascii="仿宋" w:hAnsi="仿宋" w:eastAsia="仿宋" w:cs="仿宋"/>
          <w:color w:val="auto"/>
          <w:spacing w:val="0"/>
          <w:sz w:val="28"/>
          <w:szCs w:val="28"/>
          <w:lang w:val="en-US" w:eastAsia="zh-CN"/>
        </w:rPr>
        <w:t>2.</w:t>
      </w:r>
      <w:r>
        <w:rPr>
          <w:rFonts w:hint="default" w:ascii="仿宋" w:hAnsi="仿宋" w:eastAsia="仿宋" w:cs="仿宋"/>
          <w:color w:val="auto"/>
          <w:spacing w:val="0"/>
          <w:sz w:val="28"/>
          <w:szCs w:val="28"/>
        </w:rPr>
        <w:t>盘活存量资产</w:t>
      </w:r>
      <w:r>
        <w:rPr>
          <w:rFonts w:hint="eastAsia" w:ascii="仿宋" w:hAnsi="仿宋" w:eastAsia="仿宋" w:cs="仿宋"/>
          <w:color w:val="auto"/>
          <w:spacing w:val="0"/>
          <w:sz w:val="28"/>
          <w:szCs w:val="28"/>
          <w:lang w:val="en-US" w:eastAsia="zh-CN"/>
        </w:rPr>
        <w:t>与</w:t>
      </w:r>
      <w:r>
        <w:rPr>
          <w:rFonts w:hint="default" w:ascii="仿宋" w:hAnsi="仿宋" w:eastAsia="仿宋" w:cs="仿宋"/>
          <w:color w:val="auto"/>
          <w:spacing w:val="0"/>
          <w:sz w:val="28"/>
          <w:szCs w:val="28"/>
        </w:rPr>
        <w:t>资源整合</w:t>
      </w:r>
      <w:r>
        <w:rPr>
          <w:rFonts w:hint="eastAsia" w:ascii="仿宋" w:hAnsi="仿宋" w:eastAsia="仿宋" w:cs="仿宋"/>
          <w:color w:val="auto"/>
          <w:spacing w:val="0"/>
          <w:sz w:val="28"/>
          <w:szCs w:val="28"/>
          <w:lang w:val="en-US" w:eastAsia="zh-CN"/>
        </w:rPr>
        <w:t>的</w:t>
      </w:r>
      <w:r>
        <w:rPr>
          <w:rFonts w:hint="default" w:ascii="仿宋" w:hAnsi="仿宋" w:eastAsia="仿宋" w:cs="仿宋"/>
          <w:color w:val="auto"/>
          <w:spacing w:val="0"/>
          <w:sz w:val="28"/>
          <w:szCs w:val="28"/>
        </w:rPr>
        <w:t>方案设计</w:t>
      </w:r>
      <w:r>
        <w:rPr>
          <w:rFonts w:hint="eastAsia" w:ascii="仿宋" w:hAnsi="仿宋" w:eastAsia="仿宋" w:cs="仿宋"/>
          <w:color w:val="auto"/>
          <w:spacing w:val="0"/>
          <w:sz w:val="28"/>
          <w:szCs w:val="28"/>
          <w:lang w:val="en-US" w:eastAsia="zh-CN"/>
        </w:rPr>
        <w:t>与</w:t>
      </w:r>
      <w:r>
        <w:rPr>
          <w:rFonts w:hint="default" w:ascii="仿宋" w:hAnsi="仿宋" w:eastAsia="仿宋" w:cs="仿宋"/>
          <w:color w:val="auto"/>
          <w:spacing w:val="0"/>
          <w:sz w:val="28"/>
          <w:szCs w:val="28"/>
        </w:rPr>
        <w:t>实施</w:t>
      </w:r>
      <w:r>
        <w:rPr>
          <w:rFonts w:hint="eastAsia" w:ascii="仿宋" w:hAnsi="仿宋" w:eastAsia="仿宋" w:cs="仿宋"/>
          <w:color w:val="auto"/>
          <w:spacing w:val="0"/>
          <w:sz w:val="28"/>
          <w:szCs w:val="28"/>
          <w:lang w:eastAsia="zh-CN"/>
        </w:rPr>
        <w:t>；</w:t>
      </w:r>
    </w:p>
    <w:p w14:paraId="4EDEBEB1">
      <w:pPr>
        <w:autoSpaceDE/>
        <w:autoSpaceDN/>
        <w:spacing w:line="500" w:lineRule="exact"/>
        <w:ind w:firstLine="560" w:firstLineChars="200"/>
        <w:rPr>
          <w:rFonts w:hint="default" w:ascii="仿宋" w:hAnsi="仿宋" w:eastAsia="仿宋" w:cs="仿宋"/>
          <w:color w:val="auto"/>
          <w:spacing w:val="0"/>
          <w:sz w:val="28"/>
          <w:szCs w:val="28"/>
        </w:rPr>
      </w:pPr>
      <w:r>
        <w:rPr>
          <w:rFonts w:hint="default" w:ascii="仿宋" w:hAnsi="仿宋" w:eastAsia="仿宋" w:cs="仿宋"/>
          <w:color w:val="auto"/>
          <w:spacing w:val="0"/>
          <w:sz w:val="28"/>
          <w:szCs w:val="28"/>
          <w:lang w:val="en-US" w:eastAsia="zh-CN"/>
        </w:rPr>
        <w:t>3.</w:t>
      </w:r>
      <w:r>
        <w:rPr>
          <w:rFonts w:hint="eastAsia" w:ascii="仿宋" w:hAnsi="仿宋" w:eastAsia="仿宋" w:cs="仿宋"/>
          <w:color w:val="auto"/>
          <w:spacing w:val="0"/>
          <w:sz w:val="28"/>
          <w:szCs w:val="28"/>
          <w:lang w:val="en-US" w:eastAsia="zh-CN"/>
        </w:rPr>
        <w:t>盘活存量资产的</w:t>
      </w:r>
      <w:r>
        <w:rPr>
          <w:rFonts w:hint="default" w:ascii="仿宋" w:hAnsi="仿宋" w:eastAsia="仿宋" w:cs="仿宋"/>
          <w:color w:val="auto"/>
          <w:spacing w:val="0"/>
          <w:sz w:val="28"/>
          <w:szCs w:val="28"/>
        </w:rPr>
        <w:t>操作实务和典型案例</w:t>
      </w:r>
      <w:r>
        <w:rPr>
          <w:rFonts w:hint="eastAsia" w:ascii="仿宋" w:hAnsi="仿宋" w:eastAsia="仿宋" w:cs="仿宋"/>
          <w:color w:val="auto"/>
          <w:spacing w:val="0"/>
          <w:sz w:val="28"/>
          <w:szCs w:val="28"/>
          <w:lang w:eastAsia="zh-CN"/>
        </w:rPr>
        <w:t>。</w:t>
      </w:r>
    </w:p>
    <w:p w14:paraId="2C2A79E6">
      <w:pPr>
        <w:keepNext w:val="0"/>
        <w:keepLines w:val="0"/>
        <w:pageBreakBefore w:val="0"/>
        <w:kinsoku/>
        <w:wordWrap/>
        <w:overflowPunct/>
        <w:topLinePunct w:val="0"/>
        <w:autoSpaceDE/>
        <w:autoSpaceDN/>
        <w:bidi w:val="0"/>
        <w:spacing w:line="500" w:lineRule="exact"/>
        <w:ind w:firstLine="562" w:firstLineChars="200"/>
        <w:textAlignment w:val="auto"/>
        <w:rPr>
          <w:rFonts w:hint="default" w:ascii="仿宋" w:hAnsi="仿宋" w:eastAsia="仿宋" w:cs="仿宋"/>
          <w:b/>
          <w:bCs/>
          <w:color w:val="auto"/>
          <w:sz w:val="28"/>
          <w:szCs w:val="28"/>
        </w:rPr>
      </w:pPr>
      <w:r>
        <w:rPr>
          <w:rFonts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五</w:t>
      </w:r>
      <w:r>
        <w:rPr>
          <w:rFonts w:ascii="仿宋" w:hAnsi="仿宋" w:eastAsia="仿宋" w:cs="仿宋"/>
          <w:b/>
          <w:bCs/>
          <w:color w:val="auto"/>
          <w:sz w:val="28"/>
          <w:szCs w:val="28"/>
        </w:rPr>
        <w:t>）超长期特别国债、专项债、中央预算内资金申报及谋划实务</w:t>
      </w:r>
    </w:p>
    <w:p w14:paraId="216D63F8">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仿宋" w:hAnsi="仿宋" w:eastAsia="仿宋" w:cs="仿宋"/>
          <w:color w:val="auto"/>
          <w:sz w:val="28"/>
          <w:szCs w:val="28"/>
        </w:rPr>
      </w:pPr>
      <w:r>
        <w:rPr>
          <w:rFonts w:ascii="仿宋" w:hAnsi="仿宋" w:eastAsia="仿宋" w:cs="仿宋"/>
          <w:color w:val="auto"/>
          <w:sz w:val="28"/>
          <w:szCs w:val="28"/>
        </w:rPr>
        <w:t>1.超长期国债申报点要点及注意事项；</w:t>
      </w:r>
    </w:p>
    <w:p w14:paraId="4A71E2C5">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仿宋" w:hAnsi="仿宋" w:eastAsia="仿宋" w:cs="仿宋"/>
          <w:color w:val="auto"/>
          <w:sz w:val="28"/>
          <w:szCs w:val="28"/>
        </w:rPr>
      </w:pPr>
      <w:r>
        <w:rPr>
          <w:rFonts w:ascii="仿宋" w:hAnsi="仿宋" w:eastAsia="仿宋" w:cs="仿宋"/>
          <w:color w:val="auto"/>
          <w:sz w:val="28"/>
          <w:szCs w:val="28"/>
        </w:rPr>
        <w:t>2.地方政府专项债劵项目的支持领域、谋划要点和规范使用；</w:t>
      </w:r>
    </w:p>
    <w:p w14:paraId="6CDBD0C2">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仿宋" w:hAnsi="仿宋" w:eastAsia="仿宋" w:cs="仿宋"/>
          <w:color w:val="auto"/>
          <w:sz w:val="28"/>
          <w:szCs w:val="28"/>
        </w:rPr>
      </w:pPr>
      <w:r>
        <w:rPr>
          <w:rFonts w:ascii="仿宋" w:hAnsi="仿宋" w:eastAsia="仿宋" w:cs="仿宋"/>
          <w:color w:val="auto"/>
          <w:sz w:val="28"/>
          <w:szCs w:val="28"/>
        </w:rPr>
        <w:t>3.中央预算内资金申报要点及项目谋划思路；</w:t>
      </w:r>
    </w:p>
    <w:p w14:paraId="51A7E48A">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仿宋" w:hAnsi="仿宋" w:eastAsia="仿宋" w:cs="仿宋"/>
          <w:color w:val="auto"/>
          <w:sz w:val="28"/>
          <w:szCs w:val="28"/>
        </w:rPr>
      </w:pPr>
      <w:r>
        <w:rPr>
          <w:rFonts w:ascii="仿宋" w:hAnsi="仿宋" w:eastAsia="仿宋" w:cs="仿宋"/>
          <w:color w:val="auto"/>
          <w:sz w:val="28"/>
          <w:szCs w:val="28"/>
        </w:rPr>
        <w:t>4.</w:t>
      </w:r>
      <w:r>
        <w:rPr>
          <w:rFonts w:hint="default" w:ascii="仿宋" w:hAnsi="仿宋" w:eastAsia="仿宋" w:cs="仿宋"/>
          <w:color w:val="auto"/>
          <w:sz w:val="28"/>
          <w:szCs w:val="28"/>
        </w:rPr>
        <w:t>连续发行超长期特别国债的背景分析</w:t>
      </w:r>
      <w:r>
        <w:rPr>
          <w:rFonts w:ascii="仿宋" w:hAnsi="仿宋" w:eastAsia="仿宋" w:cs="仿宋"/>
          <w:color w:val="auto"/>
          <w:sz w:val="28"/>
          <w:szCs w:val="28"/>
        </w:rPr>
        <w:t>；</w:t>
      </w:r>
    </w:p>
    <w:p w14:paraId="2A90C883">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仿宋" w:hAnsi="仿宋" w:eastAsia="仿宋" w:cs="仿宋"/>
          <w:color w:val="auto"/>
          <w:sz w:val="28"/>
          <w:szCs w:val="28"/>
        </w:rPr>
      </w:pPr>
      <w:r>
        <w:rPr>
          <w:rFonts w:ascii="仿宋" w:hAnsi="仿宋" w:eastAsia="仿宋" w:cs="仿宋"/>
          <w:color w:val="auto"/>
          <w:sz w:val="28"/>
          <w:szCs w:val="28"/>
        </w:rPr>
        <w:t>5.</w:t>
      </w:r>
      <w:r>
        <w:rPr>
          <w:rFonts w:hint="default" w:ascii="仿宋" w:hAnsi="仿宋" w:eastAsia="仿宋" w:cs="仿宋"/>
          <w:color w:val="auto"/>
          <w:sz w:val="28"/>
          <w:szCs w:val="28"/>
        </w:rPr>
        <w:t>超长期特别国债对地方将带来哪些利好；</w:t>
      </w:r>
    </w:p>
    <w:p w14:paraId="152248A7">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仿宋" w:hAnsi="仿宋" w:eastAsia="仿宋" w:cs="仿宋"/>
          <w:color w:val="auto"/>
          <w:sz w:val="28"/>
          <w:szCs w:val="28"/>
        </w:rPr>
      </w:pPr>
      <w:r>
        <w:rPr>
          <w:rFonts w:ascii="仿宋" w:hAnsi="仿宋" w:eastAsia="仿宋" w:cs="仿宋"/>
          <w:color w:val="auto"/>
          <w:sz w:val="28"/>
          <w:szCs w:val="28"/>
        </w:rPr>
        <w:t>6.</w:t>
      </w:r>
      <w:r>
        <w:rPr>
          <w:rFonts w:hint="default" w:ascii="仿宋" w:hAnsi="仿宋" w:eastAsia="仿宋" w:cs="仿宋"/>
          <w:color w:val="auto"/>
          <w:sz w:val="28"/>
          <w:szCs w:val="28"/>
        </w:rPr>
        <w:t>超长期特别国债支持的重点领域和方向；</w:t>
      </w:r>
    </w:p>
    <w:p w14:paraId="0BAF635F">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仿宋" w:hAnsi="仿宋" w:eastAsia="仿宋" w:cs="仿宋"/>
          <w:b/>
          <w:bCs/>
          <w:color w:val="auto"/>
          <w:sz w:val="28"/>
          <w:szCs w:val="28"/>
        </w:rPr>
      </w:pPr>
      <w:r>
        <w:rPr>
          <w:rFonts w:ascii="仿宋" w:hAnsi="仿宋" w:eastAsia="仿宋" w:cs="仿宋"/>
          <w:color w:val="auto"/>
          <w:sz w:val="28"/>
          <w:szCs w:val="28"/>
        </w:rPr>
        <w:t>7.最新</w:t>
      </w:r>
      <w:r>
        <w:rPr>
          <w:rFonts w:hint="default" w:ascii="仿宋" w:hAnsi="仿宋" w:eastAsia="仿宋" w:cs="仿宋"/>
          <w:color w:val="auto"/>
          <w:sz w:val="28"/>
          <w:szCs w:val="28"/>
        </w:rPr>
        <w:t>超长期特别国债申报流程及准备材料。</w:t>
      </w:r>
    </w:p>
    <w:p w14:paraId="7DB40842">
      <w:pPr>
        <w:pStyle w:val="8"/>
        <w:keepNext w:val="0"/>
        <w:keepLines w:val="0"/>
        <w:pageBreakBefore w:val="0"/>
        <w:shd w:val="clear" w:color="auto" w:fill="FFFFFF"/>
        <w:kinsoku/>
        <w:wordWrap/>
        <w:overflowPunct/>
        <w:topLinePunct w:val="0"/>
        <w:bidi w:val="0"/>
        <w:spacing w:before="0" w:beforeAutospacing="0" w:after="0" w:afterAutospacing="0" w:line="500" w:lineRule="exact"/>
        <w:ind w:firstLine="594" w:firstLineChars="200"/>
        <w:jc w:val="both"/>
        <w:textAlignment w:val="auto"/>
        <w:rPr>
          <w:rFonts w:ascii="微软雅黑" w:hAnsi="微软雅黑" w:eastAsia="微软雅黑" w:cs="仿宋"/>
          <w:b/>
          <w:bCs/>
          <w:color w:val="auto"/>
        </w:rPr>
      </w:pPr>
      <w:r>
        <w:rPr>
          <w:rFonts w:hint="eastAsia" w:ascii="仿宋" w:hAnsi="仿宋" w:eastAsia="仿宋" w:cs="仿宋"/>
          <w:b/>
          <w:bCs/>
          <w:color w:val="auto"/>
          <w:spacing w:val="8"/>
          <w:sz w:val="28"/>
          <w:szCs w:val="28"/>
        </w:rPr>
        <w:t>（</w:t>
      </w:r>
      <w:r>
        <w:rPr>
          <w:rFonts w:hint="eastAsia" w:ascii="仿宋" w:hAnsi="仿宋" w:eastAsia="仿宋" w:cs="仿宋"/>
          <w:b/>
          <w:bCs/>
          <w:color w:val="auto"/>
          <w:spacing w:val="8"/>
          <w:sz w:val="28"/>
          <w:szCs w:val="28"/>
          <w:lang w:val="en-US" w:eastAsia="zh-CN"/>
        </w:rPr>
        <w:t>六</w:t>
      </w:r>
      <w:r>
        <w:rPr>
          <w:rFonts w:hint="eastAsia" w:ascii="仿宋" w:hAnsi="仿宋" w:eastAsia="仿宋" w:cs="仿宋"/>
          <w:b/>
          <w:bCs/>
          <w:color w:val="auto"/>
          <w:spacing w:val="8"/>
          <w:sz w:val="28"/>
          <w:szCs w:val="28"/>
        </w:rPr>
        <w:t>）PPP新机制和特许经营政策及操作实务</w:t>
      </w:r>
    </w:p>
    <w:p w14:paraId="57917A67">
      <w:pPr>
        <w:keepNext w:val="0"/>
        <w:keepLines w:val="0"/>
        <w:pageBreakBefore w:val="0"/>
        <w:kinsoku/>
        <w:wordWrap/>
        <w:overflowPunct/>
        <w:topLinePunct w:val="0"/>
        <w:autoSpaceDE/>
        <w:autoSpaceDN/>
        <w:bidi w:val="0"/>
        <w:spacing w:line="500" w:lineRule="exact"/>
        <w:ind w:firstLine="592" w:firstLineChars="200"/>
        <w:textAlignment w:val="auto"/>
        <w:rPr>
          <w:rFonts w:ascii="仿宋" w:hAnsi="仿宋" w:eastAsia="仿宋" w:cs="仿宋"/>
          <w:color w:val="auto"/>
          <w:spacing w:val="8"/>
          <w:sz w:val="28"/>
          <w:szCs w:val="28"/>
        </w:rPr>
      </w:pPr>
      <w:r>
        <w:rPr>
          <w:rFonts w:hint="default" w:ascii="仿宋" w:hAnsi="仿宋" w:eastAsia="仿宋" w:cs="仿宋"/>
          <w:color w:val="auto"/>
          <w:spacing w:val="8"/>
          <w:sz w:val="28"/>
          <w:szCs w:val="28"/>
        </w:rPr>
        <w:t>1.《关于规范实施政府和社会资本合作新机制的指导意见》（国办函〔2023〕115号）政策出台的背景和要点分析，如政府合规投资支持、合规运营补贴、特许经营新操作流程等；</w:t>
      </w:r>
    </w:p>
    <w:p w14:paraId="55C3F75E">
      <w:pPr>
        <w:keepNext w:val="0"/>
        <w:keepLines w:val="0"/>
        <w:pageBreakBefore w:val="0"/>
        <w:kinsoku/>
        <w:wordWrap/>
        <w:overflowPunct/>
        <w:topLinePunct w:val="0"/>
        <w:autoSpaceDE/>
        <w:autoSpaceDN/>
        <w:bidi w:val="0"/>
        <w:spacing w:line="500" w:lineRule="exact"/>
        <w:ind w:firstLine="592" w:firstLineChars="200"/>
        <w:textAlignment w:val="auto"/>
        <w:rPr>
          <w:rFonts w:ascii="仿宋" w:hAnsi="仿宋" w:eastAsia="仿宋" w:cs="仿宋"/>
          <w:color w:val="auto"/>
          <w:spacing w:val="8"/>
          <w:sz w:val="28"/>
          <w:szCs w:val="28"/>
        </w:rPr>
      </w:pPr>
      <w:r>
        <w:rPr>
          <w:rFonts w:hint="default" w:ascii="仿宋" w:hAnsi="仿宋" w:eastAsia="仿宋" w:cs="仿宋"/>
          <w:color w:val="auto"/>
          <w:spacing w:val="8"/>
          <w:sz w:val="28"/>
          <w:szCs w:val="28"/>
        </w:rPr>
        <w:t>2.支持民营企业参与项目清单（2023年版）的分类解析，寻找新机制背景下项目投融资谋划的机遇；</w:t>
      </w:r>
    </w:p>
    <w:p w14:paraId="4D30D025">
      <w:pPr>
        <w:keepNext w:val="0"/>
        <w:keepLines w:val="0"/>
        <w:pageBreakBefore w:val="0"/>
        <w:kinsoku/>
        <w:wordWrap/>
        <w:overflowPunct/>
        <w:topLinePunct w:val="0"/>
        <w:autoSpaceDE/>
        <w:autoSpaceDN/>
        <w:bidi w:val="0"/>
        <w:spacing w:line="500" w:lineRule="exact"/>
        <w:ind w:firstLine="592" w:firstLineChars="200"/>
        <w:textAlignment w:val="auto"/>
        <w:rPr>
          <w:rFonts w:ascii="仿宋" w:hAnsi="仿宋" w:eastAsia="仿宋" w:cs="仿宋"/>
          <w:color w:val="auto"/>
          <w:spacing w:val="8"/>
          <w:sz w:val="28"/>
          <w:szCs w:val="28"/>
        </w:rPr>
      </w:pPr>
      <w:r>
        <w:rPr>
          <w:rFonts w:hint="default" w:ascii="仿宋" w:hAnsi="仿宋" w:eastAsia="仿宋" w:cs="仿宋"/>
          <w:color w:val="auto"/>
          <w:spacing w:val="8"/>
          <w:sz w:val="28"/>
          <w:szCs w:val="28"/>
        </w:rPr>
        <w:t>3.《基础设施和公用事业特许经营管理办法》（17号令）的全文逐条分析和要点解读；</w:t>
      </w:r>
    </w:p>
    <w:p w14:paraId="4945DD24">
      <w:pPr>
        <w:keepNext w:val="0"/>
        <w:keepLines w:val="0"/>
        <w:pageBreakBefore w:val="0"/>
        <w:kinsoku/>
        <w:wordWrap/>
        <w:overflowPunct/>
        <w:topLinePunct w:val="0"/>
        <w:autoSpaceDE/>
        <w:autoSpaceDN/>
        <w:bidi w:val="0"/>
        <w:spacing w:line="500" w:lineRule="exact"/>
        <w:ind w:firstLine="592" w:firstLineChars="200"/>
        <w:textAlignment w:val="auto"/>
        <w:rPr>
          <w:rFonts w:ascii="仿宋" w:hAnsi="仿宋" w:eastAsia="仿宋" w:cs="仿宋"/>
          <w:color w:val="auto"/>
          <w:spacing w:val="8"/>
          <w:sz w:val="28"/>
          <w:szCs w:val="28"/>
        </w:rPr>
      </w:pPr>
      <w:r>
        <w:rPr>
          <w:rFonts w:hint="default" w:ascii="仿宋" w:hAnsi="仿宋" w:eastAsia="仿宋" w:cs="仿宋"/>
          <w:color w:val="auto"/>
          <w:spacing w:val="8"/>
          <w:sz w:val="28"/>
          <w:szCs w:val="28"/>
        </w:rPr>
        <w:t>4.《关于建立全国政府和社会资本合作项目信息系统的通知》（发改办投资[2024]151号）指引下</w:t>
      </w:r>
      <w:r>
        <w:rPr>
          <w:rFonts w:ascii="仿宋" w:hAnsi="仿宋" w:eastAsia="仿宋" w:cs="仿宋"/>
          <w:color w:val="auto"/>
          <w:spacing w:val="8"/>
          <w:sz w:val="28"/>
          <w:szCs w:val="28"/>
        </w:rPr>
        <w:t>特许经营</w:t>
      </w:r>
      <w:r>
        <w:rPr>
          <w:rFonts w:hint="default" w:ascii="仿宋" w:hAnsi="仿宋" w:eastAsia="仿宋" w:cs="仿宋"/>
          <w:color w:val="auto"/>
          <w:spacing w:val="8"/>
          <w:sz w:val="28"/>
          <w:szCs w:val="28"/>
        </w:rPr>
        <w:t>项目入库全流程；</w:t>
      </w:r>
    </w:p>
    <w:p w14:paraId="7B8AE196">
      <w:pPr>
        <w:keepNext w:val="0"/>
        <w:keepLines w:val="0"/>
        <w:pageBreakBefore w:val="0"/>
        <w:kinsoku/>
        <w:wordWrap/>
        <w:overflowPunct/>
        <w:topLinePunct w:val="0"/>
        <w:autoSpaceDE/>
        <w:autoSpaceDN/>
        <w:bidi w:val="0"/>
        <w:spacing w:line="500" w:lineRule="exact"/>
        <w:ind w:firstLine="592" w:firstLineChars="200"/>
        <w:textAlignment w:val="auto"/>
        <w:rPr>
          <w:rFonts w:ascii="仿宋" w:hAnsi="仿宋" w:eastAsia="仿宋" w:cs="仿宋"/>
          <w:color w:val="auto"/>
          <w:spacing w:val="8"/>
          <w:sz w:val="28"/>
          <w:szCs w:val="28"/>
        </w:rPr>
      </w:pPr>
      <w:r>
        <w:rPr>
          <w:rFonts w:hint="default" w:ascii="仿宋" w:hAnsi="仿宋" w:eastAsia="仿宋" w:cs="仿宋"/>
          <w:color w:val="auto"/>
          <w:spacing w:val="8"/>
          <w:sz w:val="28"/>
          <w:szCs w:val="28"/>
        </w:rPr>
        <w:t>5.《政府和社会资本合作项目特许经营方案编写大纲》</w:t>
      </w:r>
      <w:r>
        <w:rPr>
          <w:rFonts w:ascii="仿宋" w:hAnsi="仿宋" w:eastAsia="仿宋" w:cs="仿宋"/>
          <w:color w:val="auto"/>
          <w:spacing w:val="8"/>
          <w:sz w:val="28"/>
          <w:szCs w:val="28"/>
        </w:rPr>
        <w:t>要求下</w:t>
      </w:r>
      <w:r>
        <w:rPr>
          <w:rFonts w:hint="default" w:ascii="仿宋" w:hAnsi="仿宋" w:eastAsia="仿宋" w:cs="仿宋"/>
          <w:color w:val="auto"/>
          <w:spacing w:val="8"/>
          <w:sz w:val="28"/>
          <w:szCs w:val="28"/>
        </w:rPr>
        <w:t>，特许经营方案的编制</w:t>
      </w:r>
      <w:r>
        <w:rPr>
          <w:rFonts w:ascii="仿宋" w:hAnsi="仿宋" w:eastAsia="仿宋" w:cs="仿宋"/>
          <w:color w:val="auto"/>
          <w:spacing w:val="8"/>
          <w:sz w:val="28"/>
          <w:szCs w:val="28"/>
        </w:rPr>
        <w:t>要点</w:t>
      </w:r>
      <w:r>
        <w:rPr>
          <w:rFonts w:hint="default" w:ascii="仿宋" w:hAnsi="仿宋" w:eastAsia="仿宋" w:cs="仿宋"/>
          <w:color w:val="auto"/>
          <w:spacing w:val="8"/>
          <w:sz w:val="28"/>
          <w:szCs w:val="28"/>
        </w:rPr>
        <w:t>和特许经营模式的可行性论证分析；</w:t>
      </w:r>
    </w:p>
    <w:p w14:paraId="03F458AF">
      <w:pPr>
        <w:keepNext w:val="0"/>
        <w:keepLines w:val="0"/>
        <w:pageBreakBefore w:val="0"/>
        <w:kinsoku/>
        <w:wordWrap/>
        <w:overflowPunct/>
        <w:topLinePunct w:val="0"/>
        <w:autoSpaceDE/>
        <w:autoSpaceDN/>
        <w:bidi w:val="0"/>
        <w:spacing w:line="500" w:lineRule="exact"/>
        <w:ind w:firstLine="592" w:firstLineChars="200"/>
        <w:textAlignment w:val="auto"/>
        <w:rPr>
          <w:rFonts w:ascii="仿宋" w:hAnsi="仿宋" w:eastAsia="仿宋" w:cs="仿宋"/>
          <w:color w:val="auto"/>
          <w:spacing w:val="8"/>
          <w:sz w:val="28"/>
          <w:szCs w:val="28"/>
        </w:rPr>
      </w:pPr>
      <w:r>
        <w:rPr>
          <w:rFonts w:hint="default" w:ascii="仿宋" w:hAnsi="仿宋" w:eastAsia="仿宋" w:cs="仿宋"/>
          <w:color w:val="auto"/>
          <w:spacing w:val="8"/>
          <w:sz w:val="28"/>
          <w:szCs w:val="28"/>
        </w:rPr>
        <w:t>6.《政府和社会资本合作项目特许经营协议（编制）范本（2024年试行版）》的重点条款解读；</w:t>
      </w:r>
    </w:p>
    <w:p w14:paraId="05024C3F">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仿宋" w:hAnsi="仿宋" w:eastAsia="仿宋" w:cs="仿宋"/>
          <w:color w:val="auto"/>
          <w:spacing w:val="0"/>
          <w:sz w:val="28"/>
          <w:szCs w:val="28"/>
        </w:rPr>
      </w:pPr>
      <w:r>
        <w:rPr>
          <w:rFonts w:hint="default" w:ascii="仿宋" w:hAnsi="仿宋" w:eastAsia="仿宋" w:cs="仿宋"/>
          <w:color w:val="auto"/>
          <w:spacing w:val="0"/>
          <w:sz w:val="28"/>
          <w:szCs w:val="28"/>
        </w:rPr>
        <w:t>7.特许经营新政策指引下投融资项目的谋划和操作全流程实务和特许经营项目最新案例分析；</w:t>
      </w:r>
    </w:p>
    <w:p w14:paraId="7D12AF19">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仿宋" w:hAnsi="仿宋" w:eastAsia="仿宋" w:cs="仿宋"/>
          <w:color w:val="auto"/>
          <w:spacing w:val="0"/>
          <w:sz w:val="28"/>
          <w:szCs w:val="28"/>
        </w:rPr>
      </w:pPr>
      <w:r>
        <w:rPr>
          <w:rFonts w:hint="default" w:ascii="仿宋" w:hAnsi="仿宋" w:eastAsia="仿宋" w:cs="仿宋"/>
          <w:color w:val="auto"/>
          <w:spacing w:val="0"/>
          <w:sz w:val="28"/>
          <w:szCs w:val="28"/>
        </w:rPr>
        <w:t>8.存量PPP项目的规范处理和应对策略。</w:t>
      </w:r>
    </w:p>
    <w:p w14:paraId="7B6345FC">
      <w:pPr>
        <w:keepNext w:val="0"/>
        <w:keepLines w:val="0"/>
        <w:pageBreakBefore w:val="0"/>
        <w:kinsoku/>
        <w:wordWrap/>
        <w:overflowPunct/>
        <w:topLinePunct w:val="0"/>
        <w:autoSpaceDE/>
        <w:autoSpaceDN/>
        <w:bidi w:val="0"/>
        <w:spacing w:line="500" w:lineRule="exact"/>
        <w:ind w:firstLine="594" w:firstLineChars="200"/>
        <w:textAlignment w:val="auto"/>
        <w:rPr>
          <w:rFonts w:hint="default" w:ascii="微软雅黑" w:hAnsi="微软雅黑" w:eastAsia="微软雅黑"/>
          <w:b/>
          <w:color w:val="auto"/>
          <w:szCs w:val="24"/>
        </w:rPr>
      </w:pPr>
      <w:r>
        <w:rPr>
          <w:rFonts w:ascii="仿宋" w:hAnsi="仿宋" w:eastAsia="仿宋" w:cs="仿宋"/>
          <w:b/>
          <w:bCs/>
          <w:color w:val="auto"/>
          <w:spacing w:val="8"/>
          <w:sz w:val="28"/>
          <w:szCs w:val="28"/>
        </w:rPr>
        <w:t>（</w:t>
      </w:r>
      <w:r>
        <w:rPr>
          <w:rFonts w:hint="eastAsia" w:ascii="仿宋" w:hAnsi="仿宋" w:eastAsia="仿宋" w:cs="仿宋"/>
          <w:b/>
          <w:bCs/>
          <w:color w:val="auto"/>
          <w:spacing w:val="8"/>
          <w:sz w:val="28"/>
          <w:szCs w:val="28"/>
          <w:lang w:val="en-US" w:eastAsia="zh-CN"/>
        </w:rPr>
        <w:t>七</w:t>
      </w:r>
      <w:r>
        <w:rPr>
          <w:rFonts w:ascii="仿宋" w:hAnsi="仿宋" w:eastAsia="仿宋" w:cs="仿宋"/>
          <w:b/>
          <w:bCs/>
          <w:color w:val="auto"/>
          <w:spacing w:val="8"/>
          <w:sz w:val="28"/>
          <w:szCs w:val="28"/>
        </w:rPr>
        <w:t>）新政下“三大工程”合规运作及金融支持实务</w:t>
      </w:r>
    </w:p>
    <w:p w14:paraId="610FB7BD">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ascii="仿宋" w:hAnsi="仿宋" w:eastAsia="仿宋" w:cs="仿宋"/>
          <w:color w:val="auto"/>
          <w:spacing w:val="8"/>
          <w:sz w:val="28"/>
          <w:szCs w:val="28"/>
        </w:rPr>
        <w:t>1.“三大工程“政策解析与投融资模式及案例；</w:t>
      </w:r>
    </w:p>
    <w:p w14:paraId="28F698F7">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ascii="仿宋" w:hAnsi="仿宋" w:eastAsia="仿宋" w:cs="仿宋"/>
          <w:color w:val="auto"/>
          <w:spacing w:val="8"/>
          <w:sz w:val="28"/>
          <w:szCs w:val="28"/>
        </w:rPr>
        <w:t>2.政府投资+委托代建模式应用及案例；</w:t>
      </w:r>
    </w:p>
    <w:p w14:paraId="49058E7E">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ascii="仿宋" w:hAnsi="仿宋" w:eastAsia="仿宋" w:cs="仿宋"/>
          <w:color w:val="auto"/>
          <w:spacing w:val="8"/>
          <w:sz w:val="28"/>
          <w:szCs w:val="28"/>
        </w:rPr>
        <w:t>3.政府支持+授权开发模式应用及案例；</w:t>
      </w:r>
    </w:p>
    <w:p w14:paraId="6A8FD180">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ascii="仿宋" w:hAnsi="仿宋" w:eastAsia="仿宋" w:cs="仿宋"/>
          <w:color w:val="auto"/>
          <w:spacing w:val="8"/>
          <w:sz w:val="28"/>
          <w:szCs w:val="28"/>
        </w:rPr>
        <w:t>4.政府和社会资本合作模式应用及案例；</w:t>
      </w:r>
    </w:p>
    <w:p w14:paraId="687CD6BD">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ascii="仿宋" w:hAnsi="仿宋" w:eastAsia="仿宋" w:cs="仿宋"/>
          <w:color w:val="auto"/>
          <w:spacing w:val="8"/>
          <w:sz w:val="28"/>
          <w:szCs w:val="28"/>
        </w:rPr>
        <w:t>5.“三大工程“能否应用土地开发一二级联动如何应用；</w:t>
      </w:r>
    </w:p>
    <w:p w14:paraId="0BD03251">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ascii="仿宋" w:hAnsi="仿宋" w:eastAsia="仿宋" w:cs="仿宋"/>
          <w:color w:val="auto"/>
          <w:spacing w:val="8"/>
          <w:sz w:val="28"/>
          <w:szCs w:val="28"/>
        </w:rPr>
        <w:t>6.城中村改造投融资开发模式及案例（房票安置、回购安置、工业上楼、专项债券等）；</w:t>
      </w:r>
    </w:p>
    <w:p w14:paraId="09D2D9AE">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ascii="仿宋" w:hAnsi="仿宋" w:eastAsia="仿宋" w:cs="仿宋"/>
          <w:color w:val="auto"/>
          <w:spacing w:val="8"/>
          <w:sz w:val="28"/>
          <w:szCs w:val="28"/>
        </w:rPr>
        <w:t>7.保障性住房投融资模式及案例；</w:t>
      </w:r>
    </w:p>
    <w:p w14:paraId="684AAAF8">
      <w:pPr>
        <w:autoSpaceDE/>
        <w:autoSpaceDN/>
        <w:spacing w:line="500" w:lineRule="exact"/>
        <w:ind w:firstLine="592" w:firstLineChars="200"/>
        <w:rPr>
          <w:rFonts w:hint="default" w:ascii="仿宋" w:hAnsi="仿宋" w:eastAsia="仿宋" w:cs="仿宋"/>
          <w:color w:val="auto"/>
          <w:spacing w:val="8"/>
          <w:sz w:val="28"/>
          <w:szCs w:val="28"/>
        </w:rPr>
      </w:pPr>
      <w:r>
        <w:rPr>
          <w:rFonts w:ascii="仿宋" w:hAnsi="仿宋" w:eastAsia="仿宋" w:cs="仿宋"/>
          <w:color w:val="auto"/>
          <w:spacing w:val="8"/>
          <w:sz w:val="28"/>
          <w:szCs w:val="28"/>
        </w:rPr>
        <w:t>8.“平急两用“公共基础设施建设项目投融资模式及案例。</w:t>
      </w:r>
    </w:p>
    <w:p w14:paraId="42C357B5">
      <w:pPr>
        <w:keepNext w:val="0"/>
        <w:keepLines w:val="0"/>
        <w:pageBreakBefore w:val="0"/>
        <w:kinsoku/>
        <w:wordWrap/>
        <w:overflowPunct/>
        <w:topLinePunct w:val="0"/>
        <w:autoSpaceDE/>
        <w:autoSpaceDN/>
        <w:bidi w:val="0"/>
        <w:spacing w:line="500" w:lineRule="exact"/>
        <w:ind w:firstLine="594" w:firstLineChars="200"/>
        <w:textAlignment w:val="auto"/>
        <w:rPr>
          <w:rFonts w:hint="default" w:ascii="微软雅黑" w:hAnsi="微软雅黑" w:eastAsia="微软雅黑"/>
          <w:b/>
          <w:color w:val="auto"/>
          <w:szCs w:val="24"/>
        </w:rPr>
      </w:pPr>
      <w:r>
        <w:rPr>
          <w:rFonts w:ascii="仿宋" w:hAnsi="仿宋" w:eastAsia="仿宋" w:cs="仿宋"/>
          <w:b/>
          <w:bCs/>
          <w:color w:val="auto"/>
          <w:spacing w:val="8"/>
          <w:sz w:val="28"/>
          <w:szCs w:val="28"/>
        </w:rPr>
        <w:t>（</w:t>
      </w:r>
      <w:r>
        <w:rPr>
          <w:rFonts w:hint="eastAsia" w:ascii="仿宋" w:hAnsi="仿宋" w:eastAsia="仿宋" w:cs="仿宋"/>
          <w:b/>
          <w:bCs/>
          <w:color w:val="auto"/>
          <w:spacing w:val="8"/>
          <w:sz w:val="28"/>
          <w:szCs w:val="28"/>
          <w:lang w:val="en-US" w:eastAsia="zh-CN"/>
        </w:rPr>
        <w:t>八</w:t>
      </w:r>
      <w:r>
        <w:rPr>
          <w:rFonts w:ascii="仿宋" w:hAnsi="仿宋" w:eastAsia="仿宋" w:cs="仿宋"/>
          <w:b/>
          <w:bCs/>
          <w:color w:val="auto"/>
          <w:spacing w:val="8"/>
          <w:sz w:val="28"/>
          <w:szCs w:val="28"/>
        </w:rPr>
        <w:t>）新导则下EOD项目实施及案例</w:t>
      </w:r>
    </w:p>
    <w:p w14:paraId="3CC941BA">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ascii="仿宋" w:hAnsi="仿宋" w:eastAsia="仿宋" w:cs="仿宋"/>
          <w:color w:val="auto"/>
          <w:spacing w:val="8"/>
          <w:sz w:val="28"/>
          <w:szCs w:val="28"/>
        </w:rPr>
        <w:t>1.EOD项目</w:t>
      </w:r>
      <w:r>
        <w:rPr>
          <w:rFonts w:ascii="仿宋" w:hAnsi="仿宋" w:eastAsia="仿宋" w:cs="仿宋"/>
          <w:color w:val="auto"/>
          <w:spacing w:val="8"/>
          <w:sz w:val="28"/>
          <w:szCs w:val="28"/>
          <w:lang w:eastAsia="zh-Hans"/>
        </w:rPr>
        <w:t>最新“</w:t>
      </w:r>
      <w:r>
        <w:rPr>
          <w:rFonts w:ascii="仿宋" w:hAnsi="仿宋" w:eastAsia="仿宋" w:cs="仿宋"/>
          <w:color w:val="auto"/>
          <w:spacing w:val="8"/>
          <w:sz w:val="28"/>
          <w:szCs w:val="28"/>
        </w:rPr>
        <w:t>实施导则</w:t>
      </w:r>
      <w:r>
        <w:rPr>
          <w:rFonts w:ascii="仿宋" w:hAnsi="仿宋" w:eastAsia="仿宋" w:cs="仿宋"/>
          <w:color w:val="auto"/>
          <w:spacing w:val="8"/>
          <w:sz w:val="28"/>
          <w:szCs w:val="28"/>
          <w:lang w:eastAsia="zh-Hans"/>
        </w:rPr>
        <w:t>”</w:t>
      </w:r>
      <w:r>
        <w:rPr>
          <w:rFonts w:ascii="仿宋" w:hAnsi="仿宋" w:eastAsia="仿宋" w:cs="仿宋"/>
          <w:color w:val="auto"/>
          <w:spacing w:val="8"/>
          <w:sz w:val="28"/>
          <w:szCs w:val="28"/>
        </w:rPr>
        <w:t>重点内容解读；</w:t>
      </w:r>
    </w:p>
    <w:p w14:paraId="60D5E151">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ascii="仿宋" w:hAnsi="仿宋" w:eastAsia="仿宋" w:cs="仿宋"/>
          <w:color w:val="auto"/>
          <w:spacing w:val="8"/>
          <w:sz w:val="28"/>
          <w:szCs w:val="28"/>
        </w:rPr>
        <w:t>2.EOD</w:t>
      </w:r>
      <w:r>
        <w:rPr>
          <w:rFonts w:ascii="仿宋" w:hAnsi="仿宋" w:eastAsia="仿宋" w:cs="仿宋"/>
          <w:color w:val="auto"/>
          <w:spacing w:val="8"/>
          <w:sz w:val="28"/>
          <w:szCs w:val="28"/>
          <w:lang w:eastAsia="zh-Hans"/>
        </w:rPr>
        <w:t>“</w:t>
      </w:r>
      <w:r>
        <w:rPr>
          <w:rFonts w:ascii="仿宋" w:hAnsi="仿宋" w:eastAsia="仿宋" w:cs="仿宋"/>
          <w:color w:val="auto"/>
          <w:spacing w:val="8"/>
          <w:sz w:val="28"/>
          <w:szCs w:val="28"/>
        </w:rPr>
        <w:t>实施导则</w:t>
      </w:r>
      <w:r>
        <w:rPr>
          <w:rFonts w:ascii="仿宋" w:hAnsi="仿宋" w:eastAsia="仿宋" w:cs="仿宋"/>
          <w:color w:val="auto"/>
          <w:spacing w:val="8"/>
          <w:sz w:val="28"/>
          <w:szCs w:val="28"/>
          <w:lang w:eastAsia="zh-Hans"/>
        </w:rPr>
        <w:t>”</w:t>
      </w:r>
      <w:r>
        <w:rPr>
          <w:rFonts w:ascii="仿宋" w:hAnsi="仿宋" w:eastAsia="仿宋" w:cs="仿宋"/>
          <w:color w:val="auto"/>
          <w:spacing w:val="8"/>
          <w:sz w:val="28"/>
          <w:szCs w:val="28"/>
        </w:rPr>
        <w:t>与《入库指南》主要变化要点；</w:t>
      </w:r>
    </w:p>
    <w:p w14:paraId="7F85A05E">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ascii="仿宋" w:hAnsi="仿宋" w:eastAsia="仿宋" w:cs="仿宋"/>
          <w:color w:val="auto"/>
          <w:spacing w:val="8"/>
          <w:sz w:val="28"/>
          <w:szCs w:val="28"/>
        </w:rPr>
        <w:t>3.EOD项目环境治理内容范围变化及“负面清单”；</w:t>
      </w:r>
    </w:p>
    <w:p w14:paraId="6B02B3C0">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ascii="仿宋" w:hAnsi="仿宋" w:eastAsia="仿宋" w:cs="仿宋"/>
          <w:color w:val="auto"/>
          <w:spacing w:val="8"/>
          <w:sz w:val="28"/>
          <w:szCs w:val="28"/>
        </w:rPr>
        <w:t>4.EOD项目实施主体如何选择和确定？</w:t>
      </w:r>
    </w:p>
    <w:p w14:paraId="761A9E93">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ascii="仿宋" w:hAnsi="仿宋" w:eastAsia="仿宋" w:cs="仿宋"/>
          <w:color w:val="auto"/>
          <w:spacing w:val="8"/>
          <w:sz w:val="28"/>
          <w:szCs w:val="28"/>
        </w:rPr>
        <w:t>5.“新版”EOD项目实施方案的重大变化；</w:t>
      </w:r>
    </w:p>
    <w:p w14:paraId="34C8A494">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ascii="仿宋" w:hAnsi="仿宋" w:eastAsia="仿宋" w:cs="仿宋"/>
          <w:color w:val="auto"/>
          <w:spacing w:val="8"/>
          <w:sz w:val="28"/>
          <w:szCs w:val="28"/>
        </w:rPr>
        <w:t xml:space="preserve">6. EOD项目的投资估算、资金筹措、财务测算； </w:t>
      </w:r>
    </w:p>
    <w:p w14:paraId="1C9E5465">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ascii="仿宋" w:hAnsi="仿宋" w:eastAsia="仿宋" w:cs="仿宋"/>
          <w:color w:val="auto"/>
          <w:spacing w:val="8"/>
          <w:sz w:val="28"/>
          <w:szCs w:val="28"/>
        </w:rPr>
        <w:t>7.“新导则”下EOD项目实施模式选择及资金来源；</w:t>
      </w:r>
    </w:p>
    <w:p w14:paraId="7DAFAC21">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ascii="仿宋" w:hAnsi="仿宋" w:eastAsia="仿宋" w:cs="仿宋"/>
          <w:color w:val="auto"/>
          <w:spacing w:val="8"/>
          <w:sz w:val="28"/>
          <w:szCs w:val="28"/>
        </w:rPr>
        <w:t>8.“新导则”下EOD项目合规要点把握；</w:t>
      </w:r>
    </w:p>
    <w:p w14:paraId="5F6BBF84">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ascii="仿宋" w:hAnsi="仿宋" w:eastAsia="仿宋" w:cs="仿宋"/>
          <w:color w:val="auto"/>
          <w:spacing w:val="8"/>
          <w:sz w:val="28"/>
          <w:szCs w:val="28"/>
        </w:rPr>
        <w:t>9.EOD模式典型案例分析。</w:t>
      </w:r>
    </w:p>
    <w:p w14:paraId="6ED65908">
      <w:pPr>
        <w:keepNext w:val="0"/>
        <w:keepLines w:val="0"/>
        <w:pageBreakBefore w:val="0"/>
        <w:kinsoku/>
        <w:wordWrap/>
        <w:overflowPunct/>
        <w:topLinePunct w:val="0"/>
        <w:autoSpaceDE/>
        <w:autoSpaceDN/>
        <w:bidi w:val="0"/>
        <w:spacing w:line="500" w:lineRule="exact"/>
        <w:ind w:firstLine="594" w:firstLineChars="200"/>
        <w:textAlignment w:val="auto"/>
        <w:rPr>
          <w:rFonts w:hint="default" w:ascii="仿宋" w:hAnsi="仿宋" w:eastAsia="仿宋" w:cs="仿宋"/>
          <w:b/>
          <w:bCs/>
          <w:color w:val="auto"/>
          <w:spacing w:val="8"/>
          <w:sz w:val="28"/>
          <w:szCs w:val="28"/>
        </w:rPr>
      </w:pPr>
      <w:bookmarkStart w:id="1" w:name="OLE_LINK4"/>
      <w:r>
        <w:rPr>
          <w:rFonts w:ascii="仿宋" w:hAnsi="仿宋" w:eastAsia="仿宋" w:cs="仿宋"/>
          <w:b/>
          <w:bCs/>
          <w:color w:val="auto"/>
          <w:spacing w:val="8"/>
          <w:sz w:val="28"/>
          <w:szCs w:val="28"/>
        </w:rPr>
        <w:t>（</w:t>
      </w:r>
      <w:r>
        <w:rPr>
          <w:rFonts w:hint="eastAsia" w:ascii="仿宋" w:hAnsi="仿宋" w:eastAsia="仿宋" w:cs="仿宋"/>
          <w:b/>
          <w:bCs/>
          <w:color w:val="auto"/>
          <w:spacing w:val="8"/>
          <w:sz w:val="28"/>
          <w:szCs w:val="28"/>
          <w:lang w:val="en-US" w:eastAsia="zh-CN"/>
        </w:rPr>
        <w:t>九</w:t>
      </w:r>
      <w:r>
        <w:rPr>
          <w:rFonts w:ascii="仿宋" w:hAnsi="仿宋" w:eastAsia="仿宋" w:cs="仿宋"/>
          <w:b/>
          <w:bCs/>
          <w:color w:val="auto"/>
          <w:spacing w:val="8"/>
          <w:sz w:val="28"/>
          <w:szCs w:val="28"/>
        </w:rPr>
        <w:t>）重大产业投资项目的投融资谋划和决策分析</w:t>
      </w:r>
    </w:p>
    <w:p w14:paraId="0FF0B8C7">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hint="default" w:ascii="仿宋" w:hAnsi="仿宋" w:eastAsia="仿宋" w:cs="仿宋"/>
          <w:color w:val="auto"/>
          <w:spacing w:val="8"/>
          <w:sz w:val="28"/>
          <w:szCs w:val="28"/>
        </w:rPr>
        <w:t>1.地方政府和国企产业投资的经典案例分析；</w:t>
      </w:r>
    </w:p>
    <w:p w14:paraId="6F29B79F">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hint="default" w:ascii="仿宋" w:hAnsi="仿宋" w:eastAsia="仿宋" w:cs="仿宋"/>
          <w:color w:val="auto"/>
          <w:spacing w:val="8"/>
          <w:sz w:val="28"/>
          <w:szCs w:val="28"/>
        </w:rPr>
        <w:t>2.政府和地方国企股权类产业投资的可行性研究</w:t>
      </w:r>
      <w:r>
        <w:rPr>
          <w:rFonts w:ascii="仿宋" w:hAnsi="仿宋" w:eastAsia="仿宋" w:cs="仿宋"/>
          <w:color w:val="auto"/>
          <w:spacing w:val="8"/>
          <w:sz w:val="28"/>
          <w:szCs w:val="28"/>
        </w:rPr>
        <w:t>、</w:t>
      </w:r>
      <w:r>
        <w:rPr>
          <w:rFonts w:hint="default" w:ascii="仿宋" w:hAnsi="仿宋" w:eastAsia="仿宋" w:cs="仿宋"/>
          <w:color w:val="auto"/>
          <w:spacing w:val="8"/>
          <w:sz w:val="28"/>
          <w:szCs w:val="28"/>
        </w:rPr>
        <w:t>决策分析报告和投资合规流程解析；</w:t>
      </w:r>
    </w:p>
    <w:p w14:paraId="4A3C4B78">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hint="default" w:ascii="仿宋" w:hAnsi="仿宋" w:eastAsia="仿宋" w:cs="仿宋"/>
          <w:color w:val="auto"/>
          <w:spacing w:val="8"/>
          <w:sz w:val="28"/>
          <w:szCs w:val="28"/>
        </w:rPr>
        <w:t>3.政府产业投资的全流程解决方案：“产业规划+招商服务+产业金融+资源导入”一体化产业服务体系。</w:t>
      </w:r>
    </w:p>
    <w:bookmarkEnd w:id="1"/>
    <w:p w14:paraId="15C1A2F2">
      <w:pPr>
        <w:keepNext w:val="0"/>
        <w:keepLines w:val="0"/>
        <w:pageBreakBefore w:val="0"/>
        <w:kinsoku/>
        <w:wordWrap/>
        <w:overflowPunct/>
        <w:topLinePunct w:val="0"/>
        <w:autoSpaceDE/>
        <w:autoSpaceDN/>
        <w:bidi w:val="0"/>
        <w:spacing w:line="500" w:lineRule="exact"/>
        <w:ind w:firstLine="594" w:firstLineChars="200"/>
        <w:textAlignment w:val="auto"/>
        <w:rPr>
          <w:rFonts w:hint="default" w:ascii="仿宋" w:hAnsi="仿宋" w:eastAsia="仿宋" w:cs="仿宋"/>
          <w:b/>
          <w:bCs/>
          <w:color w:val="auto"/>
          <w:spacing w:val="8"/>
          <w:sz w:val="28"/>
          <w:szCs w:val="28"/>
        </w:rPr>
      </w:pPr>
      <w:bookmarkStart w:id="2" w:name="OLE_LINK11"/>
      <w:r>
        <w:rPr>
          <w:rFonts w:ascii="仿宋" w:hAnsi="仿宋" w:eastAsia="仿宋" w:cs="仿宋"/>
          <w:b/>
          <w:bCs/>
          <w:color w:val="auto"/>
          <w:spacing w:val="8"/>
          <w:sz w:val="28"/>
          <w:szCs w:val="28"/>
        </w:rPr>
        <w:t>（十）政府投融资平台的整合升级和市场化转型</w:t>
      </w:r>
    </w:p>
    <w:p w14:paraId="589D58DF">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hint="default" w:ascii="仿宋" w:hAnsi="仿宋" w:eastAsia="仿宋" w:cs="仿宋"/>
          <w:color w:val="auto"/>
          <w:spacing w:val="8"/>
          <w:sz w:val="28"/>
          <w:szCs w:val="28"/>
        </w:rPr>
        <w:t>1.我国政府投融资平台公司的真实现状，城投信仰和投融资平台公司的分层分区理论；</w:t>
      </w:r>
    </w:p>
    <w:p w14:paraId="3E72236D">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hint="default" w:ascii="仿宋" w:hAnsi="仿宋" w:eastAsia="仿宋" w:cs="仿宋"/>
          <w:color w:val="auto"/>
          <w:spacing w:val="8"/>
          <w:sz w:val="28"/>
          <w:szCs w:val="28"/>
        </w:rPr>
        <w:t>2.投融资平台公司整合升级的现实要求和各地政策要点；</w:t>
      </w:r>
    </w:p>
    <w:p w14:paraId="57249EBE">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hint="default" w:ascii="仿宋" w:hAnsi="仿宋" w:eastAsia="仿宋" w:cs="仿宋"/>
          <w:color w:val="auto"/>
          <w:spacing w:val="8"/>
          <w:sz w:val="28"/>
          <w:szCs w:val="28"/>
        </w:rPr>
        <w:t>3.投融资平台公司整合升级工作的九大步骤；</w:t>
      </w:r>
    </w:p>
    <w:p w14:paraId="2263D078">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hint="default" w:ascii="仿宋" w:hAnsi="仿宋" w:eastAsia="仿宋" w:cs="仿宋"/>
          <w:color w:val="auto"/>
          <w:spacing w:val="8"/>
          <w:sz w:val="28"/>
          <w:szCs w:val="28"/>
        </w:rPr>
        <w:t>4.投融资平台公司转型发展的</w:t>
      </w:r>
      <w:r>
        <w:rPr>
          <w:rFonts w:ascii="仿宋" w:hAnsi="仿宋" w:eastAsia="仿宋" w:cs="仿宋"/>
          <w:color w:val="auto"/>
          <w:spacing w:val="8"/>
          <w:sz w:val="28"/>
          <w:szCs w:val="28"/>
        </w:rPr>
        <w:t>五</w:t>
      </w:r>
      <w:r>
        <w:rPr>
          <w:rFonts w:hint="default" w:ascii="仿宋" w:hAnsi="仿宋" w:eastAsia="仿宋" w:cs="仿宋"/>
          <w:color w:val="auto"/>
          <w:spacing w:val="8"/>
          <w:sz w:val="28"/>
          <w:szCs w:val="28"/>
        </w:rPr>
        <w:t>种模式分析；</w:t>
      </w:r>
    </w:p>
    <w:p w14:paraId="7C872C0B">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hint="default" w:ascii="仿宋" w:hAnsi="仿宋" w:eastAsia="仿宋" w:cs="仿宋"/>
          <w:color w:val="auto"/>
          <w:spacing w:val="8"/>
          <w:sz w:val="28"/>
          <w:szCs w:val="28"/>
        </w:rPr>
        <w:t>5.投融资平台公司转型发展的重点和难点：</w:t>
      </w:r>
    </w:p>
    <w:p w14:paraId="48FE9110">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ascii="仿宋" w:hAnsi="仿宋" w:eastAsia="仿宋" w:cs="仿宋"/>
          <w:color w:val="auto"/>
          <w:spacing w:val="8"/>
          <w:sz w:val="28"/>
          <w:szCs w:val="28"/>
        </w:rPr>
        <w:t>（</w:t>
      </w:r>
      <w:r>
        <w:rPr>
          <w:rFonts w:hint="default" w:ascii="仿宋" w:hAnsi="仿宋" w:eastAsia="仿宋" w:cs="仿宋"/>
          <w:color w:val="auto"/>
          <w:spacing w:val="8"/>
          <w:sz w:val="28"/>
          <w:szCs w:val="28"/>
        </w:rPr>
        <w:t>1）定位转型：立足城市命运共同体，构建契约型政企关系</w:t>
      </w:r>
    </w:p>
    <w:p w14:paraId="5032D864">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ascii="仿宋" w:hAnsi="仿宋" w:eastAsia="仿宋" w:cs="仿宋"/>
          <w:color w:val="auto"/>
          <w:spacing w:val="8"/>
          <w:sz w:val="28"/>
          <w:szCs w:val="28"/>
        </w:rPr>
        <w:t>（</w:t>
      </w:r>
      <w:r>
        <w:rPr>
          <w:rFonts w:hint="default" w:ascii="仿宋" w:hAnsi="仿宋" w:eastAsia="仿宋" w:cs="仿宋"/>
          <w:color w:val="auto"/>
          <w:spacing w:val="8"/>
          <w:sz w:val="28"/>
          <w:szCs w:val="28"/>
        </w:rPr>
        <w:t>2）业务转型：新业务模式的变革，如新能源、新基建等</w:t>
      </w:r>
    </w:p>
    <w:p w14:paraId="0248C698">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ascii="仿宋" w:hAnsi="仿宋" w:eastAsia="仿宋" w:cs="仿宋"/>
          <w:color w:val="auto"/>
          <w:spacing w:val="8"/>
          <w:sz w:val="28"/>
          <w:szCs w:val="28"/>
        </w:rPr>
        <w:t>（</w:t>
      </w:r>
      <w:r>
        <w:rPr>
          <w:rFonts w:hint="default" w:ascii="仿宋" w:hAnsi="仿宋" w:eastAsia="仿宋" w:cs="仿宋"/>
          <w:color w:val="auto"/>
          <w:spacing w:val="8"/>
          <w:sz w:val="28"/>
          <w:szCs w:val="28"/>
        </w:rPr>
        <w:t>3）投资转型：产融互动，以产业投资促进区域经济</w:t>
      </w:r>
    </w:p>
    <w:p w14:paraId="296874BE">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ascii="仿宋" w:hAnsi="仿宋" w:eastAsia="仿宋" w:cs="仿宋"/>
          <w:color w:val="auto"/>
          <w:spacing w:val="8"/>
          <w:sz w:val="28"/>
          <w:szCs w:val="28"/>
        </w:rPr>
        <w:t>（</w:t>
      </w:r>
      <w:r>
        <w:rPr>
          <w:rFonts w:hint="default" w:ascii="仿宋" w:hAnsi="仿宋" w:eastAsia="仿宋" w:cs="仿宋"/>
          <w:color w:val="auto"/>
          <w:spacing w:val="8"/>
          <w:sz w:val="28"/>
          <w:szCs w:val="28"/>
        </w:rPr>
        <w:t>4）管理转型：投融资平台公司集团管控和管理提升</w:t>
      </w:r>
    </w:p>
    <w:p w14:paraId="1092C385">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ascii="仿宋" w:hAnsi="仿宋" w:eastAsia="仿宋" w:cs="仿宋"/>
          <w:color w:val="auto"/>
          <w:spacing w:val="8"/>
          <w:sz w:val="28"/>
          <w:szCs w:val="28"/>
        </w:rPr>
        <w:t>（</w:t>
      </w:r>
      <w:r>
        <w:rPr>
          <w:rFonts w:hint="default" w:ascii="仿宋" w:hAnsi="仿宋" w:eastAsia="仿宋" w:cs="仿宋"/>
          <w:color w:val="auto"/>
          <w:spacing w:val="8"/>
          <w:sz w:val="28"/>
          <w:szCs w:val="28"/>
        </w:rPr>
        <w:t>5）国资监管：国资国企改革与国资监管体系搭建</w:t>
      </w:r>
    </w:p>
    <w:bookmarkEnd w:id="2"/>
    <w:p w14:paraId="46380E1F">
      <w:pPr>
        <w:keepNext w:val="0"/>
        <w:keepLines w:val="0"/>
        <w:pageBreakBefore w:val="0"/>
        <w:kinsoku/>
        <w:wordWrap/>
        <w:overflowPunct/>
        <w:topLinePunct w:val="0"/>
        <w:autoSpaceDE/>
        <w:autoSpaceDN/>
        <w:bidi w:val="0"/>
        <w:spacing w:line="500" w:lineRule="exact"/>
        <w:ind w:firstLine="592" w:firstLineChars="200"/>
        <w:textAlignment w:val="auto"/>
        <w:rPr>
          <w:rFonts w:hint="default" w:ascii="仿宋" w:hAnsi="仿宋" w:eastAsia="仿宋" w:cs="仿宋"/>
          <w:color w:val="auto"/>
          <w:spacing w:val="8"/>
          <w:sz w:val="28"/>
          <w:szCs w:val="28"/>
        </w:rPr>
      </w:pPr>
      <w:r>
        <w:rPr>
          <w:rFonts w:hint="default" w:ascii="仿宋" w:hAnsi="仿宋" w:eastAsia="仿宋" w:cs="仿宋"/>
          <w:color w:val="auto"/>
          <w:spacing w:val="8"/>
          <w:sz w:val="28"/>
          <w:szCs w:val="28"/>
        </w:rPr>
        <w:t>6.投融资平台公司转型发展的案例分析。</w:t>
      </w:r>
    </w:p>
    <w:p w14:paraId="52629F83">
      <w:pPr>
        <w:autoSpaceDE/>
        <w:autoSpaceDN/>
        <w:spacing w:line="500" w:lineRule="exact"/>
        <w:ind w:firstLine="562" w:firstLineChars="200"/>
        <w:rPr>
          <w:rFonts w:hint="default" w:ascii="仿宋" w:hAnsi="仿宋" w:eastAsia="仿宋" w:cs="仿宋"/>
          <w:b/>
          <w:bCs/>
          <w:color w:val="auto"/>
          <w:sz w:val="28"/>
          <w:szCs w:val="28"/>
        </w:rPr>
      </w:pPr>
      <w:r>
        <w:rPr>
          <w:rFonts w:hint="eastAsia" w:ascii="仿宋" w:hAnsi="仿宋" w:eastAsia="仿宋" w:cs="仿宋"/>
          <w:b/>
          <w:bCs/>
          <w:color w:val="auto"/>
          <w:sz w:val="28"/>
          <w:szCs w:val="28"/>
          <w:lang w:val="en-US" w:eastAsia="zh-CN"/>
        </w:rPr>
        <w:t>二</w:t>
      </w:r>
      <w:r>
        <w:rPr>
          <w:rFonts w:ascii="仿宋" w:hAnsi="仿宋" w:eastAsia="仿宋" w:cs="仿宋"/>
          <w:b/>
          <w:bCs/>
          <w:color w:val="auto"/>
          <w:sz w:val="28"/>
          <w:szCs w:val="28"/>
        </w:rPr>
        <w:t>、培训对象</w:t>
      </w:r>
    </w:p>
    <w:p w14:paraId="4564D065">
      <w:pPr>
        <w:autoSpaceDE/>
        <w:autoSpaceDN/>
        <w:spacing w:line="500" w:lineRule="exact"/>
        <w:ind w:firstLine="560" w:firstLineChars="200"/>
        <w:rPr>
          <w:rFonts w:hint="default" w:ascii="仿宋" w:hAnsi="仿宋" w:eastAsia="仿宋" w:cs="仿宋"/>
          <w:b/>
          <w:bCs/>
          <w:color w:val="auto"/>
          <w:sz w:val="28"/>
          <w:szCs w:val="28"/>
        </w:rPr>
      </w:pPr>
      <w:r>
        <w:rPr>
          <w:rFonts w:ascii="仿宋" w:hAnsi="仿宋" w:eastAsia="仿宋" w:cs="仿宋"/>
          <w:bCs/>
          <w:color w:val="auto"/>
          <w:sz w:val="28"/>
          <w:szCs w:val="28"/>
        </w:rPr>
        <w:t>各级政府发改、财政、环保、住建、交通运输、水利、农业农村、林草、文旅等部门工作人员；城投公司为代表的各类融资平台公司相关人员；污水垃圾处理、城乡供水供气供热、仓储物流、新能源、环保及建筑施工等企业有关人员；银行、证券、基金、信托、保险等金融机构专业人员。</w:t>
      </w:r>
    </w:p>
    <w:p w14:paraId="78759F3F">
      <w:pPr>
        <w:autoSpaceDE/>
        <w:autoSpaceDN/>
        <w:spacing w:line="500" w:lineRule="exact"/>
        <w:ind w:firstLine="562" w:firstLineChars="200"/>
        <w:rPr>
          <w:rFonts w:hint="default" w:ascii="仿宋" w:hAnsi="仿宋" w:eastAsia="仿宋" w:cs="仿宋"/>
          <w:b/>
          <w:bCs/>
          <w:color w:val="auto"/>
          <w:sz w:val="28"/>
          <w:szCs w:val="28"/>
        </w:rPr>
      </w:pPr>
      <w:r>
        <w:rPr>
          <w:rFonts w:hint="eastAsia" w:ascii="仿宋" w:hAnsi="仿宋" w:eastAsia="仿宋" w:cs="仿宋"/>
          <w:b/>
          <w:bCs/>
          <w:color w:val="auto"/>
          <w:sz w:val="28"/>
          <w:szCs w:val="28"/>
          <w:lang w:val="en-US" w:eastAsia="zh-CN"/>
        </w:rPr>
        <w:t>三</w:t>
      </w:r>
      <w:r>
        <w:rPr>
          <w:rFonts w:ascii="仿宋" w:hAnsi="仿宋" w:eastAsia="仿宋" w:cs="仿宋"/>
          <w:b/>
          <w:bCs/>
          <w:color w:val="auto"/>
          <w:sz w:val="28"/>
          <w:szCs w:val="28"/>
        </w:rPr>
        <w:t>、拟邀师资</w:t>
      </w:r>
    </w:p>
    <w:p w14:paraId="0205263C">
      <w:pPr>
        <w:autoSpaceDE/>
        <w:autoSpaceDN/>
        <w:spacing w:line="500" w:lineRule="exact"/>
        <w:ind w:firstLine="562" w:firstLineChars="200"/>
        <w:rPr>
          <w:rFonts w:hint="default" w:ascii="仿宋" w:hAnsi="仿宋" w:eastAsia="仿宋" w:cs="仿宋"/>
          <w:b/>
          <w:bCs/>
          <w:color w:val="auto"/>
          <w:sz w:val="28"/>
          <w:szCs w:val="28"/>
        </w:rPr>
      </w:pPr>
      <w:r>
        <w:rPr>
          <w:rFonts w:ascii="仿宋" w:hAnsi="仿宋" w:eastAsia="仿宋" w:cs="仿宋"/>
          <w:b/>
          <w:color w:val="auto"/>
          <w:sz w:val="28"/>
          <w:szCs w:val="28"/>
        </w:rPr>
        <w:t>张朝元：</w:t>
      </w:r>
      <w:r>
        <w:rPr>
          <w:rFonts w:ascii="仿宋" w:hAnsi="仿宋" w:eastAsia="仿宋" w:cs="仿宋"/>
          <w:bCs/>
          <w:color w:val="auto"/>
          <w:sz w:val="28"/>
          <w:szCs w:val="28"/>
        </w:rPr>
        <w:t>中国经济体制改革研究会副秘书长、培训中心主任，北京大学、清华大学投融资系列总裁研修班客座教授。</w:t>
      </w:r>
    </w:p>
    <w:p w14:paraId="514B02C2">
      <w:pPr>
        <w:autoSpaceDE/>
        <w:autoSpaceDN/>
        <w:spacing w:line="500" w:lineRule="exact"/>
        <w:ind w:firstLine="562" w:firstLineChars="200"/>
        <w:rPr>
          <w:rFonts w:hint="default" w:ascii="仿宋" w:hAnsi="仿宋" w:eastAsia="仿宋" w:cs="仿宋"/>
          <w:b/>
          <w:bCs/>
          <w:color w:val="auto"/>
          <w:sz w:val="28"/>
          <w:szCs w:val="28"/>
        </w:rPr>
      </w:pPr>
      <w:r>
        <w:rPr>
          <w:rFonts w:ascii="仿宋" w:hAnsi="仿宋" w:eastAsia="仿宋" w:cs="仿宋"/>
          <w:b/>
          <w:bCs/>
          <w:color w:val="auto"/>
          <w:sz w:val="28"/>
          <w:szCs w:val="28"/>
        </w:rPr>
        <w:t>林晓东：</w:t>
      </w:r>
      <w:r>
        <w:rPr>
          <w:rFonts w:ascii="仿宋" w:hAnsi="仿宋" w:eastAsia="仿宋" w:cs="仿宋"/>
          <w:bCs/>
          <w:color w:val="auto"/>
          <w:sz w:val="28"/>
          <w:szCs w:val="28"/>
        </w:rPr>
        <w:t>中国经济体制改革研究会理事、特聘授课专家，中国投资协会项目投融资专委会特聘专家、大成律师事务所合伙人。</w:t>
      </w:r>
    </w:p>
    <w:p w14:paraId="74AAB62C">
      <w:pPr>
        <w:widowControl/>
        <w:autoSpaceDE/>
        <w:autoSpaceDN/>
        <w:spacing w:line="500" w:lineRule="exact"/>
        <w:ind w:firstLine="562" w:firstLineChars="200"/>
        <w:jc w:val="both"/>
        <w:rPr>
          <w:rFonts w:hint="default" w:ascii="仿宋" w:hAnsi="仿宋" w:eastAsia="仿宋" w:cs="仿宋"/>
          <w:bCs/>
          <w:color w:val="auto"/>
          <w:sz w:val="28"/>
          <w:szCs w:val="28"/>
        </w:rPr>
      </w:pPr>
      <w:r>
        <w:rPr>
          <w:rFonts w:ascii="仿宋" w:hAnsi="仿宋" w:eastAsia="仿宋" w:cs="仿宋"/>
          <w:b/>
          <w:bCs/>
          <w:color w:val="auto"/>
          <w:sz w:val="28"/>
          <w:szCs w:val="28"/>
        </w:rPr>
        <w:t>王小文：</w:t>
      </w:r>
      <w:r>
        <w:rPr>
          <w:rFonts w:ascii="仿宋" w:hAnsi="仿宋" w:eastAsia="仿宋" w:cs="仿宋"/>
          <w:bCs/>
          <w:color w:val="auto"/>
          <w:sz w:val="28"/>
          <w:szCs w:val="28"/>
        </w:rPr>
        <w:t>住建部海绵城市试点考核专家，中国投资咨询有限责任公司战略与管理咨询事业部副总经理（主持工作）、研究中心主任。</w:t>
      </w:r>
    </w:p>
    <w:p w14:paraId="0BDA6AE3">
      <w:pPr>
        <w:pStyle w:val="10"/>
        <w:autoSpaceDE/>
        <w:autoSpaceDN/>
        <w:spacing w:line="500" w:lineRule="exact"/>
        <w:ind w:left="0" w:firstLine="562"/>
        <w:rPr>
          <w:rFonts w:hint="default" w:hAnsi="仿宋" w:cs="仿宋"/>
          <w:bCs/>
          <w:color w:val="auto"/>
          <w:sz w:val="28"/>
          <w:szCs w:val="28"/>
        </w:rPr>
      </w:pPr>
      <w:r>
        <w:rPr>
          <w:rFonts w:hAnsi="仿宋" w:cs="仿宋"/>
          <w:b/>
          <w:color w:val="auto"/>
          <w:sz w:val="28"/>
          <w:szCs w:val="28"/>
        </w:rPr>
        <w:t>温来成：</w:t>
      </w:r>
      <w:r>
        <w:rPr>
          <w:color w:val="auto"/>
        </w:rPr>
        <w:fldChar w:fldCharType="begin"/>
      </w:r>
      <w:r>
        <w:rPr>
          <w:color w:val="auto"/>
        </w:rPr>
        <w:instrText xml:space="preserve"> HYPERLINK "https://baike.so.com/doc/3296910-3472858.html" \t "https://baike.so.com/doc/_blank" </w:instrText>
      </w:r>
      <w:r>
        <w:rPr>
          <w:color w:val="auto"/>
        </w:rPr>
        <w:fldChar w:fldCharType="separate"/>
      </w:r>
      <w:r>
        <w:rPr>
          <w:rFonts w:hint="default" w:hAnsi="仿宋" w:cs="仿宋"/>
          <w:bCs/>
          <w:color w:val="auto"/>
          <w:sz w:val="28"/>
          <w:szCs w:val="28"/>
        </w:rPr>
        <w:t>中国人民大学</w:t>
      </w:r>
      <w:r>
        <w:rPr>
          <w:rFonts w:hint="default" w:hAnsi="仿宋" w:cs="仿宋"/>
          <w:bCs/>
          <w:color w:val="auto"/>
          <w:sz w:val="28"/>
          <w:szCs w:val="28"/>
        </w:rPr>
        <w:fldChar w:fldCharType="end"/>
      </w:r>
      <w:r>
        <w:rPr>
          <w:rFonts w:hint="default" w:hAnsi="仿宋" w:cs="仿宋"/>
          <w:bCs/>
          <w:color w:val="auto"/>
          <w:sz w:val="28"/>
          <w:szCs w:val="28"/>
        </w:rPr>
        <w:t>经济学博士，</w:t>
      </w:r>
      <w:r>
        <w:rPr>
          <w:color w:val="auto"/>
        </w:rPr>
        <w:fldChar w:fldCharType="begin"/>
      </w:r>
      <w:r>
        <w:rPr>
          <w:color w:val="auto"/>
        </w:rPr>
        <w:instrText xml:space="preserve"> HYPERLINK "https://baike.so.com/doc/871579-921482.html" \t "https://baike.so.com/doc/_blank" </w:instrText>
      </w:r>
      <w:r>
        <w:rPr>
          <w:color w:val="auto"/>
        </w:rPr>
        <w:fldChar w:fldCharType="separate"/>
      </w:r>
      <w:r>
        <w:rPr>
          <w:rFonts w:hint="default" w:hAnsi="仿宋" w:cs="仿宋"/>
          <w:bCs/>
          <w:color w:val="auto"/>
          <w:sz w:val="28"/>
          <w:szCs w:val="28"/>
        </w:rPr>
        <w:t>中央财经大学</w:t>
      </w:r>
      <w:r>
        <w:rPr>
          <w:rFonts w:hint="default" w:hAnsi="仿宋" w:cs="仿宋"/>
          <w:bCs/>
          <w:color w:val="auto"/>
          <w:sz w:val="28"/>
          <w:szCs w:val="28"/>
        </w:rPr>
        <w:fldChar w:fldCharType="end"/>
      </w:r>
      <w:r>
        <w:rPr>
          <w:rFonts w:hint="default" w:hAnsi="仿宋" w:cs="仿宋"/>
          <w:bCs/>
          <w:color w:val="auto"/>
          <w:sz w:val="28"/>
          <w:szCs w:val="28"/>
        </w:rPr>
        <w:t>教授，博士生导师，</w:t>
      </w:r>
      <w:r>
        <w:rPr>
          <w:color w:val="auto"/>
        </w:rPr>
        <w:fldChar w:fldCharType="begin"/>
      </w:r>
      <w:r>
        <w:rPr>
          <w:color w:val="auto"/>
        </w:rPr>
        <w:instrText xml:space="preserve"> HYPERLINK "https://baike.so.com/doc/5383824-5620225.html" \t "https://baike.so.com/doc/_blank" </w:instrText>
      </w:r>
      <w:r>
        <w:rPr>
          <w:color w:val="auto"/>
        </w:rPr>
        <w:fldChar w:fldCharType="separate"/>
      </w:r>
      <w:r>
        <w:rPr>
          <w:rFonts w:hint="default" w:hAnsi="仿宋" w:cs="仿宋"/>
          <w:bCs/>
          <w:color w:val="auto"/>
          <w:sz w:val="28"/>
          <w:szCs w:val="28"/>
        </w:rPr>
        <w:t>国家社会科学基金</w:t>
      </w:r>
      <w:r>
        <w:rPr>
          <w:rFonts w:hint="default" w:hAnsi="仿宋" w:cs="仿宋"/>
          <w:bCs/>
          <w:color w:val="auto"/>
          <w:sz w:val="28"/>
          <w:szCs w:val="28"/>
        </w:rPr>
        <w:fldChar w:fldCharType="end"/>
      </w:r>
      <w:r>
        <w:rPr>
          <w:rFonts w:hint="default" w:hAnsi="仿宋" w:cs="仿宋"/>
          <w:bCs/>
          <w:color w:val="auto"/>
          <w:sz w:val="28"/>
          <w:szCs w:val="28"/>
        </w:rPr>
        <w:t>评审专家，</w:t>
      </w:r>
      <w:r>
        <w:rPr>
          <w:color w:val="auto"/>
        </w:rPr>
        <w:fldChar w:fldCharType="begin"/>
      </w:r>
      <w:r>
        <w:rPr>
          <w:color w:val="auto"/>
        </w:rPr>
        <w:instrText xml:space="preserve"> HYPERLINK "https://baike.so.com/doc/5568745-5783922.html" \t "https://baike.so.com/doc/_blank" </w:instrText>
      </w:r>
      <w:r>
        <w:rPr>
          <w:color w:val="auto"/>
        </w:rPr>
        <w:fldChar w:fldCharType="separate"/>
      </w:r>
      <w:r>
        <w:rPr>
          <w:rFonts w:hint="default" w:hAnsi="仿宋" w:cs="仿宋"/>
          <w:bCs/>
          <w:color w:val="auto"/>
          <w:sz w:val="28"/>
          <w:szCs w:val="28"/>
        </w:rPr>
        <w:t>国家自然科学基金</w:t>
      </w:r>
      <w:r>
        <w:rPr>
          <w:rFonts w:hint="default" w:hAnsi="仿宋" w:cs="仿宋"/>
          <w:bCs/>
          <w:color w:val="auto"/>
          <w:sz w:val="28"/>
          <w:szCs w:val="28"/>
        </w:rPr>
        <w:fldChar w:fldCharType="end"/>
      </w:r>
      <w:r>
        <w:rPr>
          <w:rFonts w:hint="default" w:hAnsi="仿宋" w:cs="仿宋"/>
          <w:bCs/>
          <w:color w:val="auto"/>
          <w:sz w:val="28"/>
          <w:szCs w:val="28"/>
        </w:rPr>
        <w:t>评审专家</w:t>
      </w:r>
      <w:r>
        <w:rPr>
          <w:rFonts w:hAnsi="仿宋" w:cs="仿宋"/>
          <w:bCs/>
          <w:color w:val="auto"/>
          <w:sz w:val="28"/>
          <w:szCs w:val="28"/>
        </w:rPr>
        <w:t>。</w:t>
      </w:r>
    </w:p>
    <w:p w14:paraId="2A9CC1D1">
      <w:pPr>
        <w:autoSpaceDE/>
        <w:autoSpaceDN/>
        <w:spacing w:line="500" w:lineRule="exact"/>
        <w:ind w:firstLine="562" w:firstLineChars="200"/>
        <w:rPr>
          <w:rFonts w:hint="default" w:ascii="仿宋" w:hAnsi="仿宋" w:eastAsia="仿宋" w:cs="仿宋"/>
          <w:bCs/>
          <w:color w:val="auto"/>
          <w:sz w:val="28"/>
          <w:szCs w:val="28"/>
        </w:rPr>
      </w:pPr>
      <w:r>
        <w:rPr>
          <w:rFonts w:ascii="仿宋" w:hAnsi="仿宋" w:eastAsia="仿宋" w:cs="仿宋"/>
          <w:b/>
          <w:color w:val="auto"/>
          <w:sz w:val="28"/>
          <w:szCs w:val="28"/>
        </w:rPr>
        <w:t>张  鹏：</w:t>
      </w:r>
      <w:r>
        <w:rPr>
          <w:rFonts w:ascii="仿宋" w:hAnsi="仿宋" w:eastAsia="仿宋" w:cs="仿宋"/>
          <w:bCs/>
          <w:color w:val="auto"/>
          <w:sz w:val="28"/>
          <w:szCs w:val="28"/>
        </w:rPr>
        <w:t>财政部政策实验室宏观经济部主任、经济学博士、中共中央党校干部学习网特约专家。</w:t>
      </w:r>
    </w:p>
    <w:p w14:paraId="2EC704F4">
      <w:pPr>
        <w:autoSpaceDE/>
        <w:autoSpaceDN/>
        <w:spacing w:line="500" w:lineRule="exact"/>
        <w:ind w:firstLine="562" w:firstLineChars="200"/>
        <w:rPr>
          <w:rFonts w:hint="default" w:ascii="仿宋" w:hAnsi="仿宋" w:eastAsia="仿宋" w:cs="仿宋"/>
          <w:bCs/>
          <w:color w:val="auto"/>
          <w:sz w:val="28"/>
          <w:szCs w:val="28"/>
        </w:rPr>
      </w:pPr>
      <w:r>
        <w:rPr>
          <w:rFonts w:ascii="仿宋" w:hAnsi="仿宋" w:eastAsia="仿宋" w:cs="仿宋"/>
          <w:b/>
          <w:color w:val="auto"/>
          <w:sz w:val="28"/>
          <w:szCs w:val="28"/>
        </w:rPr>
        <w:t>朱  静</w:t>
      </w:r>
      <w:r>
        <w:rPr>
          <w:rFonts w:ascii="仿宋" w:hAnsi="仿宋" w:eastAsia="仿宋" w:cs="仿宋"/>
          <w:bCs/>
          <w:color w:val="auto"/>
          <w:sz w:val="28"/>
          <w:szCs w:val="28"/>
        </w:rPr>
        <w:t>：中央财经大学PPP智库专家，中国政信（政务）研究中心专家，中能国和产业投资发展集团合伙人首席专家。</w:t>
      </w:r>
    </w:p>
    <w:p w14:paraId="4935B0F7">
      <w:pPr>
        <w:autoSpaceDE/>
        <w:autoSpaceDN/>
        <w:spacing w:line="500" w:lineRule="exact"/>
        <w:ind w:firstLine="562" w:firstLineChars="200"/>
        <w:rPr>
          <w:rFonts w:hint="default" w:ascii="仿宋" w:hAnsi="仿宋" w:eastAsia="仿宋" w:cs="仿宋"/>
          <w:bCs/>
          <w:color w:val="auto"/>
          <w:sz w:val="28"/>
          <w:szCs w:val="28"/>
        </w:rPr>
      </w:pPr>
      <w:r>
        <w:rPr>
          <w:rFonts w:ascii="仿宋" w:hAnsi="仿宋" w:eastAsia="仿宋" w:cs="仿宋"/>
          <w:b/>
          <w:color w:val="auto"/>
          <w:sz w:val="28"/>
          <w:szCs w:val="28"/>
        </w:rPr>
        <w:t>吴亚平</w:t>
      </w:r>
      <w:r>
        <w:rPr>
          <w:rFonts w:ascii="仿宋" w:hAnsi="仿宋" w:eastAsia="仿宋" w:cs="仿宋"/>
          <w:bCs/>
          <w:color w:val="auto"/>
          <w:sz w:val="28"/>
          <w:szCs w:val="28"/>
        </w:rPr>
        <w:t>：国家发展改革委投资研究所体制政策室原主任、投资研究所研究员，兼任中国社科院大学投资经济系教授、博导，中国社情民调百名经济学家，注册咨询工程师(投资),国家开发银行、中国国际工程咨询公司专家委员会专家。长期从事经济和投资形势分析、投融资政策和政府投融资管理研究，参与投融资政策法规研究起草。</w:t>
      </w:r>
    </w:p>
    <w:p w14:paraId="763F0994">
      <w:pPr>
        <w:autoSpaceDE/>
        <w:autoSpaceDN/>
        <w:spacing w:line="500" w:lineRule="exact"/>
        <w:ind w:firstLine="562" w:firstLineChars="200"/>
        <w:rPr>
          <w:rFonts w:hint="default" w:ascii="仿宋" w:hAnsi="仿宋" w:eastAsia="仿宋" w:cs="仿宋"/>
          <w:b/>
          <w:bCs/>
          <w:color w:val="auto"/>
          <w:sz w:val="28"/>
          <w:szCs w:val="28"/>
        </w:rPr>
      </w:pPr>
      <w:r>
        <w:rPr>
          <w:rFonts w:hint="eastAsia" w:ascii="仿宋" w:hAnsi="仿宋" w:eastAsia="仿宋" w:cs="仿宋"/>
          <w:b/>
          <w:bCs/>
          <w:color w:val="auto"/>
          <w:sz w:val="28"/>
          <w:szCs w:val="28"/>
          <w:lang w:val="en-US" w:eastAsia="zh-CN"/>
        </w:rPr>
        <w:t>四</w:t>
      </w:r>
      <w:r>
        <w:rPr>
          <w:rFonts w:ascii="仿宋" w:hAnsi="仿宋" w:eastAsia="仿宋" w:cs="仿宋"/>
          <w:b/>
          <w:bCs/>
          <w:color w:val="auto"/>
          <w:sz w:val="28"/>
          <w:szCs w:val="28"/>
        </w:rPr>
        <w:t>、培训时间与地点</w:t>
      </w:r>
    </w:p>
    <w:p w14:paraId="089F74DF">
      <w:pPr>
        <w:autoSpaceDE/>
        <w:autoSpaceDN/>
        <w:spacing w:line="500" w:lineRule="exact"/>
        <w:ind w:firstLine="526" w:firstLineChars="200"/>
        <w:jc w:val="both"/>
        <w:rPr>
          <w:rFonts w:hint="default" w:ascii="仿宋" w:hAnsi="仿宋" w:eastAsia="仿宋" w:cs="仿宋"/>
          <w:color w:val="auto"/>
          <w:sz w:val="28"/>
          <w:szCs w:val="28"/>
        </w:rPr>
      </w:pPr>
      <w:r>
        <w:rPr>
          <w:rFonts w:ascii="仿宋" w:hAnsi="仿宋" w:eastAsia="仿宋" w:cs="仿宋"/>
          <w:color w:val="auto"/>
          <w:w w:val="94"/>
          <w:sz w:val="28"/>
          <w:szCs w:val="28"/>
        </w:rPr>
        <w:t>2024年10月18日—10月21日</w:t>
      </w:r>
      <w:r>
        <w:rPr>
          <w:rFonts w:ascii="仿宋" w:hAnsi="仿宋" w:eastAsia="仿宋" w:cs="仿宋"/>
          <w:color w:val="auto"/>
          <w:sz w:val="28"/>
          <w:szCs w:val="28"/>
        </w:rPr>
        <w:t xml:space="preserve">   南京市 （18日全天报到）</w:t>
      </w:r>
    </w:p>
    <w:p w14:paraId="0D0D6C97">
      <w:pPr>
        <w:autoSpaceDE/>
        <w:autoSpaceDN/>
        <w:spacing w:line="500" w:lineRule="exact"/>
        <w:ind w:firstLine="526" w:firstLineChars="200"/>
        <w:jc w:val="both"/>
        <w:rPr>
          <w:rFonts w:ascii="仿宋" w:hAnsi="仿宋" w:eastAsia="仿宋" w:cs="仿宋"/>
          <w:color w:val="auto"/>
          <w:sz w:val="28"/>
          <w:szCs w:val="28"/>
        </w:rPr>
      </w:pPr>
      <w:r>
        <w:rPr>
          <w:rFonts w:ascii="仿宋" w:hAnsi="仿宋" w:eastAsia="仿宋" w:cs="仿宋"/>
          <w:color w:val="auto"/>
          <w:w w:val="94"/>
          <w:sz w:val="28"/>
          <w:szCs w:val="28"/>
        </w:rPr>
        <w:t xml:space="preserve">2024年10月24日—10月27日 </w:t>
      </w:r>
      <w:r>
        <w:rPr>
          <w:rFonts w:ascii="仿宋" w:hAnsi="仿宋" w:eastAsia="仿宋" w:cs="仿宋"/>
          <w:color w:val="auto"/>
          <w:sz w:val="28"/>
          <w:szCs w:val="28"/>
        </w:rPr>
        <w:t xml:space="preserve">  厦门市 （24日全天报到）</w:t>
      </w:r>
    </w:p>
    <w:p w14:paraId="300E8526">
      <w:pPr>
        <w:autoSpaceDE/>
        <w:autoSpaceDN/>
        <w:spacing w:line="500" w:lineRule="exact"/>
        <w:ind w:firstLine="526" w:firstLineChars="200"/>
        <w:jc w:val="both"/>
        <w:rPr>
          <w:rFonts w:hint="eastAsia" w:ascii="仿宋" w:hAnsi="仿宋" w:eastAsia="仿宋" w:cs="仿宋"/>
          <w:color w:val="auto"/>
          <w:w w:val="94"/>
          <w:sz w:val="28"/>
          <w:szCs w:val="28"/>
          <w:lang w:val="en-US" w:eastAsia="zh-CN"/>
        </w:rPr>
      </w:pPr>
      <w:r>
        <w:rPr>
          <w:rFonts w:hint="eastAsia" w:ascii="仿宋" w:hAnsi="仿宋" w:eastAsia="仿宋" w:cs="仿宋"/>
          <w:color w:val="auto"/>
          <w:w w:val="94"/>
          <w:sz w:val="28"/>
          <w:szCs w:val="28"/>
          <w:lang w:val="en-US" w:eastAsia="zh-CN"/>
        </w:rPr>
        <w:t>2024年11月08日—11月11日   长沙市 （08日全天报到）</w:t>
      </w:r>
    </w:p>
    <w:p w14:paraId="6D37660D">
      <w:pPr>
        <w:autoSpaceDE/>
        <w:autoSpaceDN/>
        <w:spacing w:line="500" w:lineRule="exact"/>
        <w:ind w:firstLine="526" w:firstLineChars="200"/>
        <w:jc w:val="both"/>
        <w:rPr>
          <w:rFonts w:hint="eastAsia" w:ascii="仿宋" w:hAnsi="仿宋" w:eastAsia="仿宋" w:cs="仿宋"/>
          <w:color w:val="auto"/>
          <w:w w:val="94"/>
          <w:sz w:val="28"/>
          <w:szCs w:val="28"/>
        </w:rPr>
      </w:pPr>
      <w:r>
        <w:rPr>
          <w:rFonts w:hint="eastAsia" w:ascii="仿宋" w:hAnsi="仿宋" w:eastAsia="仿宋" w:cs="仿宋"/>
          <w:color w:val="auto"/>
          <w:w w:val="94"/>
          <w:sz w:val="28"/>
          <w:szCs w:val="28"/>
          <w:lang w:val="en-US" w:eastAsia="zh-CN"/>
        </w:rPr>
        <w:t>2024年11月15日—11月19日   合肥市 （15日全天报到）</w:t>
      </w:r>
    </w:p>
    <w:p w14:paraId="24694C22">
      <w:pPr>
        <w:autoSpaceDE/>
        <w:autoSpaceDN/>
        <w:spacing w:line="500" w:lineRule="exact"/>
        <w:ind w:firstLine="526" w:firstLineChars="200"/>
        <w:jc w:val="both"/>
        <w:rPr>
          <w:rFonts w:hint="eastAsia" w:ascii="仿宋" w:hAnsi="仿宋" w:eastAsia="仿宋" w:cs="仿宋"/>
          <w:color w:val="auto"/>
          <w:w w:val="94"/>
          <w:sz w:val="28"/>
          <w:szCs w:val="28"/>
        </w:rPr>
      </w:pPr>
      <w:r>
        <w:rPr>
          <w:rFonts w:hint="eastAsia" w:ascii="仿宋" w:hAnsi="仿宋" w:eastAsia="仿宋" w:cs="仿宋"/>
          <w:color w:val="auto"/>
          <w:w w:val="94"/>
          <w:sz w:val="28"/>
          <w:szCs w:val="28"/>
        </w:rPr>
        <w:t>2024年</w:t>
      </w:r>
      <w:r>
        <w:rPr>
          <w:rFonts w:hint="eastAsia" w:ascii="仿宋" w:hAnsi="仿宋" w:eastAsia="仿宋" w:cs="仿宋"/>
          <w:color w:val="auto"/>
          <w:w w:val="94"/>
          <w:sz w:val="28"/>
          <w:szCs w:val="28"/>
          <w:lang w:val="en-US" w:eastAsia="zh-CN"/>
        </w:rPr>
        <w:t>11</w:t>
      </w:r>
      <w:r>
        <w:rPr>
          <w:rFonts w:hint="eastAsia" w:ascii="仿宋" w:hAnsi="仿宋" w:eastAsia="仿宋" w:cs="仿宋"/>
          <w:color w:val="auto"/>
          <w:w w:val="94"/>
          <w:sz w:val="28"/>
          <w:szCs w:val="28"/>
        </w:rPr>
        <w:t>月</w:t>
      </w:r>
      <w:r>
        <w:rPr>
          <w:rFonts w:hint="eastAsia" w:ascii="仿宋" w:hAnsi="仿宋" w:eastAsia="仿宋" w:cs="仿宋"/>
          <w:color w:val="auto"/>
          <w:w w:val="94"/>
          <w:sz w:val="28"/>
          <w:szCs w:val="28"/>
          <w:lang w:val="en-US" w:eastAsia="zh-CN"/>
        </w:rPr>
        <w:t>22</w:t>
      </w:r>
      <w:r>
        <w:rPr>
          <w:rFonts w:hint="eastAsia" w:ascii="仿宋" w:hAnsi="仿宋" w:eastAsia="仿宋" w:cs="仿宋"/>
          <w:color w:val="auto"/>
          <w:w w:val="94"/>
          <w:sz w:val="28"/>
          <w:szCs w:val="28"/>
        </w:rPr>
        <w:t>日—</w:t>
      </w:r>
      <w:r>
        <w:rPr>
          <w:rFonts w:hint="eastAsia" w:ascii="仿宋" w:hAnsi="仿宋" w:eastAsia="仿宋" w:cs="仿宋"/>
          <w:color w:val="auto"/>
          <w:w w:val="94"/>
          <w:sz w:val="28"/>
          <w:szCs w:val="28"/>
          <w:lang w:val="en-US" w:eastAsia="zh-CN"/>
        </w:rPr>
        <w:t>11</w:t>
      </w:r>
      <w:r>
        <w:rPr>
          <w:rFonts w:hint="eastAsia" w:ascii="仿宋" w:hAnsi="仿宋" w:eastAsia="仿宋" w:cs="仿宋"/>
          <w:color w:val="auto"/>
          <w:w w:val="94"/>
          <w:sz w:val="28"/>
          <w:szCs w:val="28"/>
        </w:rPr>
        <w:t>月</w:t>
      </w:r>
      <w:r>
        <w:rPr>
          <w:rFonts w:hint="eastAsia" w:ascii="仿宋" w:hAnsi="仿宋" w:eastAsia="仿宋" w:cs="仿宋"/>
          <w:color w:val="auto"/>
          <w:w w:val="94"/>
          <w:sz w:val="28"/>
          <w:szCs w:val="28"/>
          <w:lang w:val="en-US" w:eastAsia="zh-CN"/>
        </w:rPr>
        <w:t>25</w:t>
      </w:r>
      <w:r>
        <w:rPr>
          <w:rFonts w:hint="eastAsia" w:ascii="仿宋" w:hAnsi="仿宋" w:eastAsia="仿宋" w:cs="仿宋"/>
          <w:color w:val="auto"/>
          <w:w w:val="94"/>
          <w:sz w:val="28"/>
          <w:szCs w:val="28"/>
        </w:rPr>
        <w:t xml:space="preserve">日 </w:t>
      </w:r>
      <w:r>
        <w:rPr>
          <w:rFonts w:hint="eastAsia" w:ascii="仿宋" w:hAnsi="仿宋" w:eastAsia="仿宋" w:cs="仿宋"/>
          <w:color w:val="auto"/>
          <w:w w:val="94"/>
          <w:sz w:val="28"/>
          <w:szCs w:val="28"/>
          <w:lang w:val="en-US" w:eastAsia="zh-CN"/>
        </w:rPr>
        <w:t xml:space="preserve">  海口</w:t>
      </w:r>
      <w:r>
        <w:rPr>
          <w:rFonts w:hint="eastAsia" w:ascii="仿宋" w:hAnsi="仿宋" w:eastAsia="仿宋" w:cs="仿宋"/>
          <w:color w:val="auto"/>
          <w:w w:val="94"/>
          <w:sz w:val="28"/>
          <w:szCs w:val="28"/>
        </w:rPr>
        <w:t>市</w:t>
      </w:r>
      <w:r>
        <w:rPr>
          <w:rFonts w:hint="eastAsia" w:ascii="仿宋" w:hAnsi="仿宋" w:eastAsia="仿宋" w:cs="仿宋"/>
          <w:color w:val="auto"/>
          <w:w w:val="94"/>
          <w:sz w:val="28"/>
          <w:szCs w:val="28"/>
          <w:lang w:val="en-US" w:eastAsia="zh-CN"/>
        </w:rPr>
        <w:t xml:space="preserve"> </w:t>
      </w:r>
      <w:r>
        <w:rPr>
          <w:rFonts w:hint="eastAsia" w:ascii="仿宋" w:hAnsi="仿宋" w:eastAsia="仿宋" w:cs="仿宋"/>
          <w:color w:val="auto"/>
          <w:w w:val="94"/>
          <w:sz w:val="28"/>
          <w:szCs w:val="28"/>
        </w:rPr>
        <w:t>（</w:t>
      </w:r>
      <w:r>
        <w:rPr>
          <w:rFonts w:hint="eastAsia" w:ascii="仿宋" w:hAnsi="仿宋" w:eastAsia="仿宋" w:cs="仿宋"/>
          <w:color w:val="auto"/>
          <w:w w:val="94"/>
          <w:sz w:val="28"/>
          <w:szCs w:val="28"/>
          <w:lang w:val="en-US" w:eastAsia="zh-CN"/>
        </w:rPr>
        <w:t>22</w:t>
      </w:r>
      <w:r>
        <w:rPr>
          <w:rFonts w:hint="eastAsia" w:ascii="仿宋" w:hAnsi="仿宋" w:eastAsia="仿宋" w:cs="仿宋"/>
          <w:color w:val="auto"/>
          <w:w w:val="94"/>
          <w:sz w:val="28"/>
          <w:szCs w:val="28"/>
        </w:rPr>
        <w:t>日全天报到）</w:t>
      </w:r>
    </w:p>
    <w:p w14:paraId="508B4E99">
      <w:pPr>
        <w:autoSpaceDE/>
        <w:autoSpaceDN/>
        <w:spacing w:line="500" w:lineRule="exact"/>
        <w:ind w:firstLine="526" w:firstLineChars="200"/>
        <w:jc w:val="both"/>
        <w:rPr>
          <w:rFonts w:hint="eastAsia" w:ascii="仿宋" w:hAnsi="仿宋" w:eastAsia="仿宋" w:cs="仿宋"/>
          <w:color w:val="auto"/>
          <w:w w:val="94"/>
          <w:sz w:val="28"/>
          <w:szCs w:val="28"/>
        </w:rPr>
      </w:pPr>
      <w:r>
        <w:rPr>
          <w:rFonts w:hint="eastAsia" w:ascii="仿宋" w:hAnsi="仿宋" w:eastAsia="仿宋" w:cs="仿宋"/>
          <w:color w:val="auto"/>
          <w:w w:val="94"/>
          <w:sz w:val="28"/>
          <w:szCs w:val="28"/>
        </w:rPr>
        <w:t>2024年</w:t>
      </w:r>
      <w:r>
        <w:rPr>
          <w:rFonts w:hint="eastAsia" w:ascii="仿宋" w:hAnsi="仿宋" w:eastAsia="仿宋" w:cs="仿宋"/>
          <w:color w:val="auto"/>
          <w:w w:val="94"/>
          <w:sz w:val="28"/>
          <w:szCs w:val="28"/>
          <w:lang w:val="en-US" w:eastAsia="zh-CN"/>
        </w:rPr>
        <w:t>12</w:t>
      </w:r>
      <w:r>
        <w:rPr>
          <w:rFonts w:hint="eastAsia" w:ascii="仿宋" w:hAnsi="仿宋" w:eastAsia="仿宋" w:cs="仿宋"/>
          <w:color w:val="auto"/>
          <w:w w:val="94"/>
          <w:sz w:val="28"/>
          <w:szCs w:val="28"/>
        </w:rPr>
        <w:t>月</w:t>
      </w:r>
      <w:r>
        <w:rPr>
          <w:rFonts w:hint="eastAsia" w:ascii="仿宋" w:hAnsi="仿宋" w:eastAsia="仿宋" w:cs="仿宋"/>
          <w:color w:val="auto"/>
          <w:w w:val="94"/>
          <w:sz w:val="28"/>
          <w:szCs w:val="28"/>
          <w:lang w:val="en-US" w:eastAsia="zh-CN"/>
        </w:rPr>
        <w:t>05</w:t>
      </w:r>
      <w:r>
        <w:rPr>
          <w:rFonts w:hint="eastAsia" w:ascii="仿宋" w:hAnsi="仿宋" w:eastAsia="仿宋" w:cs="仿宋"/>
          <w:color w:val="auto"/>
          <w:w w:val="94"/>
          <w:sz w:val="28"/>
          <w:szCs w:val="28"/>
        </w:rPr>
        <w:t>日—</w:t>
      </w:r>
      <w:r>
        <w:rPr>
          <w:rFonts w:hint="eastAsia" w:ascii="仿宋" w:hAnsi="仿宋" w:eastAsia="仿宋" w:cs="仿宋"/>
          <w:color w:val="auto"/>
          <w:w w:val="94"/>
          <w:sz w:val="28"/>
          <w:szCs w:val="28"/>
          <w:lang w:val="en-US" w:eastAsia="zh-CN"/>
        </w:rPr>
        <w:t>12</w:t>
      </w:r>
      <w:r>
        <w:rPr>
          <w:rFonts w:hint="eastAsia" w:ascii="仿宋" w:hAnsi="仿宋" w:eastAsia="仿宋" w:cs="仿宋"/>
          <w:color w:val="auto"/>
          <w:w w:val="94"/>
          <w:sz w:val="28"/>
          <w:szCs w:val="28"/>
        </w:rPr>
        <w:t>月</w:t>
      </w:r>
      <w:r>
        <w:rPr>
          <w:rFonts w:hint="eastAsia" w:ascii="仿宋" w:hAnsi="仿宋" w:eastAsia="仿宋" w:cs="仿宋"/>
          <w:color w:val="auto"/>
          <w:w w:val="94"/>
          <w:sz w:val="28"/>
          <w:szCs w:val="28"/>
          <w:lang w:val="en-US" w:eastAsia="zh-CN"/>
        </w:rPr>
        <w:t>08</w:t>
      </w:r>
      <w:r>
        <w:rPr>
          <w:rFonts w:hint="eastAsia" w:ascii="仿宋" w:hAnsi="仿宋" w:eastAsia="仿宋" w:cs="仿宋"/>
          <w:color w:val="auto"/>
          <w:w w:val="94"/>
          <w:sz w:val="28"/>
          <w:szCs w:val="28"/>
        </w:rPr>
        <w:t xml:space="preserve">日 </w:t>
      </w:r>
      <w:r>
        <w:rPr>
          <w:rFonts w:hint="eastAsia" w:ascii="仿宋" w:hAnsi="仿宋" w:eastAsia="仿宋" w:cs="仿宋"/>
          <w:color w:val="auto"/>
          <w:w w:val="94"/>
          <w:sz w:val="28"/>
          <w:szCs w:val="28"/>
          <w:lang w:val="en-US" w:eastAsia="zh-CN"/>
        </w:rPr>
        <w:t xml:space="preserve">  无锡市 </w:t>
      </w:r>
      <w:r>
        <w:rPr>
          <w:rFonts w:hint="eastAsia" w:ascii="仿宋" w:hAnsi="仿宋" w:eastAsia="仿宋" w:cs="仿宋"/>
          <w:color w:val="auto"/>
          <w:w w:val="94"/>
          <w:sz w:val="28"/>
          <w:szCs w:val="28"/>
        </w:rPr>
        <w:t>（</w:t>
      </w:r>
      <w:r>
        <w:rPr>
          <w:rFonts w:hint="eastAsia" w:ascii="仿宋" w:hAnsi="仿宋" w:eastAsia="仿宋" w:cs="仿宋"/>
          <w:color w:val="auto"/>
          <w:w w:val="94"/>
          <w:sz w:val="28"/>
          <w:szCs w:val="28"/>
          <w:lang w:val="en-US" w:eastAsia="zh-CN"/>
        </w:rPr>
        <w:t>05</w:t>
      </w:r>
      <w:r>
        <w:rPr>
          <w:rFonts w:hint="eastAsia" w:ascii="仿宋" w:hAnsi="仿宋" w:eastAsia="仿宋" w:cs="仿宋"/>
          <w:color w:val="auto"/>
          <w:w w:val="94"/>
          <w:sz w:val="28"/>
          <w:szCs w:val="28"/>
        </w:rPr>
        <w:t>日全天报到）</w:t>
      </w:r>
    </w:p>
    <w:p w14:paraId="0DE7038F">
      <w:pPr>
        <w:autoSpaceDE/>
        <w:autoSpaceDN/>
        <w:spacing w:line="500" w:lineRule="exact"/>
        <w:ind w:firstLine="526" w:firstLineChars="200"/>
        <w:jc w:val="both"/>
        <w:rPr>
          <w:rFonts w:hint="eastAsia" w:ascii="仿宋" w:hAnsi="仿宋" w:eastAsia="仿宋" w:cs="仿宋"/>
          <w:color w:val="auto"/>
          <w:w w:val="94"/>
          <w:sz w:val="28"/>
          <w:szCs w:val="28"/>
        </w:rPr>
      </w:pPr>
      <w:r>
        <w:rPr>
          <w:rFonts w:hint="eastAsia" w:ascii="仿宋" w:hAnsi="仿宋" w:eastAsia="仿宋" w:cs="仿宋"/>
          <w:color w:val="auto"/>
          <w:w w:val="94"/>
          <w:sz w:val="28"/>
          <w:szCs w:val="28"/>
        </w:rPr>
        <w:t>2024年</w:t>
      </w:r>
      <w:r>
        <w:rPr>
          <w:rFonts w:hint="eastAsia" w:ascii="仿宋" w:hAnsi="仿宋" w:eastAsia="仿宋" w:cs="仿宋"/>
          <w:color w:val="auto"/>
          <w:w w:val="94"/>
          <w:sz w:val="28"/>
          <w:szCs w:val="28"/>
          <w:lang w:val="en-US" w:eastAsia="zh-CN"/>
        </w:rPr>
        <w:t>12</w:t>
      </w:r>
      <w:r>
        <w:rPr>
          <w:rFonts w:hint="eastAsia" w:ascii="仿宋" w:hAnsi="仿宋" w:eastAsia="仿宋" w:cs="仿宋"/>
          <w:color w:val="auto"/>
          <w:w w:val="94"/>
          <w:sz w:val="28"/>
          <w:szCs w:val="28"/>
        </w:rPr>
        <w:t>月</w:t>
      </w:r>
      <w:r>
        <w:rPr>
          <w:rFonts w:hint="eastAsia" w:ascii="仿宋" w:hAnsi="仿宋" w:eastAsia="仿宋" w:cs="仿宋"/>
          <w:color w:val="auto"/>
          <w:w w:val="94"/>
          <w:sz w:val="28"/>
          <w:szCs w:val="28"/>
          <w:lang w:val="en-US" w:eastAsia="zh-CN"/>
        </w:rPr>
        <w:t>13</w:t>
      </w:r>
      <w:r>
        <w:rPr>
          <w:rFonts w:hint="eastAsia" w:ascii="仿宋" w:hAnsi="仿宋" w:eastAsia="仿宋" w:cs="仿宋"/>
          <w:color w:val="auto"/>
          <w:w w:val="94"/>
          <w:sz w:val="28"/>
          <w:szCs w:val="28"/>
        </w:rPr>
        <w:t>日—</w:t>
      </w:r>
      <w:r>
        <w:rPr>
          <w:rFonts w:hint="eastAsia" w:ascii="仿宋" w:hAnsi="仿宋" w:eastAsia="仿宋" w:cs="仿宋"/>
          <w:color w:val="auto"/>
          <w:w w:val="94"/>
          <w:sz w:val="28"/>
          <w:szCs w:val="28"/>
          <w:lang w:val="en-US" w:eastAsia="zh-CN"/>
        </w:rPr>
        <w:t>12</w:t>
      </w:r>
      <w:r>
        <w:rPr>
          <w:rFonts w:hint="eastAsia" w:ascii="仿宋" w:hAnsi="仿宋" w:eastAsia="仿宋" w:cs="仿宋"/>
          <w:color w:val="auto"/>
          <w:w w:val="94"/>
          <w:sz w:val="28"/>
          <w:szCs w:val="28"/>
        </w:rPr>
        <w:t>月</w:t>
      </w:r>
      <w:r>
        <w:rPr>
          <w:rFonts w:hint="eastAsia" w:ascii="仿宋" w:hAnsi="仿宋" w:eastAsia="仿宋" w:cs="仿宋"/>
          <w:color w:val="auto"/>
          <w:w w:val="94"/>
          <w:sz w:val="28"/>
          <w:szCs w:val="28"/>
          <w:lang w:val="en-US" w:eastAsia="zh-CN"/>
        </w:rPr>
        <w:t>16</w:t>
      </w:r>
      <w:r>
        <w:rPr>
          <w:rFonts w:hint="eastAsia" w:ascii="仿宋" w:hAnsi="仿宋" w:eastAsia="仿宋" w:cs="仿宋"/>
          <w:color w:val="auto"/>
          <w:w w:val="94"/>
          <w:sz w:val="28"/>
          <w:szCs w:val="28"/>
        </w:rPr>
        <w:t xml:space="preserve">日 </w:t>
      </w:r>
      <w:r>
        <w:rPr>
          <w:rFonts w:hint="eastAsia" w:ascii="仿宋" w:hAnsi="仿宋" w:eastAsia="仿宋" w:cs="仿宋"/>
          <w:color w:val="auto"/>
          <w:w w:val="94"/>
          <w:sz w:val="28"/>
          <w:szCs w:val="28"/>
          <w:lang w:val="en-US" w:eastAsia="zh-CN"/>
        </w:rPr>
        <w:t xml:space="preserve">  武汉</w:t>
      </w:r>
      <w:r>
        <w:rPr>
          <w:rFonts w:hint="eastAsia" w:ascii="仿宋" w:hAnsi="仿宋" w:eastAsia="仿宋" w:cs="仿宋"/>
          <w:color w:val="auto"/>
          <w:w w:val="94"/>
          <w:sz w:val="28"/>
          <w:szCs w:val="28"/>
        </w:rPr>
        <w:t>市 （</w:t>
      </w:r>
      <w:r>
        <w:rPr>
          <w:rFonts w:hint="eastAsia" w:ascii="仿宋" w:hAnsi="仿宋" w:eastAsia="仿宋" w:cs="仿宋"/>
          <w:color w:val="auto"/>
          <w:w w:val="94"/>
          <w:sz w:val="28"/>
          <w:szCs w:val="28"/>
          <w:lang w:val="en-US" w:eastAsia="zh-CN"/>
        </w:rPr>
        <w:t>13</w:t>
      </w:r>
      <w:r>
        <w:rPr>
          <w:rFonts w:hint="eastAsia" w:ascii="仿宋" w:hAnsi="仿宋" w:eastAsia="仿宋" w:cs="仿宋"/>
          <w:color w:val="auto"/>
          <w:w w:val="94"/>
          <w:sz w:val="28"/>
          <w:szCs w:val="28"/>
        </w:rPr>
        <w:t>日全天报到）</w:t>
      </w:r>
    </w:p>
    <w:p w14:paraId="11EC14F5">
      <w:pPr>
        <w:autoSpaceDE/>
        <w:autoSpaceDN/>
        <w:spacing w:line="500" w:lineRule="exact"/>
        <w:ind w:firstLine="526" w:firstLineChars="200"/>
        <w:jc w:val="both"/>
        <w:rPr>
          <w:rFonts w:hint="eastAsia" w:ascii="仿宋" w:hAnsi="仿宋" w:eastAsia="仿宋" w:cs="仿宋"/>
          <w:color w:val="auto"/>
          <w:w w:val="94"/>
          <w:sz w:val="28"/>
          <w:szCs w:val="28"/>
        </w:rPr>
      </w:pPr>
      <w:r>
        <w:rPr>
          <w:rFonts w:hint="eastAsia" w:ascii="仿宋" w:hAnsi="仿宋" w:eastAsia="仿宋" w:cs="仿宋"/>
          <w:color w:val="auto"/>
          <w:w w:val="94"/>
          <w:sz w:val="28"/>
          <w:szCs w:val="28"/>
        </w:rPr>
        <w:t>2024年</w:t>
      </w:r>
      <w:r>
        <w:rPr>
          <w:rFonts w:hint="eastAsia" w:ascii="仿宋" w:hAnsi="仿宋" w:eastAsia="仿宋" w:cs="仿宋"/>
          <w:color w:val="auto"/>
          <w:w w:val="94"/>
          <w:sz w:val="28"/>
          <w:szCs w:val="28"/>
          <w:lang w:val="en-US" w:eastAsia="zh-CN"/>
        </w:rPr>
        <w:t>12</w:t>
      </w:r>
      <w:r>
        <w:rPr>
          <w:rFonts w:hint="eastAsia" w:ascii="仿宋" w:hAnsi="仿宋" w:eastAsia="仿宋" w:cs="仿宋"/>
          <w:color w:val="auto"/>
          <w:w w:val="94"/>
          <w:sz w:val="28"/>
          <w:szCs w:val="28"/>
        </w:rPr>
        <w:t>月</w:t>
      </w:r>
      <w:r>
        <w:rPr>
          <w:rFonts w:hint="eastAsia" w:ascii="仿宋" w:hAnsi="仿宋" w:eastAsia="仿宋" w:cs="仿宋"/>
          <w:color w:val="auto"/>
          <w:w w:val="94"/>
          <w:sz w:val="28"/>
          <w:szCs w:val="28"/>
          <w:lang w:val="en-US" w:eastAsia="zh-CN"/>
        </w:rPr>
        <w:t>20</w:t>
      </w:r>
      <w:r>
        <w:rPr>
          <w:rFonts w:hint="eastAsia" w:ascii="仿宋" w:hAnsi="仿宋" w:eastAsia="仿宋" w:cs="仿宋"/>
          <w:color w:val="auto"/>
          <w:w w:val="94"/>
          <w:sz w:val="28"/>
          <w:szCs w:val="28"/>
        </w:rPr>
        <w:t>日—</w:t>
      </w:r>
      <w:r>
        <w:rPr>
          <w:rFonts w:hint="eastAsia" w:ascii="仿宋" w:hAnsi="仿宋" w:eastAsia="仿宋" w:cs="仿宋"/>
          <w:color w:val="auto"/>
          <w:w w:val="94"/>
          <w:sz w:val="28"/>
          <w:szCs w:val="28"/>
          <w:lang w:val="en-US" w:eastAsia="zh-CN"/>
        </w:rPr>
        <w:t>12</w:t>
      </w:r>
      <w:r>
        <w:rPr>
          <w:rFonts w:hint="eastAsia" w:ascii="仿宋" w:hAnsi="仿宋" w:eastAsia="仿宋" w:cs="仿宋"/>
          <w:color w:val="auto"/>
          <w:w w:val="94"/>
          <w:sz w:val="28"/>
          <w:szCs w:val="28"/>
        </w:rPr>
        <w:t>月</w:t>
      </w:r>
      <w:r>
        <w:rPr>
          <w:rFonts w:hint="eastAsia" w:ascii="仿宋" w:hAnsi="仿宋" w:eastAsia="仿宋" w:cs="仿宋"/>
          <w:color w:val="auto"/>
          <w:w w:val="94"/>
          <w:sz w:val="28"/>
          <w:szCs w:val="28"/>
          <w:lang w:val="en-US" w:eastAsia="zh-CN"/>
        </w:rPr>
        <w:t>23</w:t>
      </w:r>
      <w:r>
        <w:rPr>
          <w:rFonts w:hint="eastAsia" w:ascii="仿宋" w:hAnsi="仿宋" w:eastAsia="仿宋" w:cs="仿宋"/>
          <w:color w:val="auto"/>
          <w:w w:val="94"/>
          <w:sz w:val="28"/>
          <w:szCs w:val="28"/>
        </w:rPr>
        <w:t xml:space="preserve">日 </w:t>
      </w:r>
      <w:r>
        <w:rPr>
          <w:rFonts w:hint="eastAsia" w:ascii="仿宋" w:hAnsi="仿宋" w:eastAsia="仿宋" w:cs="仿宋"/>
          <w:color w:val="auto"/>
          <w:w w:val="94"/>
          <w:sz w:val="28"/>
          <w:szCs w:val="28"/>
          <w:lang w:val="en-US" w:eastAsia="zh-CN"/>
        </w:rPr>
        <w:t xml:space="preserve">  成都</w:t>
      </w:r>
      <w:r>
        <w:rPr>
          <w:rFonts w:hint="eastAsia" w:ascii="仿宋" w:hAnsi="仿宋" w:eastAsia="仿宋" w:cs="仿宋"/>
          <w:color w:val="auto"/>
          <w:w w:val="94"/>
          <w:sz w:val="28"/>
          <w:szCs w:val="28"/>
        </w:rPr>
        <w:t>市 （</w:t>
      </w:r>
      <w:r>
        <w:rPr>
          <w:rFonts w:hint="eastAsia" w:ascii="仿宋" w:hAnsi="仿宋" w:eastAsia="仿宋" w:cs="仿宋"/>
          <w:color w:val="auto"/>
          <w:w w:val="94"/>
          <w:sz w:val="28"/>
          <w:szCs w:val="28"/>
          <w:lang w:val="en-US" w:eastAsia="zh-CN"/>
        </w:rPr>
        <w:t>20</w:t>
      </w:r>
      <w:r>
        <w:rPr>
          <w:rFonts w:hint="eastAsia" w:ascii="仿宋" w:hAnsi="仿宋" w:eastAsia="仿宋" w:cs="仿宋"/>
          <w:color w:val="auto"/>
          <w:w w:val="94"/>
          <w:sz w:val="28"/>
          <w:szCs w:val="28"/>
        </w:rPr>
        <w:t>日全天报到）</w:t>
      </w:r>
    </w:p>
    <w:p w14:paraId="22462352">
      <w:pPr>
        <w:autoSpaceDE/>
        <w:autoSpaceDN/>
        <w:spacing w:line="500" w:lineRule="exact"/>
        <w:ind w:firstLine="526" w:firstLineChars="200"/>
        <w:jc w:val="both"/>
        <w:rPr>
          <w:rFonts w:hint="default" w:ascii="仿宋" w:hAnsi="仿宋" w:eastAsia="仿宋" w:cs="仿宋"/>
          <w:color w:val="auto"/>
          <w:sz w:val="28"/>
          <w:szCs w:val="28"/>
        </w:rPr>
      </w:pPr>
      <w:r>
        <w:rPr>
          <w:rFonts w:hint="eastAsia" w:ascii="仿宋" w:hAnsi="仿宋" w:eastAsia="仿宋" w:cs="仿宋"/>
          <w:color w:val="auto"/>
          <w:w w:val="94"/>
          <w:sz w:val="28"/>
          <w:szCs w:val="28"/>
          <w:lang w:val="en-US" w:eastAsia="zh-CN"/>
        </w:rPr>
        <w:t>2025年01月10日—01月13日   厦门市 （10日全天报到）</w:t>
      </w:r>
    </w:p>
    <w:p w14:paraId="4BF71518">
      <w:pPr>
        <w:autoSpaceDE/>
        <w:autoSpaceDN/>
        <w:adjustRightInd/>
        <w:spacing w:line="500" w:lineRule="exact"/>
        <w:ind w:firstLine="562" w:firstLineChars="200"/>
        <w:rPr>
          <w:rFonts w:hint="default" w:ascii="仿宋" w:hAnsi="仿宋" w:eastAsia="仿宋" w:cs="仿宋"/>
          <w:b/>
          <w:color w:val="auto"/>
          <w:sz w:val="28"/>
          <w:szCs w:val="28"/>
        </w:rPr>
      </w:pPr>
      <w:r>
        <w:rPr>
          <w:rFonts w:hint="eastAsia" w:ascii="仿宋" w:hAnsi="仿宋" w:eastAsia="仿宋" w:cs="仿宋"/>
          <w:b/>
          <w:color w:val="auto"/>
          <w:sz w:val="28"/>
          <w:szCs w:val="28"/>
          <w:lang w:val="en-US" w:eastAsia="zh-CN"/>
        </w:rPr>
        <w:t>五</w:t>
      </w:r>
      <w:r>
        <w:rPr>
          <w:rFonts w:ascii="仿宋" w:hAnsi="仿宋" w:eastAsia="仿宋" w:cs="仿宋"/>
          <w:b/>
          <w:color w:val="auto"/>
          <w:sz w:val="28"/>
          <w:szCs w:val="28"/>
        </w:rPr>
        <w:t>、收费标准</w:t>
      </w:r>
    </w:p>
    <w:p w14:paraId="1631103D">
      <w:pPr>
        <w:autoSpaceDE/>
        <w:autoSpaceDN/>
        <w:spacing w:line="500" w:lineRule="exact"/>
        <w:ind w:firstLine="560" w:firstLineChars="200"/>
        <w:rPr>
          <w:rFonts w:hint="default" w:ascii="仿宋" w:hAnsi="仿宋" w:eastAsia="仿宋" w:cs="仿宋"/>
          <w:bCs/>
          <w:color w:val="auto"/>
          <w:sz w:val="28"/>
          <w:szCs w:val="28"/>
        </w:rPr>
      </w:pPr>
      <w:r>
        <w:rPr>
          <w:rFonts w:ascii="仿宋" w:hAnsi="仿宋" w:eastAsia="仿宋" w:cs="仿宋"/>
          <w:bCs/>
          <w:color w:val="auto"/>
          <w:sz w:val="28"/>
          <w:szCs w:val="28"/>
        </w:rPr>
        <w:t>A.3880元/人（含培训、资料、电子课件、场地及培训期间午餐、结业证书），住宿统一安排，费用自理。</w:t>
      </w:r>
    </w:p>
    <w:p w14:paraId="7F98013F">
      <w:pPr>
        <w:autoSpaceDE/>
        <w:autoSpaceDN/>
        <w:spacing w:line="500" w:lineRule="exact"/>
        <w:ind w:firstLine="560" w:firstLineChars="200"/>
        <w:rPr>
          <w:rFonts w:hint="default" w:ascii="仿宋" w:hAnsi="仿宋" w:eastAsia="仿宋" w:cs="仿宋"/>
          <w:bCs/>
          <w:color w:val="auto"/>
          <w:sz w:val="28"/>
          <w:szCs w:val="28"/>
        </w:rPr>
      </w:pPr>
      <w:r>
        <w:rPr>
          <w:rFonts w:ascii="仿宋" w:hAnsi="仿宋" w:eastAsia="仿宋" w:cs="仿宋"/>
          <w:bCs/>
          <w:color w:val="auto"/>
          <w:sz w:val="28"/>
          <w:szCs w:val="28"/>
        </w:rPr>
        <w:t>B.5880元/人（含培训、资料、电子课件、场地、证书及培训期间午餐），住宿统一安排，费用自理。培训结束后，经考核合格，由中国投资协会颁发《投融资规划师》证书，需提供申报表、二寸白底免冠彩色照片、身份证复印件、学历证书复印件等电子版材料。</w:t>
      </w:r>
    </w:p>
    <w:p w14:paraId="5741D11E">
      <w:pPr>
        <w:keepNext w:val="0"/>
        <w:keepLines w:val="0"/>
        <w:pageBreakBefore w:val="0"/>
        <w:widowControl w:val="0"/>
        <w:kinsoku/>
        <w:wordWrap/>
        <w:overflowPunct/>
        <w:topLinePunct w:val="0"/>
        <w:autoSpaceDE/>
        <w:autoSpaceDN/>
        <w:bidi w:val="0"/>
        <w:snapToGrid w:val="0"/>
        <w:spacing w:line="500" w:lineRule="exact"/>
        <w:ind w:firstLine="560" w:firstLineChars="200"/>
        <w:jc w:val="both"/>
        <w:textAlignment w:val="auto"/>
        <w:rPr>
          <w:rFonts w:hint="eastAsia" w:ascii="仿宋" w:hAnsi="仿宋" w:eastAsia="仿宋" w:cs="仿宋"/>
          <w:color w:val="auto"/>
          <w:spacing w:val="0"/>
          <w:sz w:val="28"/>
          <w:szCs w:val="28"/>
          <w:lang w:eastAsia="zh-CN"/>
        </w:rPr>
      </w:pPr>
      <w:bookmarkStart w:id="3" w:name="OLE_LINK5"/>
      <w:r>
        <w:rPr>
          <w:rFonts w:hint="eastAsia" w:ascii="仿宋" w:hAnsi="仿宋" w:eastAsia="仿宋" w:cs="仿宋"/>
          <w:color w:val="auto"/>
          <w:spacing w:val="0"/>
          <w:sz w:val="28"/>
          <w:szCs w:val="28"/>
          <w:lang w:val="en-US" w:eastAsia="zh-CN"/>
        </w:rPr>
        <w:t>C.13880元/人</w:t>
      </w:r>
      <w:r>
        <w:rPr>
          <w:rFonts w:hint="eastAsia" w:ascii="仿宋" w:hAnsi="仿宋" w:eastAsia="仿宋" w:cs="仿宋"/>
          <w:color w:val="auto"/>
          <w:spacing w:val="0"/>
          <w:sz w:val="28"/>
          <w:szCs w:val="28"/>
        </w:rPr>
        <w:t>(含培训、</w:t>
      </w:r>
      <w:r>
        <w:rPr>
          <w:rFonts w:hint="eastAsia" w:ascii="仿宋" w:hAnsi="仿宋" w:eastAsia="仿宋" w:cs="仿宋"/>
          <w:color w:val="auto"/>
          <w:spacing w:val="0"/>
          <w:sz w:val="28"/>
          <w:szCs w:val="28"/>
          <w:lang w:val="en-US" w:eastAsia="zh-CN"/>
        </w:rPr>
        <w:t>中国投资协会的会员证书铜牌【副会长单位价格另议】、</w:t>
      </w:r>
      <w:r>
        <w:rPr>
          <w:rFonts w:hint="eastAsia" w:ascii="仿宋" w:hAnsi="仿宋" w:eastAsia="仿宋" w:cs="仿宋"/>
          <w:color w:val="auto"/>
          <w:spacing w:val="0"/>
          <w:sz w:val="28"/>
          <w:szCs w:val="28"/>
        </w:rPr>
        <w:t>资料、电子课件、场地及培训期间午餐</w:t>
      </w:r>
      <w:r>
        <w:rPr>
          <w:rFonts w:hint="eastAsia" w:ascii="仿宋" w:hAnsi="仿宋" w:eastAsia="仿宋" w:cs="仿宋"/>
          <w:color w:val="auto"/>
          <w:spacing w:val="0"/>
          <w:sz w:val="28"/>
          <w:szCs w:val="28"/>
          <w:lang w:eastAsia="zh-CN"/>
        </w:rPr>
        <w:t>、</w:t>
      </w:r>
      <w:r>
        <w:rPr>
          <w:rFonts w:hint="eastAsia" w:ascii="仿宋" w:hAnsi="仿宋" w:eastAsia="仿宋" w:cs="仿宋"/>
          <w:color w:val="auto"/>
          <w:spacing w:val="0"/>
          <w:sz w:val="28"/>
          <w:szCs w:val="28"/>
          <w:lang w:val="en-US" w:eastAsia="zh-CN"/>
        </w:rPr>
        <w:t>结业证书</w:t>
      </w:r>
      <w:r>
        <w:rPr>
          <w:rFonts w:hint="eastAsia" w:ascii="仿宋" w:hAnsi="仿宋" w:eastAsia="仿宋" w:cs="仿宋"/>
          <w:color w:val="auto"/>
          <w:spacing w:val="0"/>
          <w:sz w:val="28"/>
          <w:szCs w:val="28"/>
        </w:rPr>
        <w:t>)</w:t>
      </w:r>
      <w:r>
        <w:rPr>
          <w:rFonts w:hint="eastAsia" w:ascii="仿宋" w:hAnsi="仿宋" w:eastAsia="仿宋" w:cs="仿宋"/>
          <w:color w:val="auto"/>
          <w:spacing w:val="0"/>
          <w:sz w:val="28"/>
          <w:szCs w:val="28"/>
          <w:lang w:eastAsia="zh-CN"/>
        </w:rPr>
        <w:t>；</w:t>
      </w:r>
    </w:p>
    <w:p w14:paraId="606295EA">
      <w:pPr>
        <w:keepNext w:val="0"/>
        <w:keepLines w:val="0"/>
        <w:pageBreakBefore w:val="0"/>
        <w:widowControl w:val="0"/>
        <w:kinsoku/>
        <w:wordWrap/>
        <w:overflowPunct/>
        <w:topLinePunct w:val="0"/>
        <w:autoSpaceDE/>
        <w:autoSpaceDN/>
        <w:bidi w:val="0"/>
        <w:snapToGrid w:val="0"/>
        <w:spacing w:line="500" w:lineRule="exact"/>
        <w:ind w:firstLine="560" w:firstLineChars="200"/>
        <w:jc w:val="both"/>
        <w:textAlignment w:val="auto"/>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D.25000元/单位，同步直播，单位投屏播放，统一观看，不限人数，提供电子课件，支持在线提问；</w:t>
      </w:r>
    </w:p>
    <w:p w14:paraId="3242CB84">
      <w:pPr>
        <w:keepNext w:val="0"/>
        <w:keepLines w:val="0"/>
        <w:pageBreakBefore w:val="0"/>
        <w:widowControl w:val="0"/>
        <w:kinsoku/>
        <w:wordWrap/>
        <w:overflowPunct/>
        <w:topLinePunct w:val="0"/>
        <w:autoSpaceDE/>
        <w:autoSpaceDN/>
        <w:bidi w:val="0"/>
        <w:snapToGrid w:val="0"/>
        <w:spacing w:line="500" w:lineRule="exact"/>
        <w:ind w:firstLine="560" w:firstLineChars="200"/>
        <w:jc w:val="both"/>
        <w:textAlignment w:val="auto"/>
        <w:rPr>
          <w:rFonts w:hint="eastAsia" w:ascii="仿宋" w:hAnsi="仿宋" w:eastAsia="仿宋" w:cs="仿宋"/>
          <w:b/>
          <w:bCs/>
          <w:color w:val="auto"/>
          <w:sz w:val="28"/>
          <w:szCs w:val="28"/>
        </w:rPr>
      </w:pPr>
      <w:r>
        <w:rPr>
          <w:rFonts w:hint="eastAsia" w:ascii="仿宋" w:hAnsi="仿宋" w:eastAsia="仿宋" w:cs="仿宋"/>
          <w:color w:val="auto"/>
          <w:spacing w:val="0"/>
          <w:sz w:val="28"/>
          <w:szCs w:val="28"/>
          <w:lang w:val="en-US" w:eastAsia="zh-CN"/>
        </w:rPr>
        <w:t>E.40000元/天，根据实际需求，个性化定制课程内容，委派专家赴政府、国有企业进行内部培训（含课酬、专家与助教交通费、资料费等，培训场地由受训单位提供）。</w:t>
      </w:r>
    </w:p>
    <w:bookmarkEnd w:id="3"/>
    <w:p w14:paraId="38787F47">
      <w:pPr>
        <w:spacing w:line="500" w:lineRule="exact"/>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 xml:space="preserve">    六、联系方式：</w:t>
      </w:r>
    </w:p>
    <w:p w14:paraId="28BC1DFA">
      <w:pPr>
        <w:spacing w:line="540" w:lineRule="exact"/>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报名负责人：聂红军 主任18211071700（微信）   </w:t>
      </w:r>
    </w:p>
    <w:p w14:paraId="56C152C8">
      <w:pPr>
        <w:spacing w:line="540" w:lineRule="exact"/>
        <w:ind w:firstLine="560" w:firstLineChars="20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电    话：13141289128        邮    箱：zqgphwz@126.com  </w:t>
      </w:r>
    </w:p>
    <w:p w14:paraId="23A9E044">
      <w:pPr>
        <w:spacing w:line="540" w:lineRule="exact"/>
        <w:ind w:firstLine="560" w:firstLineChars="200"/>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qq咨询：3177524020         网    址：http://www.zqgpchina.cn</w:t>
      </w:r>
    </w:p>
    <w:p w14:paraId="3574D804">
      <w:pPr>
        <w:spacing w:line="540" w:lineRule="exact"/>
        <w:rPr>
          <w:rFonts w:ascii="仿宋" w:hAnsi="仿宋" w:eastAsia="仿宋" w:cs="仿宋"/>
          <w:b w:val="0"/>
          <w:bCs w:val="0"/>
          <w:color w:val="000000" w:themeColor="text1"/>
          <w:sz w:val="28"/>
          <w:szCs w:val="28"/>
          <w14:textFill>
            <w14:solidFill>
              <w14:schemeClr w14:val="tx1"/>
            </w14:solidFill>
          </w14:textFill>
        </w:rPr>
      </w:pPr>
    </w:p>
    <w:p w14:paraId="60CCAB63">
      <w:pPr>
        <w:spacing w:line="540" w:lineRule="exact"/>
        <w:rPr>
          <w:rFonts w:ascii="仿宋" w:hAnsi="仿宋" w:eastAsia="仿宋" w:cs="仿宋"/>
          <w:b/>
          <w:bCs/>
          <w:color w:val="000000" w:themeColor="text1"/>
          <w:sz w:val="28"/>
          <w:szCs w:val="28"/>
          <w14:textFill>
            <w14:solidFill>
              <w14:schemeClr w14:val="tx1"/>
            </w14:solidFill>
          </w14:textFill>
        </w:rPr>
      </w:pPr>
    </w:p>
    <w:p w14:paraId="2B1DE1E8">
      <w:pPr>
        <w:spacing w:line="540" w:lineRule="exact"/>
        <w:rPr>
          <w:rFonts w:hint="default" w:ascii="仿宋" w:hAnsi="仿宋" w:eastAsia="仿宋" w:cs="仿宋"/>
          <w:b/>
          <w:bCs/>
          <w:color w:val="000000" w:themeColor="text1"/>
          <w:sz w:val="28"/>
          <w:szCs w:val="28"/>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t>附件2：</w:t>
      </w:r>
    </w:p>
    <w:p w14:paraId="7A9C585B">
      <w:pPr>
        <w:spacing w:line="540" w:lineRule="exact"/>
        <w:rPr>
          <w:rFonts w:hint="default" w:ascii="仿宋" w:hAnsi="仿宋" w:eastAsia="仿宋" w:cs="仿宋"/>
          <w:b/>
          <w:bCs/>
          <w:color w:val="000000" w:themeColor="text1"/>
          <w:sz w:val="28"/>
          <w:szCs w:val="28"/>
          <w14:textFill>
            <w14:solidFill>
              <w14:schemeClr w14:val="tx1"/>
            </w14:solidFill>
          </w14:textFill>
        </w:rPr>
      </w:pPr>
    </w:p>
    <w:p w14:paraId="6006F2CB">
      <w:pPr>
        <w:autoSpaceDE/>
        <w:autoSpaceDN/>
        <w:adjustRightInd/>
        <w:snapToGrid w:val="0"/>
        <w:spacing w:line="440" w:lineRule="atLeast"/>
        <w:jc w:val="center"/>
        <w:rPr>
          <w:rFonts w:hint="eastAsia" w:ascii="仿宋" w:hAnsi="仿宋" w:eastAsia="仿宋" w:cs="仿宋"/>
          <w:b/>
          <w:bCs/>
          <w:color w:val="000000" w:themeColor="text1"/>
          <w:sz w:val="32"/>
          <w:szCs w:val="32"/>
          <w14:textFill>
            <w14:solidFill>
              <w14:schemeClr w14:val="tx1"/>
            </w14:solidFill>
          </w14:textFill>
        </w:rPr>
      </w:pPr>
      <w:r>
        <w:rPr>
          <w:rFonts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新政背景下专项债、超长期特别国债资金申报、</w:t>
      </w:r>
    </w:p>
    <w:p w14:paraId="425E7E75">
      <w:pPr>
        <w:autoSpaceDE/>
        <w:autoSpaceDN/>
        <w:adjustRightInd/>
        <w:snapToGrid w:val="0"/>
        <w:spacing w:line="440" w:lineRule="atLeast"/>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特许经营实务、EOD 项目谋划、三大工程运作、存量资产盘活及150号文背景下投融资平台转型高级研修班</w:t>
      </w:r>
      <w:r>
        <w:rPr>
          <w:rFonts w:ascii="仿宋" w:hAnsi="仿宋" w:eastAsia="仿宋" w:cs="仿宋"/>
          <w:b/>
          <w:bCs/>
          <w:color w:val="000000" w:themeColor="text1"/>
          <w:sz w:val="32"/>
          <w:szCs w:val="32"/>
          <w14:textFill>
            <w14:solidFill>
              <w14:schemeClr w14:val="tx1"/>
            </w14:solidFill>
          </w14:textFill>
        </w:rPr>
        <w:t>”报名回执表</w:t>
      </w:r>
    </w:p>
    <w:tbl>
      <w:tblPr>
        <w:tblStyle w:val="11"/>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14:paraId="06AA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4F1596E">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14:paraId="3199FF13">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49EA1C3E">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编</w:t>
            </w:r>
          </w:p>
        </w:tc>
        <w:tc>
          <w:tcPr>
            <w:tcW w:w="2164" w:type="dxa"/>
            <w:vAlign w:val="center"/>
          </w:tcPr>
          <w:p w14:paraId="41600E98">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608B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45DA6AD">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14:paraId="1E92293F">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1D58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57F303F">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14:paraId="70E3A8D1">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3F9FF70C">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14:paraId="56ED10FC">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3E60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F446123">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14:paraId="5CD33F25">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24B4ADD7">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14:paraId="485A8117">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5692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0F537F8">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14:paraId="0C2C1E5E">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16EBF156">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14:paraId="3F5BB0DF">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730C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FDCF439">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14:paraId="0B91CC60">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性别</w:t>
            </w:r>
          </w:p>
        </w:tc>
        <w:tc>
          <w:tcPr>
            <w:tcW w:w="1293" w:type="dxa"/>
            <w:vAlign w:val="center"/>
          </w:tcPr>
          <w:p w14:paraId="5F514A1C">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1952" w:type="dxa"/>
            <w:vAlign w:val="center"/>
          </w:tcPr>
          <w:p w14:paraId="60005042">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    话</w:t>
            </w:r>
          </w:p>
        </w:tc>
        <w:tc>
          <w:tcPr>
            <w:tcW w:w="1896" w:type="dxa"/>
            <w:vAlign w:val="center"/>
          </w:tcPr>
          <w:p w14:paraId="54ECBA88">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64" w:type="dxa"/>
            <w:vAlign w:val="center"/>
          </w:tcPr>
          <w:p w14:paraId="71846AFB">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箱</w:t>
            </w:r>
          </w:p>
        </w:tc>
      </w:tr>
      <w:tr w14:paraId="0B68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087155F">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4FCD0B7C">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3B0D9512">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01FAAF99">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0F3E3118">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6360346C">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3D8B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83BD30D">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3BF4A7E6">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1455928C">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13DE06C5">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65C413E3">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0491ED1D">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29EE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3959A7D">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15E2C1CE">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72AD3B6A">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7434271D">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5A9568DF">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22C621B9">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038C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35FE2940">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2D3F6F86">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3BD1C334">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69E9508A">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7D17FA75">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3F19F598">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7A0C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56C2D99">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1B0802A2">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2C2325DF">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68F010BF">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11E77E0C">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66610964">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4960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45C1A1C">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67440AB4">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0401BDEB">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53E04E84">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18916926">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3BCAC603">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7612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F4F5231">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14:paraId="5FEC1109">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413DCB7A">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14:paraId="08A452D9">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28EA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65284AB">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住宿</w:t>
            </w:r>
            <w:r>
              <w:rPr>
                <w:rFonts w:hint="eastAsia" w:ascii="仿宋" w:hAnsi="仿宋" w:eastAsia="仿宋" w:cs="仿宋"/>
                <w:bCs/>
                <w:color w:val="000000" w:themeColor="text1"/>
                <w:sz w:val="28"/>
                <w:szCs w:val="28"/>
                <w:lang w:val="en-US" w:eastAsia="zh-CN"/>
                <w14:textFill>
                  <w14:solidFill>
                    <w14:schemeClr w14:val="tx1"/>
                  </w14:solidFill>
                </w14:textFill>
              </w:rPr>
              <w:t>要求</w:t>
            </w:r>
          </w:p>
        </w:tc>
        <w:tc>
          <w:tcPr>
            <w:tcW w:w="8159" w:type="dxa"/>
            <w:gridSpan w:val="5"/>
            <w:vAlign w:val="center"/>
          </w:tcPr>
          <w:p w14:paraId="7DAFBC31">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单住□      合住□     自理□</w:t>
            </w:r>
          </w:p>
        </w:tc>
      </w:tr>
      <w:tr w14:paraId="0E13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7851ED7">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14:paraId="37AF0FF0">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《投融资规划师》□    中国投资协会会员□</w:t>
            </w:r>
          </w:p>
        </w:tc>
      </w:tr>
      <w:tr w14:paraId="1526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3FCE277C">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14:paraId="14FECD04">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银行转账□      现场交费□</w:t>
            </w:r>
          </w:p>
        </w:tc>
        <w:tc>
          <w:tcPr>
            <w:tcW w:w="1896" w:type="dxa"/>
            <w:vAlign w:val="center"/>
          </w:tcPr>
          <w:p w14:paraId="703988B6">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金 额</w:t>
            </w:r>
          </w:p>
        </w:tc>
        <w:tc>
          <w:tcPr>
            <w:tcW w:w="2164" w:type="dxa"/>
          </w:tcPr>
          <w:p w14:paraId="46B2C78E">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181C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14:paraId="14A15155">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p w14:paraId="13231CC5">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收款信息</w:t>
            </w:r>
          </w:p>
        </w:tc>
        <w:tc>
          <w:tcPr>
            <w:tcW w:w="8159" w:type="dxa"/>
            <w:gridSpan w:val="5"/>
            <w:vAlign w:val="center"/>
          </w:tcPr>
          <w:p w14:paraId="251C5479">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开户名称：北京中建科信管理咨询集团有限公司</w:t>
            </w:r>
          </w:p>
          <w:p w14:paraId="27C62207">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开 户 行：中国工商银行北京半壁店支行</w:t>
            </w:r>
          </w:p>
          <w:p w14:paraId="7E60AD48">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账 号：0200247009200068235</w:t>
            </w:r>
          </w:p>
        </w:tc>
      </w:tr>
      <w:tr w14:paraId="1B2A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14:paraId="717B3F83">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14:paraId="5D734AD9">
            <w:pPr>
              <w:tabs>
                <w:tab w:val="left" w:pos="567"/>
                <w:tab w:val="left" w:pos="709"/>
              </w:tabs>
              <w:spacing w:line="300" w:lineRule="exact"/>
              <w:ind w:firstLine="0" w:firstLineChars="0"/>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4060" w:type="dxa"/>
            <w:gridSpan w:val="2"/>
            <w:vAlign w:val="center"/>
          </w:tcPr>
          <w:p w14:paraId="413C01B3">
            <w:pPr>
              <w:tabs>
                <w:tab w:val="left" w:pos="567"/>
                <w:tab w:val="left" w:pos="709"/>
              </w:tabs>
              <w:spacing w:line="300" w:lineRule="exact"/>
              <w:ind w:firstLine="280" w:firstLineChars="1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参加单位（盖章）</w:t>
            </w:r>
          </w:p>
          <w:p w14:paraId="2C74EA3F">
            <w:pPr>
              <w:pStyle w:val="10"/>
              <w:ind w:left="480" w:firstLine="480"/>
              <w:rPr>
                <w:rFonts w:hint="default"/>
                <w:color w:val="000000" w:themeColor="text1"/>
                <w14:textFill>
                  <w14:solidFill>
                    <w14:schemeClr w14:val="tx1"/>
                  </w14:solidFill>
                </w14:textFill>
              </w:rPr>
            </w:pPr>
          </w:p>
          <w:p w14:paraId="207D5D77">
            <w:pPr>
              <w:tabs>
                <w:tab w:val="left" w:pos="567"/>
                <w:tab w:val="left" w:pos="709"/>
              </w:tabs>
              <w:spacing w:line="300" w:lineRule="exact"/>
              <w:ind w:firstLine="1960" w:firstLineChars="7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年  月  日</w:t>
            </w:r>
          </w:p>
        </w:tc>
      </w:tr>
    </w:tbl>
    <w:p w14:paraId="0966730F">
      <w:pPr>
        <w:autoSpaceDE/>
        <w:autoSpaceDN/>
        <w:adjustRightInd/>
        <w:snapToGrid w:val="0"/>
        <w:spacing w:line="440" w:lineRule="atLeast"/>
        <w:rPr>
          <w:rFonts w:hint="default" w:ascii="仿宋" w:hAnsi="仿宋" w:eastAsia="仿宋" w:cs="仿宋"/>
          <w:color w:val="000000" w:themeColor="text1"/>
          <w:sz w:val="28"/>
          <w:szCs w:val="28"/>
          <w14:textFill>
            <w14:solidFill>
              <w14:schemeClr w14:val="tx1"/>
            </w14:solidFill>
          </w14:textFill>
        </w:rPr>
      </w:pPr>
    </w:p>
    <w:p w14:paraId="304C63FD">
      <w:pPr>
        <w:spacing w:line="440" w:lineRule="exact"/>
        <w:rPr>
          <w:rStyle w:val="13"/>
          <w:rFonts w:hint="eastAsia" w:ascii="仿宋" w:hAnsi="仿宋" w:eastAsia="仿宋" w:cs="仿宋"/>
          <w:color w:val="000000" w:themeColor="text1"/>
          <w:sz w:val="28"/>
          <w:szCs w:val="28"/>
          <w:lang w:val="zh-CN"/>
          <w14:textFill>
            <w14:solidFill>
              <w14:schemeClr w14:val="tx1"/>
            </w14:solidFill>
          </w14:textFill>
        </w:rPr>
      </w:pPr>
      <w:r>
        <w:rPr>
          <w:rStyle w:val="13"/>
          <w:rFonts w:hint="eastAsia" w:ascii="仿宋" w:hAnsi="仿宋" w:eastAsia="仿宋" w:cs="仿宋"/>
          <w:color w:val="000000" w:themeColor="text1"/>
          <w:sz w:val="28"/>
          <w:szCs w:val="28"/>
          <w:lang w:val="zh-CN"/>
          <w14:textFill>
            <w14:solidFill>
              <w14:schemeClr w14:val="tx1"/>
            </w14:solidFill>
          </w14:textFill>
        </w:rPr>
        <w:t xml:space="preserve">报名负责人：聂红军 主任18211071700（微信）   </w:t>
      </w:r>
    </w:p>
    <w:p w14:paraId="15A01A6F">
      <w:pPr>
        <w:spacing w:line="440" w:lineRule="exact"/>
        <w:rPr>
          <w:rStyle w:val="13"/>
          <w:rFonts w:hint="eastAsia" w:ascii="仿宋" w:hAnsi="仿宋" w:eastAsia="仿宋" w:cs="仿宋"/>
          <w:color w:val="000000" w:themeColor="text1"/>
          <w:sz w:val="28"/>
          <w:szCs w:val="28"/>
          <w:lang w:val="zh-CN"/>
          <w14:textFill>
            <w14:solidFill>
              <w14:schemeClr w14:val="tx1"/>
            </w14:solidFill>
          </w14:textFill>
        </w:rPr>
      </w:pPr>
      <w:r>
        <w:rPr>
          <w:rStyle w:val="13"/>
          <w:rFonts w:hint="eastAsia" w:ascii="仿宋" w:hAnsi="仿宋" w:eastAsia="仿宋" w:cs="仿宋"/>
          <w:color w:val="000000" w:themeColor="text1"/>
          <w:sz w:val="28"/>
          <w:szCs w:val="28"/>
          <w:lang w:val="zh-CN"/>
          <w14:textFill>
            <w14:solidFill>
              <w14:schemeClr w14:val="tx1"/>
            </w14:solidFill>
          </w14:textFill>
        </w:rPr>
        <w:t xml:space="preserve">电    话：13141289128        邮    箱：zqgphwz@126.com  </w:t>
      </w:r>
    </w:p>
    <w:p w14:paraId="1677BFCE">
      <w:pPr>
        <w:spacing w:line="440" w:lineRule="exact"/>
        <w:rPr>
          <w:rStyle w:val="13"/>
          <w:rFonts w:hint="default" w:ascii="仿宋" w:hAnsi="仿宋" w:eastAsia="仿宋" w:cs="仿宋"/>
          <w:b w:val="0"/>
          <w:color w:val="000000" w:themeColor="text1"/>
          <w:kern w:val="2"/>
          <w:sz w:val="28"/>
          <w:szCs w:val="28"/>
          <w:lang w:val="zh-CN"/>
          <w14:textFill>
            <w14:solidFill>
              <w14:schemeClr w14:val="tx1"/>
            </w14:solidFill>
          </w14:textFill>
        </w:rPr>
      </w:pPr>
      <w:r>
        <w:rPr>
          <w:rStyle w:val="13"/>
          <w:rFonts w:hint="eastAsia" w:ascii="仿宋" w:hAnsi="仿宋" w:eastAsia="仿宋" w:cs="仿宋"/>
          <w:color w:val="000000" w:themeColor="text1"/>
          <w:sz w:val="28"/>
          <w:szCs w:val="28"/>
          <w:lang w:val="zh-CN"/>
          <w14:textFill>
            <w14:solidFill>
              <w14:schemeClr w14:val="tx1"/>
            </w14:solidFill>
          </w14:textFill>
        </w:rPr>
        <w:t>qq咨询：3177524020          网    址：http://www.zqgpchina.cn</w:t>
      </w:r>
      <w:bookmarkStart w:id="4" w:name="_GoBack"/>
      <w:bookmarkEnd w:id="4"/>
    </w:p>
    <w:sectPr>
      <w:footerReference r:id="rId3" w:type="default"/>
      <w:pgSz w:w="11906" w:h="16838"/>
      <w:pgMar w:top="1440" w:right="1587" w:bottom="1440"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F6B21">
    <w:pPr>
      <w:pStyle w:val="6"/>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B2B9A">
                          <w:pPr>
                            <w:pStyle w:val="6"/>
                            <w:rPr>
                              <w:rFonts w:hint="default"/>
                            </w:rPr>
                          </w:pPr>
                          <w:r>
                            <w:fldChar w:fldCharType="begin"/>
                          </w:r>
                          <w:r>
                            <w:instrText xml:space="preserve"> PAGE  \* MERGEFORMAT </w:instrText>
                          </w:r>
                          <w:r>
                            <w:fldChar w:fldCharType="separate"/>
                          </w:r>
                          <w:r>
                            <w:rPr>
                              <w:rFonts w:hint="default"/>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6BB2B9A">
                    <w:pPr>
                      <w:pStyle w:val="6"/>
                      <w:rPr>
                        <w:rFonts w:hint="default"/>
                      </w:rPr>
                    </w:pPr>
                    <w:r>
                      <w:fldChar w:fldCharType="begin"/>
                    </w:r>
                    <w:r>
                      <w:instrText xml:space="preserve"> PAGE  \* MERGEFORMAT </w:instrText>
                    </w:r>
                    <w:r>
                      <w:fldChar w:fldCharType="separate"/>
                    </w:r>
                    <w:r>
                      <w:rPr>
                        <w:rFonts w:hint="default"/>
                      </w:rP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MWM5NTU3NmQwMzYzZGY2NjUyMjZkNDUzMDVhNDkifQ=="/>
  </w:docVars>
  <w:rsids>
    <w:rsidRoot w:val="009A4718"/>
    <w:rsid w:val="000111BB"/>
    <w:rsid w:val="00023D51"/>
    <w:rsid w:val="00035C2D"/>
    <w:rsid w:val="00065AAF"/>
    <w:rsid w:val="00067BD4"/>
    <w:rsid w:val="0009075B"/>
    <w:rsid w:val="0009632B"/>
    <w:rsid w:val="000B5CF0"/>
    <w:rsid w:val="000E468A"/>
    <w:rsid w:val="000F0735"/>
    <w:rsid w:val="000F7912"/>
    <w:rsid w:val="00101FAE"/>
    <w:rsid w:val="00112650"/>
    <w:rsid w:val="001320AD"/>
    <w:rsid w:val="00165350"/>
    <w:rsid w:val="0017622F"/>
    <w:rsid w:val="001B15FC"/>
    <w:rsid w:val="001B3EFA"/>
    <w:rsid w:val="001C423C"/>
    <w:rsid w:val="001D5820"/>
    <w:rsid w:val="001F07DE"/>
    <w:rsid w:val="001F266D"/>
    <w:rsid w:val="001F2CC6"/>
    <w:rsid w:val="001F5DBA"/>
    <w:rsid w:val="002016D4"/>
    <w:rsid w:val="00230A62"/>
    <w:rsid w:val="00262218"/>
    <w:rsid w:val="002733FA"/>
    <w:rsid w:val="002826B1"/>
    <w:rsid w:val="00286AAF"/>
    <w:rsid w:val="002A5354"/>
    <w:rsid w:val="002B53F2"/>
    <w:rsid w:val="002C7D33"/>
    <w:rsid w:val="002D3428"/>
    <w:rsid w:val="002D7C2D"/>
    <w:rsid w:val="00303B6C"/>
    <w:rsid w:val="0031284C"/>
    <w:rsid w:val="00360AC6"/>
    <w:rsid w:val="00366D1D"/>
    <w:rsid w:val="003B1F67"/>
    <w:rsid w:val="003C0104"/>
    <w:rsid w:val="003D3698"/>
    <w:rsid w:val="003E36E5"/>
    <w:rsid w:val="003E4E6E"/>
    <w:rsid w:val="003F712A"/>
    <w:rsid w:val="004127EC"/>
    <w:rsid w:val="0042016E"/>
    <w:rsid w:val="0042243A"/>
    <w:rsid w:val="00444929"/>
    <w:rsid w:val="00490AAB"/>
    <w:rsid w:val="004B699A"/>
    <w:rsid w:val="004C2C6B"/>
    <w:rsid w:val="00500594"/>
    <w:rsid w:val="00507BEB"/>
    <w:rsid w:val="00510FDD"/>
    <w:rsid w:val="005258A8"/>
    <w:rsid w:val="005C7804"/>
    <w:rsid w:val="005F7916"/>
    <w:rsid w:val="006011E8"/>
    <w:rsid w:val="00601C30"/>
    <w:rsid w:val="00605B40"/>
    <w:rsid w:val="006068B5"/>
    <w:rsid w:val="00616606"/>
    <w:rsid w:val="00657822"/>
    <w:rsid w:val="00660D1E"/>
    <w:rsid w:val="006618C6"/>
    <w:rsid w:val="00663868"/>
    <w:rsid w:val="00670351"/>
    <w:rsid w:val="00671816"/>
    <w:rsid w:val="006B69A3"/>
    <w:rsid w:val="006D0938"/>
    <w:rsid w:val="006D3D7C"/>
    <w:rsid w:val="006D6D3A"/>
    <w:rsid w:val="006E23D4"/>
    <w:rsid w:val="006F117C"/>
    <w:rsid w:val="006F58F0"/>
    <w:rsid w:val="00706D80"/>
    <w:rsid w:val="00724E89"/>
    <w:rsid w:val="00757655"/>
    <w:rsid w:val="00757AA3"/>
    <w:rsid w:val="00760628"/>
    <w:rsid w:val="0078469F"/>
    <w:rsid w:val="00786656"/>
    <w:rsid w:val="007A06B7"/>
    <w:rsid w:val="007A7149"/>
    <w:rsid w:val="007B7767"/>
    <w:rsid w:val="007E57E5"/>
    <w:rsid w:val="007F29DF"/>
    <w:rsid w:val="007F5FC8"/>
    <w:rsid w:val="008105A7"/>
    <w:rsid w:val="00832BCD"/>
    <w:rsid w:val="008334D8"/>
    <w:rsid w:val="00836D30"/>
    <w:rsid w:val="00843C21"/>
    <w:rsid w:val="0085248F"/>
    <w:rsid w:val="00860964"/>
    <w:rsid w:val="00872F40"/>
    <w:rsid w:val="00876F0D"/>
    <w:rsid w:val="00881445"/>
    <w:rsid w:val="00882120"/>
    <w:rsid w:val="008A39AB"/>
    <w:rsid w:val="008B199B"/>
    <w:rsid w:val="008E378E"/>
    <w:rsid w:val="008E633F"/>
    <w:rsid w:val="008E79C6"/>
    <w:rsid w:val="008F0258"/>
    <w:rsid w:val="009176A2"/>
    <w:rsid w:val="00920D6E"/>
    <w:rsid w:val="00925ADE"/>
    <w:rsid w:val="009308F0"/>
    <w:rsid w:val="00930C9B"/>
    <w:rsid w:val="009472B7"/>
    <w:rsid w:val="00957A5B"/>
    <w:rsid w:val="009601BE"/>
    <w:rsid w:val="00967F95"/>
    <w:rsid w:val="00970D44"/>
    <w:rsid w:val="00981D3A"/>
    <w:rsid w:val="009A4718"/>
    <w:rsid w:val="009A4BA7"/>
    <w:rsid w:val="00A0339F"/>
    <w:rsid w:val="00A16535"/>
    <w:rsid w:val="00A17C72"/>
    <w:rsid w:val="00A21947"/>
    <w:rsid w:val="00A35324"/>
    <w:rsid w:val="00A44D01"/>
    <w:rsid w:val="00A55121"/>
    <w:rsid w:val="00A6651E"/>
    <w:rsid w:val="00A76A48"/>
    <w:rsid w:val="00A86334"/>
    <w:rsid w:val="00AB4C35"/>
    <w:rsid w:val="00AF6597"/>
    <w:rsid w:val="00B0351C"/>
    <w:rsid w:val="00B565CD"/>
    <w:rsid w:val="00B73582"/>
    <w:rsid w:val="00B73A86"/>
    <w:rsid w:val="00B865F7"/>
    <w:rsid w:val="00B87A6C"/>
    <w:rsid w:val="00B953A2"/>
    <w:rsid w:val="00BC37A5"/>
    <w:rsid w:val="00BC57E5"/>
    <w:rsid w:val="00BE0FB0"/>
    <w:rsid w:val="00C10B2E"/>
    <w:rsid w:val="00C234E4"/>
    <w:rsid w:val="00C44BC1"/>
    <w:rsid w:val="00C5747F"/>
    <w:rsid w:val="00C660E6"/>
    <w:rsid w:val="00C7524A"/>
    <w:rsid w:val="00C96EFB"/>
    <w:rsid w:val="00CA083A"/>
    <w:rsid w:val="00CE67E2"/>
    <w:rsid w:val="00CF1181"/>
    <w:rsid w:val="00D16B8B"/>
    <w:rsid w:val="00D23939"/>
    <w:rsid w:val="00D33D09"/>
    <w:rsid w:val="00D43F87"/>
    <w:rsid w:val="00D47982"/>
    <w:rsid w:val="00D71D37"/>
    <w:rsid w:val="00D74547"/>
    <w:rsid w:val="00DA154B"/>
    <w:rsid w:val="00DB24B2"/>
    <w:rsid w:val="00DB62D4"/>
    <w:rsid w:val="00DC5B74"/>
    <w:rsid w:val="00DC78B4"/>
    <w:rsid w:val="00DF3CB1"/>
    <w:rsid w:val="00E23AA1"/>
    <w:rsid w:val="00E24129"/>
    <w:rsid w:val="00E364AD"/>
    <w:rsid w:val="00E40FB3"/>
    <w:rsid w:val="00E51A5B"/>
    <w:rsid w:val="00E54A37"/>
    <w:rsid w:val="00E65A89"/>
    <w:rsid w:val="00E71C2E"/>
    <w:rsid w:val="00E73D9A"/>
    <w:rsid w:val="00EB3F9D"/>
    <w:rsid w:val="00EC2070"/>
    <w:rsid w:val="00ED0791"/>
    <w:rsid w:val="00F039EE"/>
    <w:rsid w:val="00F2027E"/>
    <w:rsid w:val="00F31608"/>
    <w:rsid w:val="00F4034C"/>
    <w:rsid w:val="00F52CD5"/>
    <w:rsid w:val="00F70584"/>
    <w:rsid w:val="00F75886"/>
    <w:rsid w:val="00F847DA"/>
    <w:rsid w:val="00FA5D57"/>
    <w:rsid w:val="00FA68FB"/>
    <w:rsid w:val="00FD3268"/>
    <w:rsid w:val="00FD7D45"/>
    <w:rsid w:val="00FE0B0D"/>
    <w:rsid w:val="01072441"/>
    <w:rsid w:val="0115065C"/>
    <w:rsid w:val="015C14C1"/>
    <w:rsid w:val="01873FBC"/>
    <w:rsid w:val="01A54065"/>
    <w:rsid w:val="02245201"/>
    <w:rsid w:val="024758F8"/>
    <w:rsid w:val="0264395E"/>
    <w:rsid w:val="02AF70B3"/>
    <w:rsid w:val="02B01FAE"/>
    <w:rsid w:val="03082F4B"/>
    <w:rsid w:val="03B573D0"/>
    <w:rsid w:val="03BD2A1A"/>
    <w:rsid w:val="03DE1A18"/>
    <w:rsid w:val="040074A3"/>
    <w:rsid w:val="04421273"/>
    <w:rsid w:val="045246C4"/>
    <w:rsid w:val="0473474D"/>
    <w:rsid w:val="04FA6554"/>
    <w:rsid w:val="05264D9D"/>
    <w:rsid w:val="05281683"/>
    <w:rsid w:val="055F0F75"/>
    <w:rsid w:val="057A17B3"/>
    <w:rsid w:val="05812B41"/>
    <w:rsid w:val="059A2F73"/>
    <w:rsid w:val="059D13C6"/>
    <w:rsid w:val="05DB6A0D"/>
    <w:rsid w:val="05F05251"/>
    <w:rsid w:val="06562BCE"/>
    <w:rsid w:val="06732077"/>
    <w:rsid w:val="06906F26"/>
    <w:rsid w:val="06A76AC5"/>
    <w:rsid w:val="073758B6"/>
    <w:rsid w:val="07416A2C"/>
    <w:rsid w:val="075C0B4F"/>
    <w:rsid w:val="07DD1D97"/>
    <w:rsid w:val="07E06245"/>
    <w:rsid w:val="07E24293"/>
    <w:rsid w:val="08114065"/>
    <w:rsid w:val="085722EB"/>
    <w:rsid w:val="08D80954"/>
    <w:rsid w:val="09574C75"/>
    <w:rsid w:val="0A19645B"/>
    <w:rsid w:val="0A1F1C61"/>
    <w:rsid w:val="0A4725AB"/>
    <w:rsid w:val="0AE00BC8"/>
    <w:rsid w:val="0B3F3B13"/>
    <w:rsid w:val="0B5D56D2"/>
    <w:rsid w:val="0B7C40B9"/>
    <w:rsid w:val="0B97030C"/>
    <w:rsid w:val="0BD31815"/>
    <w:rsid w:val="0C654FEF"/>
    <w:rsid w:val="0C750503"/>
    <w:rsid w:val="0C757B9B"/>
    <w:rsid w:val="0CA967FE"/>
    <w:rsid w:val="0D781D42"/>
    <w:rsid w:val="0DA135C5"/>
    <w:rsid w:val="0DE9579D"/>
    <w:rsid w:val="0E6A7443"/>
    <w:rsid w:val="0E82376F"/>
    <w:rsid w:val="0E9B61FF"/>
    <w:rsid w:val="0EB13649"/>
    <w:rsid w:val="0EC9239C"/>
    <w:rsid w:val="0ED45BB5"/>
    <w:rsid w:val="0F233D68"/>
    <w:rsid w:val="0F816F20"/>
    <w:rsid w:val="0FE97C61"/>
    <w:rsid w:val="103819F7"/>
    <w:rsid w:val="10501289"/>
    <w:rsid w:val="1053724B"/>
    <w:rsid w:val="106D2640"/>
    <w:rsid w:val="108965B9"/>
    <w:rsid w:val="10E46B9A"/>
    <w:rsid w:val="10F42D58"/>
    <w:rsid w:val="11117CBE"/>
    <w:rsid w:val="113E3B6A"/>
    <w:rsid w:val="115E0DC8"/>
    <w:rsid w:val="11AB1900"/>
    <w:rsid w:val="11B32288"/>
    <w:rsid w:val="12040D82"/>
    <w:rsid w:val="122B1BC6"/>
    <w:rsid w:val="125B567F"/>
    <w:rsid w:val="12A14823"/>
    <w:rsid w:val="12AB56A1"/>
    <w:rsid w:val="12AE7D8A"/>
    <w:rsid w:val="12EE1603"/>
    <w:rsid w:val="12F92A2E"/>
    <w:rsid w:val="131A3105"/>
    <w:rsid w:val="13B37F48"/>
    <w:rsid w:val="13BA4E76"/>
    <w:rsid w:val="140C2170"/>
    <w:rsid w:val="14246519"/>
    <w:rsid w:val="145A52E4"/>
    <w:rsid w:val="14813515"/>
    <w:rsid w:val="14A05074"/>
    <w:rsid w:val="14A405FA"/>
    <w:rsid w:val="14AA3E63"/>
    <w:rsid w:val="14B761FD"/>
    <w:rsid w:val="150B41FA"/>
    <w:rsid w:val="155C0CB5"/>
    <w:rsid w:val="156423D0"/>
    <w:rsid w:val="15AB2D48"/>
    <w:rsid w:val="15BB0ED0"/>
    <w:rsid w:val="15F1161D"/>
    <w:rsid w:val="15F519A8"/>
    <w:rsid w:val="15F66A2C"/>
    <w:rsid w:val="15FD7FC2"/>
    <w:rsid w:val="16816EC6"/>
    <w:rsid w:val="16933D66"/>
    <w:rsid w:val="16D42978"/>
    <w:rsid w:val="1714344D"/>
    <w:rsid w:val="17264508"/>
    <w:rsid w:val="17501762"/>
    <w:rsid w:val="178169D1"/>
    <w:rsid w:val="179A6F33"/>
    <w:rsid w:val="17A76534"/>
    <w:rsid w:val="17E562F3"/>
    <w:rsid w:val="18180676"/>
    <w:rsid w:val="18184C74"/>
    <w:rsid w:val="186F35B0"/>
    <w:rsid w:val="189509C3"/>
    <w:rsid w:val="18AB4577"/>
    <w:rsid w:val="18B41400"/>
    <w:rsid w:val="19041D89"/>
    <w:rsid w:val="196565AA"/>
    <w:rsid w:val="197545FC"/>
    <w:rsid w:val="19A44506"/>
    <w:rsid w:val="19DB6AAB"/>
    <w:rsid w:val="1A0B2771"/>
    <w:rsid w:val="1A200723"/>
    <w:rsid w:val="1A3B3909"/>
    <w:rsid w:val="1A8D572D"/>
    <w:rsid w:val="1B0E2616"/>
    <w:rsid w:val="1BCC2910"/>
    <w:rsid w:val="1BF26C26"/>
    <w:rsid w:val="1C303806"/>
    <w:rsid w:val="1C4117B3"/>
    <w:rsid w:val="1C685977"/>
    <w:rsid w:val="1C6E39C8"/>
    <w:rsid w:val="1C7062EE"/>
    <w:rsid w:val="1D0B2A5F"/>
    <w:rsid w:val="1D4F4D9A"/>
    <w:rsid w:val="1E8E4798"/>
    <w:rsid w:val="1EE61D2F"/>
    <w:rsid w:val="1F0C74C8"/>
    <w:rsid w:val="1F666BD8"/>
    <w:rsid w:val="1F71124A"/>
    <w:rsid w:val="1F72557D"/>
    <w:rsid w:val="1FE01D86"/>
    <w:rsid w:val="1FE83A91"/>
    <w:rsid w:val="20051B1C"/>
    <w:rsid w:val="20263587"/>
    <w:rsid w:val="203B216B"/>
    <w:rsid w:val="20440B47"/>
    <w:rsid w:val="206D3F96"/>
    <w:rsid w:val="20E53D47"/>
    <w:rsid w:val="20F06D17"/>
    <w:rsid w:val="215A3612"/>
    <w:rsid w:val="21DF2625"/>
    <w:rsid w:val="21E97F2A"/>
    <w:rsid w:val="21F073E7"/>
    <w:rsid w:val="21F12989"/>
    <w:rsid w:val="2200156D"/>
    <w:rsid w:val="22072402"/>
    <w:rsid w:val="22B805DD"/>
    <w:rsid w:val="22BC1795"/>
    <w:rsid w:val="22CE36FA"/>
    <w:rsid w:val="22E513D6"/>
    <w:rsid w:val="23005595"/>
    <w:rsid w:val="23620E38"/>
    <w:rsid w:val="237E71FA"/>
    <w:rsid w:val="23967AFF"/>
    <w:rsid w:val="239C706C"/>
    <w:rsid w:val="23C27530"/>
    <w:rsid w:val="23C37729"/>
    <w:rsid w:val="24361C58"/>
    <w:rsid w:val="247104F9"/>
    <w:rsid w:val="24773635"/>
    <w:rsid w:val="24D63FFA"/>
    <w:rsid w:val="24FB7DC2"/>
    <w:rsid w:val="25123D82"/>
    <w:rsid w:val="253770BD"/>
    <w:rsid w:val="25843DEF"/>
    <w:rsid w:val="25A25ED6"/>
    <w:rsid w:val="25C16AB4"/>
    <w:rsid w:val="25F337E9"/>
    <w:rsid w:val="262354A3"/>
    <w:rsid w:val="2628108B"/>
    <w:rsid w:val="26342E4D"/>
    <w:rsid w:val="26625556"/>
    <w:rsid w:val="2668544C"/>
    <w:rsid w:val="266F6E32"/>
    <w:rsid w:val="26DE09BC"/>
    <w:rsid w:val="26E52AD8"/>
    <w:rsid w:val="26F0697A"/>
    <w:rsid w:val="27641A88"/>
    <w:rsid w:val="27715140"/>
    <w:rsid w:val="27F45FB8"/>
    <w:rsid w:val="28445F24"/>
    <w:rsid w:val="28DE3A55"/>
    <w:rsid w:val="292518B2"/>
    <w:rsid w:val="295A4D47"/>
    <w:rsid w:val="29765048"/>
    <w:rsid w:val="29C6277A"/>
    <w:rsid w:val="2A1E0A6E"/>
    <w:rsid w:val="2A27567B"/>
    <w:rsid w:val="2A69694D"/>
    <w:rsid w:val="2A706EB5"/>
    <w:rsid w:val="2A753D5F"/>
    <w:rsid w:val="2ADE4A98"/>
    <w:rsid w:val="2B350720"/>
    <w:rsid w:val="2B4C33D5"/>
    <w:rsid w:val="2BDB1E5C"/>
    <w:rsid w:val="2C2D1D7B"/>
    <w:rsid w:val="2C5D22DE"/>
    <w:rsid w:val="2C6E531E"/>
    <w:rsid w:val="2C8608B9"/>
    <w:rsid w:val="2CA40883"/>
    <w:rsid w:val="2CBE75F5"/>
    <w:rsid w:val="2CE43832"/>
    <w:rsid w:val="2D0E42D8"/>
    <w:rsid w:val="2D1A7EA0"/>
    <w:rsid w:val="2D8F1B36"/>
    <w:rsid w:val="2DB46FA5"/>
    <w:rsid w:val="2DB7F7BF"/>
    <w:rsid w:val="2DBF62E8"/>
    <w:rsid w:val="2DE83DB8"/>
    <w:rsid w:val="2DED76C6"/>
    <w:rsid w:val="2E132621"/>
    <w:rsid w:val="2E596715"/>
    <w:rsid w:val="2E9040A3"/>
    <w:rsid w:val="2EFC4A1E"/>
    <w:rsid w:val="2FDA21C9"/>
    <w:rsid w:val="30407329"/>
    <w:rsid w:val="307748D0"/>
    <w:rsid w:val="308542E4"/>
    <w:rsid w:val="30C44B26"/>
    <w:rsid w:val="30CD0A31"/>
    <w:rsid w:val="30FB5917"/>
    <w:rsid w:val="31565A94"/>
    <w:rsid w:val="316A211F"/>
    <w:rsid w:val="318E7FC4"/>
    <w:rsid w:val="3203475A"/>
    <w:rsid w:val="320E3755"/>
    <w:rsid w:val="32184D18"/>
    <w:rsid w:val="325C70AD"/>
    <w:rsid w:val="326F69DE"/>
    <w:rsid w:val="327E19AF"/>
    <w:rsid w:val="328155E6"/>
    <w:rsid w:val="32D72F28"/>
    <w:rsid w:val="32EC51EE"/>
    <w:rsid w:val="33401545"/>
    <w:rsid w:val="33C61EE3"/>
    <w:rsid w:val="341F4D62"/>
    <w:rsid w:val="34552AB1"/>
    <w:rsid w:val="346522CB"/>
    <w:rsid w:val="34672D65"/>
    <w:rsid w:val="34696DF9"/>
    <w:rsid w:val="34803E81"/>
    <w:rsid w:val="34964A59"/>
    <w:rsid w:val="349C765D"/>
    <w:rsid w:val="34BB53BA"/>
    <w:rsid w:val="35045D6D"/>
    <w:rsid w:val="35225E78"/>
    <w:rsid w:val="35416C6E"/>
    <w:rsid w:val="3573365D"/>
    <w:rsid w:val="35C9302D"/>
    <w:rsid w:val="35FE7F3E"/>
    <w:rsid w:val="36505182"/>
    <w:rsid w:val="3661655B"/>
    <w:rsid w:val="367976C0"/>
    <w:rsid w:val="369072D2"/>
    <w:rsid w:val="36D9309D"/>
    <w:rsid w:val="36EC0361"/>
    <w:rsid w:val="3724506C"/>
    <w:rsid w:val="3787085D"/>
    <w:rsid w:val="37985945"/>
    <w:rsid w:val="379F3067"/>
    <w:rsid w:val="37A51045"/>
    <w:rsid w:val="37C24B91"/>
    <w:rsid w:val="37DE5A4E"/>
    <w:rsid w:val="38084E35"/>
    <w:rsid w:val="382120F0"/>
    <w:rsid w:val="38250D94"/>
    <w:rsid w:val="382E0762"/>
    <w:rsid w:val="38723749"/>
    <w:rsid w:val="38740160"/>
    <w:rsid w:val="38822136"/>
    <w:rsid w:val="39977B66"/>
    <w:rsid w:val="39B96CC3"/>
    <w:rsid w:val="39F239E4"/>
    <w:rsid w:val="39F50C8A"/>
    <w:rsid w:val="3A450054"/>
    <w:rsid w:val="3A8A4DE5"/>
    <w:rsid w:val="3AA74822"/>
    <w:rsid w:val="3AD21349"/>
    <w:rsid w:val="3ADD7E98"/>
    <w:rsid w:val="3B346A17"/>
    <w:rsid w:val="3B4B69BD"/>
    <w:rsid w:val="3B7309FF"/>
    <w:rsid w:val="3B85184B"/>
    <w:rsid w:val="3BE44AA9"/>
    <w:rsid w:val="3BE455FD"/>
    <w:rsid w:val="3C03029A"/>
    <w:rsid w:val="3C0F1800"/>
    <w:rsid w:val="3C2E121E"/>
    <w:rsid w:val="3C553E04"/>
    <w:rsid w:val="3D20698D"/>
    <w:rsid w:val="3D393539"/>
    <w:rsid w:val="3D3B2FAA"/>
    <w:rsid w:val="3D485A6F"/>
    <w:rsid w:val="3D6F02C3"/>
    <w:rsid w:val="3D9B4081"/>
    <w:rsid w:val="3E3143FD"/>
    <w:rsid w:val="3E52076E"/>
    <w:rsid w:val="3EA465AA"/>
    <w:rsid w:val="3F05595C"/>
    <w:rsid w:val="3F447022"/>
    <w:rsid w:val="3FDFBFC5"/>
    <w:rsid w:val="3FE23C01"/>
    <w:rsid w:val="403B2369"/>
    <w:rsid w:val="40582115"/>
    <w:rsid w:val="4079291A"/>
    <w:rsid w:val="40910BEF"/>
    <w:rsid w:val="40D36DC5"/>
    <w:rsid w:val="41C55CDB"/>
    <w:rsid w:val="41D26947"/>
    <w:rsid w:val="426206AE"/>
    <w:rsid w:val="426848B1"/>
    <w:rsid w:val="428233A0"/>
    <w:rsid w:val="42CD1DE0"/>
    <w:rsid w:val="42E70726"/>
    <w:rsid w:val="431C567C"/>
    <w:rsid w:val="438A0138"/>
    <w:rsid w:val="438F31E1"/>
    <w:rsid w:val="44CA4883"/>
    <w:rsid w:val="44D47D47"/>
    <w:rsid w:val="45041B70"/>
    <w:rsid w:val="45065223"/>
    <w:rsid w:val="451E0702"/>
    <w:rsid w:val="452B604A"/>
    <w:rsid w:val="454B2248"/>
    <w:rsid w:val="458A6696"/>
    <w:rsid w:val="459831FD"/>
    <w:rsid w:val="45DC4AB6"/>
    <w:rsid w:val="461813B4"/>
    <w:rsid w:val="464949DA"/>
    <w:rsid w:val="465E3003"/>
    <w:rsid w:val="46654ACA"/>
    <w:rsid w:val="467D407E"/>
    <w:rsid w:val="46B14C57"/>
    <w:rsid w:val="46E6706D"/>
    <w:rsid w:val="47006664"/>
    <w:rsid w:val="470F75CA"/>
    <w:rsid w:val="471A6376"/>
    <w:rsid w:val="47856EB2"/>
    <w:rsid w:val="479F203C"/>
    <w:rsid w:val="47AE7D34"/>
    <w:rsid w:val="480D4B17"/>
    <w:rsid w:val="48153718"/>
    <w:rsid w:val="4821332C"/>
    <w:rsid w:val="4821563F"/>
    <w:rsid w:val="486263F0"/>
    <w:rsid w:val="48A82B51"/>
    <w:rsid w:val="49732973"/>
    <w:rsid w:val="499A554C"/>
    <w:rsid w:val="4A423AB9"/>
    <w:rsid w:val="4A633B90"/>
    <w:rsid w:val="4A6A5277"/>
    <w:rsid w:val="4A754366"/>
    <w:rsid w:val="4A8A1038"/>
    <w:rsid w:val="4A9D0A10"/>
    <w:rsid w:val="4AD26894"/>
    <w:rsid w:val="4B007DB0"/>
    <w:rsid w:val="4B044599"/>
    <w:rsid w:val="4B0A0426"/>
    <w:rsid w:val="4B165694"/>
    <w:rsid w:val="4BF00DAD"/>
    <w:rsid w:val="4BF35F73"/>
    <w:rsid w:val="4C1E23D7"/>
    <w:rsid w:val="4C2571E3"/>
    <w:rsid w:val="4CDD5E7C"/>
    <w:rsid w:val="4D39437A"/>
    <w:rsid w:val="4D41465D"/>
    <w:rsid w:val="4EA12ED9"/>
    <w:rsid w:val="4EA52361"/>
    <w:rsid w:val="4ED0711C"/>
    <w:rsid w:val="4F516ADE"/>
    <w:rsid w:val="4FA90297"/>
    <w:rsid w:val="4FD04CD8"/>
    <w:rsid w:val="4FD13825"/>
    <w:rsid w:val="4FEF1CD4"/>
    <w:rsid w:val="4FEF2189"/>
    <w:rsid w:val="501B18DD"/>
    <w:rsid w:val="503D0BF9"/>
    <w:rsid w:val="50736840"/>
    <w:rsid w:val="50B14F39"/>
    <w:rsid w:val="50CA130D"/>
    <w:rsid w:val="50F64C4A"/>
    <w:rsid w:val="51BA57D7"/>
    <w:rsid w:val="51E348B7"/>
    <w:rsid w:val="51E52603"/>
    <w:rsid w:val="528470F3"/>
    <w:rsid w:val="53184694"/>
    <w:rsid w:val="53375C36"/>
    <w:rsid w:val="533D1D6A"/>
    <w:rsid w:val="53534B98"/>
    <w:rsid w:val="535644D0"/>
    <w:rsid w:val="536746F1"/>
    <w:rsid w:val="537C7F93"/>
    <w:rsid w:val="53C87612"/>
    <w:rsid w:val="5422726A"/>
    <w:rsid w:val="54313F0D"/>
    <w:rsid w:val="55791D47"/>
    <w:rsid w:val="55822B8C"/>
    <w:rsid w:val="55921102"/>
    <w:rsid w:val="55B47ADA"/>
    <w:rsid w:val="55C0612F"/>
    <w:rsid w:val="55F8AECA"/>
    <w:rsid w:val="561724F7"/>
    <w:rsid w:val="5649565E"/>
    <w:rsid w:val="56663210"/>
    <w:rsid w:val="56680E97"/>
    <w:rsid w:val="566F5F59"/>
    <w:rsid w:val="5685733F"/>
    <w:rsid w:val="56A611A5"/>
    <w:rsid w:val="57F227C1"/>
    <w:rsid w:val="57F83E70"/>
    <w:rsid w:val="584E7013"/>
    <w:rsid w:val="584F0362"/>
    <w:rsid w:val="58825BDE"/>
    <w:rsid w:val="59D55AC8"/>
    <w:rsid w:val="5A261A69"/>
    <w:rsid w:val="5A2F58EB"/>
    <w:rsid w:val="5A3369BE"/>
    <w:rsid w:val="5A3D61AC"/>
    <w:rsid w:val="5A787A2B"/>
    <w:rsid w:val="5A7D47FA"/>
    <w:rsid w:val="5A8A431E"/>
    <w:rsid w:val="5A9C0F69"/>
    <w:rsid w:val="5A9F29EB"/>
    <w:rsid w:val="5B082961"/>
    <w:rsid w:val="5B0A0F3F"/>
    <w:rsid w:val="5BE7E23C"/>
    <w:rsid w:val="5BFB1E7B"/>
    <w:rsid w:val="5C1C7827"/>
    <w:rsid w:val="5C9A1694"/>
    <w:rsid w:val="5CD91E7E"/>
    <w:rsid w:val="5D125496"/>
    <w:rsid w:val="5D242384"/>
    <w:rsid w:val="5D650E25"/>
    <w:rsid w:val="5DBC4F9A"/>
    <w:rsid w:val="5E0A2849"/>
    <w:rsid w:val="5E5B4E53"/>
    <w:rsid w:val="5E6926A7"/>
    <w:rsid w:val="5E9807BF"/>
    <w:rsid w:val="5ECB22E5"/>
    <w:rsid w:val="5ECB26F7"/>
    <w:rsid w:val="5EE6663C"/>
    <w:rsid w:val="5F0B0627"/>
    <w:rsid w:val="5F103E8F"/>
    <w:rsid w:val="5F661586"/>
    <w:rsid w:val="5F79218C"/>
    <w:rsid w:val="5FA21376"/>
    <w:rsid w:val="5FD513B4"/>
    <w:rsid w:val="602E7496"/>
    <w:rsid w:val="605C685C"/>
    <w:rsid w:val="60D85A40"/>
    <w:rsid w:val="60D92C10"/>
    <w:rsid w:val="60F85C95"/>
    <w:rsid w:val="610608E6"/>
    <w:rsid w:val="61163276"/>
    <w:rsid w:val="612348F6"/>
    <w:rsid w:val="613356AA"/>
    <w:rsid w:val="61D74FCE"/>
    <w:rsid w:val="62244D2D"/>
    <w:rsid w:val="62757094"/>
    <w:rsid w:val="62973E84"/>
    <w:rsid w:val="62A514DE"/>
    <w:rsid w:val="62BE7C1B"/>
    <w:rsid w:val="62EA2875"/>
    <w:rsid w:val="630D26ED"/>
    <w:rsid w:val="63156D9A"/>
    <w:rsid w:val="63213512"/>
    <w:rsid w:val="63516AD8"/>
    <w:rsid w:val="635321F9"/>
    <w:rsid w:val="63624E82"/>
    <w:rsid w:val="64B279C6"/>
    <w:rsid w:val="64B77DD9"/>
    <w:rsid w:val="64DA61F2"/>
    <w:rsid w:val="64E219C6"/>
    <w:rsid w:val="652F0DE7"/>
    <w:rsid w:val="657C0323"/>
    <w:rsid w:val="659A3252"/>
    <w:rsid w:val="6607320A"/>
    <w:rsid w:val="665B4076"/>
    <w:rsid w:val="671C3891"/>
    <w:rsid w:val="672E480E"/>
    <w:rsid w:val="67F500C6"/>
    <w:rsid w:val="68426149"/>
    <w:rsid w:val="687D0F1C"/>
    <w:rsid w:val="69115685"/>
    <w:rsid w:val="69232A11"/>
    <w:rsid w:val="696D1EDE"/>
    <w:rsid w:val="699C1CB4"/>
    <w:rsid w:val="699E3E55"/>
    <w:rsid w:val="69D236DB"/>
    <w:rsid w:val="6A1567A2"/>
    <w:rsid w:val="6A34700B"/>
    <w:rsid w:val="6A383B4F"/>
    <w:rsid w:val="6A881BC4"/>
    <w:rsid w:val="6B1D5C22"/>
    <w:rsid w:val="6B4216B7"/>
    <w:rsid w:val="6B990934"/>
    <w:rsid w:val="6BD13E17"/>
    <w:rsid w:val="6BD63D35"/>
    <w:rsid w:val="6BDF4F70"/>
    <w:rsid w:val="6C45643A"/>
    <w:rsid w:val="6C494665"/>
    <w:rsid w:val="6C6421C5"/>
    <w:rsid w:val="6C9934FE"/>
    <w:rsid w:val="6DA32372"/>
    <w:rsid w:val="6DBD039E"/>
    <w:rsid w:val="6DFF4127"/>
    <w:rsid w:val="6E493106"/>
    <w:rsid w:val="6E4C296A"/>
    <w:rsid w:val="6EA64F44"/>
    <w:rsid w:val="6ED645B3"/>
    <w:rsid w:val="6EF720D4"/>
    <w:rsid w:val="6EFF2097"/>
    <w:rsid w:val="6F7955F4"/>
    <w:rsid w:val="6F8138D5"/>
    <w:rsid w:val="6FA7509E"/>
    <w:rsid w:val="6FA92A3E"/>
    <w:rsid w:val="6FA943CE"/>
    <w:rsid w:val="6FB2399D"/>
    <w:rsid w:val="6FBA9B9B"/>
    <w:rsid w:val="6FC14B32"/>
    <w:rsid w:val="6FC52A74"/>
    <w:rsid w:val="6FE336F2"/>
    <w:rsid w:val="70432C06"/>
    <w:rsid w:val="709F0B7A"/>
    <w:rsid w:val="712D6722"/>
    <w:rsid w:val="715058B1"/>
    <w:rsid w:val="71511A8C"/>
    <w:rsid w:val="71721E0D"/>
    <w:rsid w:val="717C3606"/>
    <w:rsid w:val="71ED1E0E"/>
    <w:rsid w:val="71F966C9"/>
    <w:rsid w:val="721B0BB0"/>
    <w:rsid w:val="72200435"/>
    <w:rsid w:val="727918F3"/>
    <w:rsid w:val="728A58AF"/>
    <w:rsid w:val="7379604E"/>
    <w:rsid w:val="73AE3E3E"/>
    <w:rsid w:val="73B52DB2"/>
    <w:rsid w:val="73E55BE1"/>
    <w:rsid w:val="745F7ADB"/>
    <w:rsid w:val="74E30D98"/>
    <w:rsid w:val="74FB3D31"/>
    <w:rsid w:val="750501D6"/>
    <w:rsid w:val="752C2A78"/>
    <w:rsid w:val="75C12412"/>
    <w:rsid w:val="75DD4471"/>
    <w:rsid w:val="760065B4"/>
    <w:rsid w:val="76406D08"/>
    <w:rsid w:val="76492878"/>
    <w:rsid w:val="76697649"/>
    <w:rsid w:val="76D44FD5"/>
    <w:rsid w:val="772967FA"/>
    <w:rsid w:val="772D3AF3"/>
    <w:rsid w:val="774661D0"/>
    <w:rsid w:val="774D54F1"/>
    <w:rsid w:val="77733156"/>
    <w:rsid w:val="7796460A"/>
    <w:rsid w:val="77F552B6"/>
    <w:rsid w:val="781C32B4"/>
    <w:rsid w:val="785D1EBF"/>
    <w:rsid w:val="786F0F5C"/>
    <w:rsid w:val="78C32226"/>
    <w:rsid w:val="790D2B37"/>
    <w:rsid w:val="794E1B3A"/>
    <w:rsid w:val="79C75F40"/>
    <w:rsid w:val="79DD6C0C"/>
    <w:rsid w:val="7A4805B8"/>
    <w:rsid w:val="7A796D36"/>
    <w:rsid w:val="7B013A9A"/>
    <w:rsid w:val="7B1448AF"/>
    <w:rsid w:val="7B677E95"/>
    <w:rsid w:val="7B6EA9E3"/>
    <w:rsid w:val="7B6F1D0D"/>
    <w:rsid w:val="7B835B9A"/>
    <w:rsid w:val="7BD400D4"/>
    <w:rsid w:val="7BD77DB7"/>
    <w:rsid w:val="7BDE019B"/>
    <w:rsid w:val="7BE6FDA1"/>
    <w:rsid w:val="7C055D07"/>
    <w:rsid w:val="7C4B1DF3"/>
    <w:rsid w:val="7C4E4F0A"/>
    <w:rsid w:val="7D021991"/>
    <w:rsid w:val="7D5E3845"/>
    <w:rsid w:val="7D7E4898"/>
    <w:rsid w:val="7DB912C0"/>
    <w:rsid w:val="7DE351D1"/>
    <w:rsid w:val="7E007CA5"/>
    <w:rsid w:val="7E324E80"/>
    <w:rsid w:val="7E78398B"/>
    <w:rsid w:val="7E7C4D97"/>
    <w:rsid w:val="7E955D07"/>
    <w:rsid w:val="7ED47C49"/>
    <w:rsid w:val="7EF82E1F"/>
    <w:rsid w:val="7F100049"/>
    <w:rsid w:val="7F301A67"/>
    <w:rsid w:val="7F6E76B9"/>
    <w:rsid w:val="7F7E1B59"/>
    <w:rsid w:val="7F880762"/>
    <w:rsid w:val="7FC95AB4"/>
    <w:rsid w:val="7FFB3B7C"/>
    <w:rsid w:val="7FFE70A7"/>
    <w:rsid w:val="8D9B1EBB"/>
    <w:rsid w:val="AD9E38AF"/>
    <w:rsid w:val="ADBBD2A2"/>
    <w:rsid w:val="B59FFA5C"/>
    <w:rsid w:val="BB79B313"/>
    <w:rsid w:val="C6FDBC62"/>
    <w:rsid w:val="D6379759"/>
    <w:rsid w:val="DBFF83E2"/>
    <w:rsid w:val="DFEF4B50"/>
    <w:rsid w:val="DFF9A168"/>
    <w:rsid w:val="F5DFA94F"/>
    <w:rsid w:val="F72C79BB"/>
    <w:rsid w:val="F7E4E7D3"/>
    <w:rsid w:val="FDFBCF07"/>
    <w:rsid w:val="FE750042"/>
    <w:rsid w:val="FF77BE64"/>
    <w:rsid w:val="FFAD9370"/>
    <w:rsid w:val="FFED2DFB"/>
    <w:rsid w:val="FFF7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hint="eastAsia" w:ascii="宋体" w:hAnsi="宋体" w:eastAsia="宋体" w:cs="Times New Roman"/>
      <w:sz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8"/>
    </w:pPr>
    <w:rPr>
      <w:sz w:val="32"/>
      <w:szCs w:val="32"/>
    </w:rPr>
  </w:style>
  <w:style w:type="paragraph" w:styleId="3">
    <w:name w:val="Body Text Indent"/>
    <w:basedOn w:val="1"/>
    <w:semiHidden/>
    <w:unhideWhenUsed/>
    <w:qFormat/>
    <w:uiPriority w:val="99"/>
    <w:pPr>
      <w:spacing w:after="120"/>
      <w:ind w:left="420" w:leftChars="200"/>
    </w:pPr>
  </w:style>
  <w:style w:type="paragraph" w:styleId="4">
    <w:name w:val="Date"/>
    <w:basedOn w:val="1"/>
    <w:next w:val="1"/>
    <w:link w:val="19"/>
    <w:semiHidden/>
    <w:unhideWhenUsed/>
    <w:qFormat/>
    <w:uiPriority w:val="99"/>
    <w:pPr>
      <w:ind w:left="100" w:leftChars="2500"/>
    </w:pPr>
  </w:style>
  <w:style w:type="paragraph" w:styleId="5">
    <w:name w:val="Balloon Text"/>
    <w:basedOn w:val="1"/>
    <w:link w:val="22"/>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autoSpaceDE/>
      <w:autoSpaceDN/>
      <w:adjustRightInd/>
      <w:spacing w:before="100" w:beforeAutospacing="1" w:after="100" w:afterAutospacing="1"/>
    </w:pPr>
    <w:rPr>
      <w:rFonts w:hint="default" w:cs="宋体"/>
      <w:szCs w:val="24"/>
    </w:rPr>
  </w:style>
  <w:style w:type="paragraph" w:styleId="9">
    <w:name w:val="Title"/>
    <w:basedOn w:val="1"/>
    <w:next w:val="1"/>
    <w:link w:val="21"/>
    <w:qFormat/>
    <w:uiPriority w:val="10"/>
    <w:pPr>
      <w:spacing w:before="240" w:after="60"/>
      <w:jc w:val="center"/>
      <w:outlineLvl w:val="0"/>
    </w:pPr>
    <w:rPr>
      <w:rFonts w:asciiTheme="majorHAnsi" w:hAnsiTheme="majorHAnsi" w:cstheme="majorBidi"/>
      <w:b/>
      <w:bCs/>
      <w:sz w:val="32"/>
      <w:szCs w:val="32"/>
    </w:rPr>
  </w:style>
  <w:style w:type="paragraph" w:styleId="10">
    <w:name w:val="Body Text First Indent 2"/>
    <w:basedOn w:val="3"/>
    <w:next w:val="1"/>
    <w:qFormat/>
    <w:uiPriority w:val="99"/>
    <w:pPr>
      <w:tabs>
        <w:tab w:val="left" w:pos="-1440"/>
      </w:tabs>
      <w:spacing w:after="0" w:line="360" w:lineRule="auto"/>
      <w:ind w:left="176" w:leftChars="0" w:firstLine="420" w:firstLineChars="200"/>
    </w:pPr>
    <w:rPr>
      <w:rFonts w:ascii="仿宋" w:hAnsi="Times New Roman" w:eastAsia="仿宋"/>
    </w:rPr>
  </w:style>
  <w:style w:type="character" w:styleId="13">
    <w:name w:val="Strong"/>
    <w:basedOn w:val="12"/>
    <w:qFormat/>
    <w:uiPriority w:val="22"/>
    <w:rPr>
      <w:rFonts w:cs="Times New Roman"/>
      <w:b/>
      <w:bCs/>
    </w:rPr>
  </w:style>
  <w:style w:type="character" w:styleId="14">
    <w:name w:val="page number"/>
    <w:qFormat/>
    <w:uiPriority w:val="0"/>
  </w:style>
  <w:style w:type="character" w:styleId="15">
    <w:name w:val="Hyperlink"/>
    <w:basedOn w:val="12"/>
    <w:unhideWhenUsed/>
    <w:qFormat/>
    <w:uiPriority w:val="99"/>
    <w:rPr>
      <w:color w:val="0000FF" w:themeColor="hyperlink"/>
      <w:u w:val="single"/>
      <w14:textFill>
        <w14:solidFill>
          <w14:schemeClr w14:val="hlink"/>
        </w14:solidFill>
      </w14:textFill>
    </w:r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paragraph" w:styleId="18">
    <w:name w:val="List Paragraph"/>
    <w:basedOn w:val="1"/>
    <w:qFormat/>
    <w:uiPriority w:val="34"/>
    <w:pPr>
      <w:widowControl/>
      <w:autoSpaceDE/>
      <w:autoSpaceDN/>
      <w:adjustRightInd/>
      <w:ind w:firstLine="420" w:firstLineChars="200"/>
    </w:pPr>
    <w:rPr>
      <w:rFonts w:hint="default" w:cs="宋体"/>
      <w:szCs w:val="24"/>
    </w:rPr>
  </w:style>
  <w:style w:type="character" w:customStyle="1" w:styleId="19">
    <w:name w:val="日期 Char"/>
    <w:basedOn w:val="12"/>
    <w:link w:val="4"/>
    <w:semiHidden/>
    <w:qFormat/>
    <w:uiPriority w:val="99"/>
    <w:rPr>
      <w:rFonts w:ascii="宋体" w:hAnsi="宋体" w:eastAsia="宋体" w:cs="Times New Roman"/>
      <w:kern w:val="0"/>
      <w:sz w:val="24"/>
      <w:szCs w:val="20"/>
    </w:rPr>
  </w:style>
  <w:style w:type="paragraph" w:customStyle="1" w:styleId="20">
    <w:name w:val="列出段落1"/>
    <w:basedOn w:val="1"/>
    <w:qFormat/>
    <w:uiPriority w:val="99"/>
    <w:pPr>
      <w:ind w:firstLine="420" w:firstLineChars="200"/>
    </w:pPr>
    <w:rPr>
      <w:szCs w:val="22"/>
    </w:rPr>
  </w:style>
  <w:style w:type="character" w:customStyle="1" w:styleId="21">
    <w:name w:val="标题 Char"/>
    <w:basedOn w:val="12"/>
    <w:link w:val="9"/>
    <w:qFormat/>
    <w:uiPriority w:val="10"/>
    <w:rPr>
      <w:rFonts w:asciiTheme="majorHAnsi" w:hAnsiTheme="majorHAnsi" w:cstheme="majorBidi"/>
      <w:b/>
      <w:bCs/>
      <w:sz w:val="32"/>
      <w:szCs w:val="32"/>
    </w:rPr>
  </w:style>
  <w:style w:type="character" w:customStyle="1" w:styleId="22">
    <w:name w:val="批注框文本 Char"/>
    <w:basedOn w:val="12"/>
    <w:link w:val="5"/>
    <w:semiHidden/>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3678</Words>
  <Characters>3999</Characters>
  <Lines>42</Lines>
  <Paragraphs>11</Paragraphs>
  <TotalTime>3</TotalTime>
  <ScaleCrop>false</ScaleCrop>
  <LinksUpToDate>false</LinksUpToDate>
  <CharactersWithSpaces>4125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2024-01-14T02:00:00Z</dcterms:created>
  <dc:creator>微软用户</dc:creator>
  <cp:lastModifiedBy>聂红军</cp:lastModifiedBy>
  <cp:lastPrinted>2021-05-16T01:37:00Z</cp:lastPrinted>
  <dcterms:modified xsi:type="dcterms:W3CDTF">2024-10-10T09:43:25Z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50181E7099754514938AD7288D49CA1A_13</vt:lpwstr>
  </property>
</Properties>
</file>