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420491">
      <w:pPr>
        <w:jc w:val="center"/>
        <w:rPr>
          <w:color w:val="FF0000"/>
          <w:spacing w:val="-57"/>
          <w:sz w:val="72"/>
          <w:szCs w:val="72"/>
        </w:rPr>
      </w:pPr>
      <w:r>
        <w:rPr>
          <w:b/>
          <w:bCs/>
          <w:color w:val="FF0000"/>
          <w:spacing w:val="-57"/>
          <w:sz w:val="72"/>
          <w:szCs w:val="72"/>
        </w:rPr>
        <w:t>北京建术信息科技研究院有限公司</w:t>
      </w:r>
    </w:p>
    <w:p w14:paraId="4177EC01">
      <w:pPr>
        <w:jc w:val="center"/>
        <w:rPr>
          <w:rFonts w:ascii="仿宋" w:hAnsi="仿宋" w:eastAsia="仿宋"/>
          <w:b/>
          <w:sz w:val="28"/>
          <w:szCs w:val="28"/>
        </w:rPr>
      </w:pPr>
      <w:r>
        <w:rPr>
          <w:rFonts w:ascii="仿宋" w:hAnsi="仿宋" w:eastAsia="仿宋" w:cs="仿宋"/>
          <w:sz w:val="28"/>
        </w:rPr>
        <mc:AlternateContent>
          <mc:Choice Requires="wps">
            <w:drawing>
              <wp:anchor distT="0" distB="0" distL="114300" distR="114300" simplePos="0" relativeHeight="251659264" behindDoc="0" locked="0" layoutInCell="1" allowOverlap="1">
                <wp:simplePos x="0" y="0"/>
                <wp:positionH relativeFrom="column">
                  <wp:posOffset>-175895</wp:posOffset>
                </wp:positionH>
                <wp:positionV relativeFrom="paragraph">
                  <wp:posOffset>377190</wp:posOffset>
                </wp:positionV>
                <wp:extent cx="6061710" cy="0"/>
                <wp:effectExtent l="0" t="9525" r="8890" b="15875"/>
                <wp:wrapNone/>
                <wp:docPr id="1" name="直接连接符 1"/>
                <wp:cNvGraphicFramePr/>
                <a:graphic xmlns:a="http://schemas.openxmlformats.org/drawingml/2006/main">
                  <a:graphicData uri="http://schemas.microsoft.com/office/word/2010/wordprocessingShape">
                    <wps:wsp>
                      <wps:cNvCnPr/>
                      <wps:spPr>
                        <a:xfrm>
                          <a:off x="1121410" y="1794510"/>
                          <a:ext cx="6061710" cy="0"/>
                        </a:xfrm>
                        <a:prstGeom prst="line">
                          <a:avLst/>
                        </a:prstGeom>
                        <a:noFill/>
                        <a:ln w="19050" cap="flat" cmpd="sng" algn="ctr">
                          <a:solidFill>
                            <a:srgbClr val="FF0000"/>
                          </a:solidFill>
                          <a:prstDash val="solid"/>
                          <a:miter lim="800000"/>
                        </a:ln>
                        <a:effectLst/>
                      </wps:spPr>
                      <wps:bodyPr/>
                    </wps:wsp>
                  </a:graphicData>
                </a:graphic>
              </wp:anchor>
            </w:drawing>
          </mc:Choice>
          <mc:Fallback>
            <w:pict>
              <v:line id="_x0000_s1026" o:spid="_x0000_s1026" o:spt="20" style="position:absolute;left:0pt;margin-left:-13.85pt;margin-top:29.7pt;height:0pt;width:477.3pt;z-index:251659264;mso-width-relative:page;mso-height-relative:page;" filled="f" stroked="t" coordsize="21600,21600" o:gfxdata="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caUqZ1gAAAAkBAAAPAAAAAAAAAAEAIAAAACIAAABkcnMvZG93bnJldi54bWxQSwEC&#10;FAAUAAAACACHTuJABB6YkfYBAADMAwAADgAAAAAAAAABACAAAAAlAQAAZHJzL2Uyb0RvYy54bWxQ&#10;SwUGAAAAAAYABgBZAQAAjQUAAAAA&#10;">
                <v:fill on="f" focussize="0,0"/>
                <v:stroke weight="1.5pt" color="#FF0000" miterlimit="8" joinstyle="miter"/>
                <v:imagedata o:title=""/>
                <o:lock v:ext="edit" aspectratio="f"/>
              </v:line>
            </w:pict>
          </mc:Fallback>
        </mc:AlternateContent>
      </w:r>
      <w:r>
        <w:rPr>
          <w:rFonts w:hint="eastAsia" w:ascii="仿宋" w:hAnsi="仿宋" w:eastAsia="仿宋" w:cs="仿宋"/>
          <w:sz w:val="28"/>
          <w:szCs w:val="28"/>
        </w:rPr>
        <w:t>建术信息202</w:t>
      </w:r>
      <w:r>
        <w:rPr>
          <w:rFonts w:hint="eastAsia" w:ascii="仿宋" w:hAnsi="仿宋" w:eastAsia="仿宋" w:cs="仿宋"/>
          <w:sz w:val="28"/>
          <w:szCs w:val="28"/>
          <w:lang w:val="en-US" w:eastAsia="zh-CN"/>
        </w:rPr>
        <w:t>5</w:t>
      </w:r>
      <w:r>
        <w:rPr>
          <w:rFonts w:hint="eastAsia" w:ascii="仿宋" w:hAnsi="仿宋" w:eastAsia="仿宋" w:cs="仿宋"/>
          <w:sz w:val="28"/>
          <w:szCs w:val="28"/>
        </w:rPr>
        <w:t>【</w:t>
      </w:r>
      <w:r>
        <w:rPr>
          <w:rFonts w:hint="eastAsia" w:ascii="仿宋" w:hAnsi="仿宋" w:eastAsia="仿宋" w:cs="仿宋"/>
          <w:sz w:val="28"/>
          <w:szCs w:val="28"/>
          <w:lang w:val="en-US" w:eastAsia="zh-CN"/>
        </w:rPr>
        <w:t>01</w:t>
      </w:r>
      <w:r>
        <w:rPr>
          <w:rFonts w:hint="eastAsia" w:ascii="仿宋" w:hAnsi="仿宋" w:eastAsia="仿宋" w:cs="仿宋"/>
          <w:sz w:val="28"/>
          <w:szCs w:val="28"/>
        </w:rPr>
        <w:t>】号</w:t>
      </w:r>
    </w:p>
    <w:p w14:paraId="680C8F6F">
      <w:pPr>
        <w:pStyle w:val="3"/>
        <w:shd w:val="clear" w:color="auto" w:fill="FFFFFF"/>
        <w:spacing w:before="0" w:beforeAutospacing="0" w:after="0" w:afterAutospacing="0"/>
        <w:jc w:val="center"/>
        <w:rPr>
          <w:rStyle w:val="7"/>
          <w:rFonts w:hint="eastAsia" w:ascii="仿宋" w:hAnsi="仿宋" w:eastAsia="仿宋" w:cs="仿宋"/>
          <w:color w:val="auto"/>
          <w:kern w:val="2"/>
          <w:sz w:val="28"/>
          <w:szCs w:val="28"/>
          <w:shd w:val="clear" w:color="auto" w:fill="FFFFFF"/>
          <w:lang w:val="en-US" w:eastAsia="zh-CN"/>
        </w:rPr>
      </w:pPr>
      <w:r>
        <w:rPr>
          <w:rStyle w:val="7"/>
          <w:rFonts w:hint="eastAsia" w:ascii="仿宋" w:hAnsi="仿宋" w:eastAsia="仿宋" w:cs="仿宋"/>
          <w:color w:val="auto"/>
          <w:kern w:val="2"/>
          <w:sz w:val="28"/>
          <w:szCs w:val="28"/>
          <w:shd w:val="clear" w:color="auto" w:fill="FFFFFF"/>
          <w:lang w:val="en-US" w:eastAsia="zh-CN"/>
        </w:rPr>
        <w:t>关于举办新</w:t>
      </w:r>
      <w:r>
        <w:rPr>
          <w:rStyle w:val="7"/>
          <w:rFonts w:hint="eastAsia" w:ascii="仿宋" w:hAnsi="仿宋" w:eastAsia="仿宋" w:cs="仿宋"/>
          <w:color w:val="auto"/>
          <w:kern w:val="2"/>
          <w:sz w:val="28"/>
          <w:szCs w:val="28"/>
          <w:shd w:val="clear" w:color="auto" w:fill="FFFFFF"/>
        </w:rPr>
        <w:t>版《建设工程工程量清单计价标准》</w:t>
      </w:r>
      <w:r>
        <w:rPr>
          <w:rStyle w:val="7"/>
          <w:rFonts w:hint="eastAsia" w:ascii="仿宋" w:hAnsi="仿宋" w:eastAsia="仿宋" w:cs="仿宋"/>
          <w:color w:val="auto"/>
          <w:kern w:val="2"/>
          <w:sz w:val="28"/>
          <w:szCs w:val="28"/>
          <w:shd w:val="clear" w:color="auto" w:fill="FFFFFF"/>
          <w:lang w:eastAsia="zh-CN"/>
        </w:rPr>
        <w:t>（</w:t>
      </w:r>
      <w:r>
        <w:rPr>
          <w:rStyle w:val="7"/>
          <w:rFonts w:hint="eastAsia" w:ascii="仿宋" w:hAnsi="仿宋" w:eastAsia="仿宋" w:cs="仿宋"/>
          <w:color w:val="auto"/>
          <w:kern w:val="2"/>
          <w:sz w:val="28"/>
          <w:szCs w:val="28"/>
          <w:shd w:val="clear" w:color="auto" w:fill="FFFFFF"/>
        </w:rPr>
        <w:t>GB/T50500-2024）释义运用</w:t>
      </w:r>
      <w:r>
        <w:rPr>
          <w:rStyle w:val="7"/>
          <w:rFonts w:hint="eastAsia" w:ascii="仿宋" w:hAnsi="仿宋" w:eastAsia="仿宋" w:cs="仿宋"/>
          <w:color w:val="auto"/>
          <w:kern w:val="2"/>
          <w:sz w:val="28"/>
          <w:szCs w:val="28"/>
          <w:shd w:val="clear" w:color="auto" w:fill="FFFFFF"/>
          <w:lang w:eastAsia="zh-CN"/>
        </w:rPr>
        <w:t>、</w:t>
      </w:r>
      <w:r>
        <w:rPr>
          <w:rStyle w:val="7"/>
          <w:rFonts w:hint="eastAsia" w:ascii="仿宋" w:hAnsi="仿宋" w:eastAsia="仿宋" w:cs="仿宋"/>
          <w:color w:val="auto"/>
          <w:kern w:val="2"/>
          <w:sz w:val="28"/>
          <w:szCs w:val="28"/>
          <w:shd w:val="clear" w:color="auto" w:fill="FFFFFF"/>
        </w:rPr>
        <w:t>政府投资项目全过程造价管控</w:t>
      </w:r>
      <w:r>
        <w:rPr>
          <w:rStyle w:val="7"/>
          <w:rFonts w:hint="eastAsia" w:ascii="仿宋" w:hAnsi="仿宋" w:eastAsia="仿宋" w:cs="仿宋"/>
          <w:color w:val="auto"/>
          <w:kern w:val="2"/>
          <w:sz w:val="28"/>
          <w:szCs w:val="28"/>
          <w:shd w:val="clear" w:color="auto" w:fill="FFFFFF"/>
          <w:lang w:val="en-US" w:eastAsia="zh-CN"/>
        </w:rPr>
        <w:t>与</w:t>
      </w:r>
      <w:r>
        <w:rPr>
          <w:rStyle w:val="7"/>
          <w:rFonts w:hint="eastAsia" w:ascii="仿宋" w:hAnsi="仿宋" w:eastAsia="仿宋" w:cs="仿宋"/>
          <w:color w:val="auto"/>
          <w:kern w:val="2"/>
          <w:sz w:val="28"/>
          <w:szCs w:val="28"/>
          <w:shd w:val="clear" w:color="auto" w:fill="FFFFFF"/>
        </w:rPr>
        <w:t>结算审计实务疑难点解析培训</w:t>
      </w:r>
      <w:r>
        <w:rPr>
          <w:rStyle w:val="7"/>
          <w:rFonts w:hint="eastAsia" w:ascii="仿宋" w:hAnsi="仿宋" w:eastAsia="仿宋" w:cs="仿宋"/>
          <w:color w:val="auto"/>
          <w:kern w:val="2"/>
          <w:sz w:val="28"/>
          <w:szCs w:val="28"/>
          <w:shd w:val="clear" w:color="auto" w:fill="FFFFFF"/>
          <w:lang w:val="en-US" w:eastAsia="zh-CN"/>
        </w:rPr>
        <w:t>班的通知</w:t>
      </w:r>
    </w:p>
    <w:p w14:paraId="47197496">
      <w:pPr>
        <w:pStyle w:val="3"/>
        <w:shd w:val="clear" w:color="auto" w:fill="FFFFFF"/>
        <w:spacing w:before="0" w:beforeAutospacing="0" w:after="0" w:afterAutospacing="0"/>
        <w:rPr>
          <w:rStyle w:val="7"/>
          <w:rFonts w:hint="eastAsia" w:ascii="仿宋" w:hAnsi="仿宋" w:eastAsia="仿宋" w:cs="仿宋"/>
          <w:color w:val="3E3E3E"/>
          <w:sz w:val="24"/>
          <w:szCs w:val="24"/>
        </w:rPr>
      </w:pPr>
    </w:p>
    <w:p w14:paraId="3F0F4FA6">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00" w:lineRule="exact"/>
        <w:textAlignment w:val="auto"/>
        <w:rPr>
          <w:rFonts w:hint="eastAsia" w:ascii="仿宋" w:hAnsi="仿宋" w:eastAsia="仿宋" w:cs="仿宋"/>
          <w:color w:val="3E3E3E"/>
          <w:sz w:val="24"/>
          <w:szCs w:val="24"/>
        </w:rPr>
      </w:pPr>
      <w:r>
        <w:rPr>
          <w:rStyle w:val="7"/>
          <w:rFonts w:hint="eastAsia" w:ascii="仿宋" w:hAnsi="仿宋" w:eastAsia="仿宋" w:cs="仿宋"/>
          <w:color w:val="3E3E3E"/>
          <w:sz w:val="24"/>
          <w:szCs w:val="24"/>
        </w:rPr>
        <w:t>各有关单位：</w:t>
      </w:r>
    </w:p>
    <w:p w14:paraId="4CC01D85">
      <w:pPr>
        <w:keepNext w:val="0"/>
        <w:keepLines w:val="0"/>
        <w:pageBreakBefore w:val="0"/>
        <w:kinsoku/>
        <w:wordWrap/>
        <w:overflowPunct/>
        <w:topLinePunct w:val="0"/>
        <w:autoSpaceDE/>
        <w:autoSpaceDN/>
        <w:bidi w:val="0"/>
        <w:adjustRightInd/>
        <w:snapToGrid/>
        <w:spacing w:line="30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2024年12月30日，住房城乡建设部发布</w:t>
      </w:r>
      <w:r>
        <w:rPr>
          <w:rFonts w:hint="eastAsia" w:ascii="仿宋" w:hAnsi="仿宋" w:eastAsia="仿宋" w:cs="仿宋"/>
          <w:sz w:val="24"/>
          <w:szCs w:val="24"/>
          <w:lang w:val="en-US" w:eastAsia="zh-CN"/>
        </w:rPr>
        <w:t>的新</w:t>
      </w:r>
      <w:r>
        <w:rPr>
          <w:rFonts w:hint="eastAsia" w:ascii="仿宋" w:hAnsi="仿宋" w:eastAsia="仿宋" w:cs="仿宋"/>
          <w:sz w:val="24"/>
          <w:szCs w:val="24"/>
        </w:rPr>
        <w:t>版《建设工程工程量清单计价标准》</w:t>
      </w:r>
      <w:r>
        <w:rPr>
          <w:rFonts w:hint="eastAsia" w:ascii="仿宋" w:hAnsi="仿宋" w:eastAsia="仿宋" w:cs="仿宋"/>
          <w:sz w:val="24"/>
          <w:szCs w:val="24"/>
          <w:lang w:eastAsia="zh-CN"/>
        </w:rPr>
        <w:t>（</w:t>
      </w:r>
      <w:r>
        <w:rPr>
          <w:rFonts w:hint="eastAsia" w:ascii="仿宋" w:hAnsi="仿宋" w:eastAsia="仿宋" w:cs="仿宋"/>
          <w:sz w:val="24"/>
          <w:szCs w:val="24"/>
        </w:rPr>
        <w:t>GB/T50500-2024）</w:t>
      </w:r>
      <w:r>
        <w:rPr>
          <w:rFonts w:hint="eastAsia" w:ascii="仿宋" w:hAnsi="仿宋" w:eastAsia="仿宋" w:cs="仿宋"/>
          <w:sz w:val="24"/>
          <w:szCs w:val="24"/>
          <w:lang w:eastAsia="zh-CN"/>
        </w:rPr>
        <w:t>，</w:t>
      </w:r>
      <w:r>
        <w:rPr>
          <w:rFonts w:hint="eastAsia" w:ascii="仿宋" w:hAnsi="仿宋" w:eastAsia="仿宋" w:cs="仿宋"/>
          <w:sz w:val="24"/>
          <w:szCs w:val="24"/>
        </w:rPr>
        <w:t>自2025年9月1日起实施</w:t>
      </w:r>
      <w:r>
        <w:rPr>
          <w:rFonts w:hint="eastAsia" w:ascii="仿宋" w:hAnsi="仿宋" w:eastAsia="仿宋" w:cs="仿宋"/>
          <w:sz w:val="24"/>
          <w:szCs w:val="24"/>
          <w:lang w:eastAsia="zh-CN"/>
        </w:rPr>
        <w:t>。</w:t>
      </w:r>
      <w:r>
        <w:rPr>
          <w:rFonts w:hint="eastAsia" w:ascii="仿宋" w:hAnsi="仿宋" w:eastAsia="仿宋" w:cs="仿宋"/>
          <w:sz w:val="24"/>
          <w:szCs w:val="24"/>
        </w:rPr>
        <w:t>该标准结合最新的法律、法规、行业政策及行业发展方向更新，关于发承包双方定量价风险的界定更为完善，条款更趋具体、贴近实务。</w:t>
      </w:r>
      <w:r>
        <w:rPr>
          <w:rFonts w:hint="eastAsia" w:ascii="仿宋" w:hAnsi="仿宋" w:eastAsia="仿宋" w:cs="仿宋"/>
          <w:sz w:val="24"/>
          <w:szCs w:val="24"/>
          <w:lang w:val="en-US" w:eastAsia="zh-CN"/>
        </w:rPr>
        <w:t>新</w:t>
      </w:r>
      <w:r>
        <w:rPr>
          <w:rFonts w:hint="eastAsia" w:ascii="仿宋" w:hAnsi="仿宋" w:eastAsia="仿宋" w:cs="仿宋"/>
          <w:sz w:val="24"/>
          <w:szCs w:val="24"/>
        </w:rPr>
        <w:t>版《建设工程工程量清单计价标准》为推进工程造价市场化、国际化改革提供了政策依据，对于专业人员在执业过程中会起到更好的引导作用。</w:t>
      </w:r>
    </w:p>
    <w:p w14:paraId="3959A009">
      <w:pPr>
        <w:keepNext w:val="0"/>
        <w:keepLines w:val="0"/>
        <w:pageBreakBefore w:val="0"/>
        <w:kinsoku/>
        <w:wordWrap/>
        <w:overflowPunct/>
        <w:topLinePunct w:val="0"/>
        <w:autoSpaceDE/>
        <w:autoSpaceDN/>
        <w:bidi w:val="0"/>
        <w:adjustRightInd/>
        <w:snapToGrid/>
        <w:spacing w:line="3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在</w:t>
      </w:r>
      <w:r>
        <w:rPr>
          <w:rFonts w:hint="eastAsia" w:ascii="仿宋" w:hAnsi="仿宋" w:eastAsia="仿宋" w:cs="仿宋"/>
          <w:b/>
          <w:sz w:val="24"/>
          <w:szCs w:val="24"/>
        </w:rPr>
        <w:t>“国家造价改革”</w:t>
      </w:r>
      <w:r>
        <w:rPr>
          <w:rFonts w:hint="eastAsia" w:ascii="仿宋" w:hAnsi="仿宋" w:eastAsia="仿宋" w:cs="仿宋"/>
          <w:sz w:val="24"/>
          <w:szCs w:val="24"/>
        </w:rPr>
        <w:t>背景下，工程造价有哪些改变？建设工程施工合同纠纷的计价与结算有哪些热点与难点问题？如何确定工程造价？这都是在工程实践中亟需掌握的重中之重。现实中，工程设计变更、人工材料涨价、计价纠纷、工程款纠纷、结算审计等等各类造价问题严重困扰着各参建方，如何在造价层面予以防范？避免不必要的损失！以及产生纠纷后如何有效处理？工程造价一直是建筑市场博弈的焦点，工程造价管控、计价分歧、施工合同纠纷、工程价款调整与结算审计问题越来越引起各市场主体的高度重视。</w:t>
      </w:r>
    </w:p>
    <w:p w14:paraId="20EEE5F4">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为实现各方合作共赢的梦想，我中心决定举办</w:t>
      </w:r>
      <w:r>
        <w:rPr>
          <w:rFonts w:hint="eastAsia" w:ascii="仿宋" w:hAnsi="仿宋" w:eastAsia="仿宋" w:cs="仿宋"/>
          <w:b/>
          <w:color w:val="3E3E3E"/>
          <w:sz w:val="24"/>
          <w:szCs w:val="24"/>
        </w:rPr>
        <w:t>“</w:t>
      </w:r>
      <w:r>
        <w:rPr>
          <w:rStyle w:val="7"/>
          <w:rFonts w:hint="eastAsia" w:ascii="仿宋" w:hAnsi="仿宋" w:eastAsia="仿宋" w:cs="仿宋"/>
          <w:sz w:val="24"/>
          <w:szCs w:val="24"/>
          <w:shd w:val="clear" w:color="auto" w:fill="FFFFFF"/>
          <w:lang w:val="en-US" w:eastAsia="zh-CN"/>
        </w:rPr>
        <w:t>新</w:t>
      </w:r>
      <w:r>
        <w:rPr>
          <w:rStyle w:val="7"/>
          <w:rFonts w:hint="eastAsia" w:ascii="仿宋" w:hAnsi="仿宋" w:eastAsia="仿宋" w:cs="仿宋"/>
          <w:sz w:val="24"/>
          <w:szCs w:val="24"/>
          <w:shd w:val="clear" w:color="auto" w:fill="FFFFFF"/>
        </w:rPr>
        <w:t>版《建设工程工程量清单计价标准》</w:t>
      </w:r>
      <w:r>
        <w:rPr>
          <w:rStyle w:val="7"/>
          <w:rFonts w:hint="eastAsia" w:ascii="仿宋" w:hAnsi="仿宋" w:eastAsia="仿宋" w:cs="仿宋"/>
          <w:sz w:val="24"/>
          <w:szCs w:val="24"/>
          <w:shd w:val="clear" w:color="auto" w:fill="FFFFFF"/>
          <w:lang w:eastAsia="zh-CN"/>
        </w:rPr>
        <w:t>（</w:t>
      </w:r>
      <w:r>
        <w:rPr>
          <w:rStyle w:val="7"/>
          <w:rFonts w:hint="eastAsia" w:ascii="仿宋" w:hAnsi="仿宋" w:eastAsia="仿宋" w:cs="仿宋"/>
          <w:sz w:val="24"/>
          <w:szCs w:val="24"/>
          <w:shd w:val="clear" w:color="auto" w:fill="FFFFFF"/>
        </w:rPr>
        <w:t>GB/T50500-2024）释义运用、政府投资项目全过程造价管控</w:t>
      </w:r>
      <w:r>
        <w:rPr>
          <w:rStyle w:val="7"/>
          <w:rFonts w:hint="eastAsia" w:ascii="仿宋" w:hAnsi="仿宋" w:eastAsia="仿宋" w:cs="仿宋"/>
          <w:sz w:val="24"/>
          <w:szCs w:val="24"/>
          <w:shd w:val="clear" w:color="auto" w:fill="FFFFFF"/>
          <w:lang w:val="en-US" w:eastAsia="zh-CN"/>
        </w:rPr>
        <w:t>与</w:t>
      </w:r>
      <w:r>
        <w:rPr>
          <w:rStyle w:val="7"/>
          <w:rFonts w:hint="eastAsia" w:ascii="仿宋" w:hAnsi="仿宋" w:eastAsia="仿宋" w:cs="仿宋"/>
          <w:sz w:val="24"/>
          <w:szCs w:val="24"/>
          <w:shd w:val="clear" w:color="auto" w:fill="FFFFFF"/>
        </w:rPr>
        <w:t>结算审计实务疑难点解析培训班</w:t>
      </w:r>
      <w:r>
        <w:rPr>
          <w:rFonts w:hint="eastAsia" w:ascii="仿宋" w:hAnsi="仿宋" w:eastAsia="仿宋" w:cs="仿宋"/>
          <w:b/>
          <w:color w:val="3E3E3E"/>
          <w:sz w:val="24"/>
          <w:szCs w:val="24"/>
        </w:rPr>
        <w:t>”</w:t>
      </w:r>
      <w:r>
        <w:rPr>
          <w:rFonts w:hint="eastAsia" w:ascii="仿宋" w:hAnsi="仿宋" w:eastAsia="仿宋" w:cs="仿宋"/>
          <w:color w:val="3E3E3E"/>
          <w:sz w:val="24"/>
          <w:szCs w:val="24"/>
        </w:rPr>
        <w:t>。</w:t>
      </w:r>
      <w:r>
        <w:rPr>
          <w:rFonts w:hint="eastAsia" w:ascii="仿宋" w:hAnsi="仿宋" w:eastAsia="仿宋" w:cs="仿宋"/>
          <w:sz w:val="24"/>
          <w:szCs w:val="24"/>
        </w:rPr>
        <w:t>我们将工程造价与结算审计疑难问题进行全面梳理，提出相应的对策和措施。现将有关事项通知如下：</w:t>
      </w:r>
    </w:p>
    <w:p w14:paraId="0D97E918">
      <w:pPr>
        <w:pStyle w:val="9"/>
        <w:keepNext w:val="0"/>
        <w:keepLines w:val="0"/>
        <w:pageBreakBefore w:val="0"/>
        <w:widowControl w:val="0"/>
        <w:numPr>
          <w:ilvl w:val="0"/>
          <w:numId w:val="1"/>
        </w:numPr>
        <w:kinsoku/>
        <w:wordWrap/>
        <w:overflowPunct/>
        <w:topLinePunct w:val="0"/>
        <w:autoSpaceDE/>
        <w:autoSpaceDN/>
        <w:bidi w:val="0"/>
        <w:adjustRightInd/>
        <w:snapToGrid/>
        <w:spacing w:line="300" w:lineRule="exact"/>
        <w:ind w:firstLineChars="0"/>
        <w:jc w:val="both"/>
        <w:textAlignment w:val="auto"/>
        <w:rPr>
          <w:rFonts w:hint="eastAsia" w:ascii="仿宋" w:hAnsi="仿宋" w:eastAsia="仿宋" w:cs="仿宋"/>
          <w:b/>
          <w:bCs/>
          <w:sz w:val="24"/>
          <w:szCs w:val="24"/>
        </w:rPr>
      </w:pPr>
      <w:r>
        <w:rPr>
          <w:rFonts w:hint="eastAsia" w:ascii="仿宋" w:hAnsi="仿宋" w:eastAsia="仿宋" w:cs="仿宋"/>
          <w:b/>
          <w:bCs/>
          <w:sz w:val="24"/>
          <w:szCs w:val="24"/>
        </w:rPr>
        <w:t>培训内容</w:t>
      </w:r>
    </w:p>
    <w:p w14:paraId="118C1CDA">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w:t>
      </w:r>
      <w:r>
        <w:rPr>
          <w:rFonts w:hint="eastAsia" w:ascii="仿宋" w:hAnsi="仿宋" w:eastAsia="仿宋" w:cs="仿宋"/>
          <w:b/>
          <w:bCs/>
          <w:sz w:val="24"/>
          <w:szCs w:val="24"/>
          <w:lang w:val="en-US" w:eastAsia="zh-CN"/>
        </w:rPr>
        <w:t>一</w:t>
      </w:r>
      <w:r>
        <w:rPr>
          <w:rFonts w:hint="eastAsia" w:ascii="仿宋" w:hAnsi="仿宋" w:eastAsia="仿宋" w:cs="仿宋"/>
          <w:b/>
          <w:bCs/>
          <w:sz w:val="24"/>
          <w:szCs w:val="24"/>
        </w:rPr>
        <w:t>）《建设工程工程量清单计价标准》（GB/T50500-2024）释义运用</w:t>
      </w:r>
    </w:p>
    <w:p w14:paraId="28E035A4">
      <w:pPr>
        <w:keepNext w:val="0"/>
        <w:keepLines w:val="0"/>
        <w:pageBreakBefore w:val="0"/>
        <w:numPr>
          <w:ilvl w:val="0"/>
          <w:numId w:val="2"/>
        </w:numPr>
        <w:kinsoku/>
        <w:wordWrap/>
        <w:overflowPunct/>
        <w:topLinePunct w:val="0"/>
        <w:autoSpaceDE/>
        <w:autoSpaceDN/>
        <w:bidi w:val="0"/>
        <w:adjustRightInd/>
        <w:snapToGrid/>
        <w:spacing w:line="30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修订不同合同形式的风险范围及承担规则 </w:t>
      </w:r>
    </w:p>
    <w:p w14:paraId="7B62021C">
      <w:pPr>
        <w:keepNext w:val="0"/>
        <w:keepLines w:val="0"/>
        <w:pageBreakBefore w:val="0"/>
        <w:numPr>
          <w:ilvl w:val="0"/>
          <w:numId w:val="2"/>
        </w:numPr>
        <w:kinsoku/>
        <w:wordWrap/>
        <w:overflowPunct/>
        <w:topLinePunct w:val="0"/>
        <w:autoSpaceDE/>
        <w:autoSpaceDN/>
        <w:bidi w:val="0"/>
        <w:adjustRightInd/>
        <w:snapToGrid/>
        <w:spacing w:line="300" w:lineRule="exact"/>
        <w:textAlignment w:val="auto"/>
        <w:rPr>
          <w:rFonts w:hint="eastAsia" w:ascii="仿宋" w:hAnsi="仿宋" w:eastAsia="仿宋" w:cs="仿宋"/>
          <w:sz w:val="24"/>
          <w:szCs w:val="24"/>
        </w:rPr>
      </w:pPr>
      <w:r>
        <w:rPr>
          <w:rFonts w:hint="eastAsia" w:ascii="仿宋" w:hAnsi="仿宋" w:eastAsia="仿宋" w:cs="仿宋"/>
          <w:sz w:val="24"/>
          <w:szCs w:val="24"/>
        </w:rPr>
        <w:t>增加投标报价澄清或说明</w:t>
      </w:r>
    </w:p>
    <w:p w14:paraId="27B7AD8B">
      <w:pPr>
        <w:keepNext w:val="0"/>
        <w:keepLines w:val="0"/>
        <w:pageBreakBefore w:val="0"/>
        <w:numPr>
          <w:ilvl w:val="0"/>
          <w:numId w:val="2"/>
        </w:numPr>
        <w:kinsoku/>
        <w:wordWrap/>
        <w:overflowPunct/>
        <w:topLinePunct w:val="0"/>
        <w:autoSpaceDE/>
        <w:autoSpaceDN/>
        <w:bidi w:val="0"/>
        <w:adjustRightInd/>
        <w:snapToGrid/>
        <w:spacing w:line="300" w:lineRule="exact"/>
        <w:textAlignment w:val="auto"/>
        <w:rPr>
          <w:rFonts w:hint="eastAsia" w:ascii="仿宋" w:hAnsi="仿宋" w:eastAsia="仿宋" w:cs="仿宋"/>
          <w:sz w:val="24"/>
          <w:szCs w:val="24"/>
        </w:rPr>
      </w:pPr>
      <w:r>
        <w:rPr>
          <w:rFonts w:hint="eastAsia" w:ascii="仿宋" w:hAnsi="仿宋" w:eastAsia="仿宋" w:cs="仿宋"/>
          <w:sz w:val="24"/>
          <w:szCs w:val="24"/>
        </w:rPr>
        <w:t>修订施工措施项目计价规则</w:t>
      </w:r>
    </w:p>
    <w:p w14:paraId="5E4E4390">
      <w:pPr>
        <w:keepNext w:val="0"/>
        <w:keepLines w:val="0"/>
        <w:pageBreakBefore w:val="0"/>
        <w:numPr>
          <w:ilvl w:val="0"/>
          <w:numId w:val="2"/>
        </w:numPr>
        <w:kinsoku/>
        <w:wordWrap/>
        <w:overflowPunct/>
        <w:topLinePunct w:val="0"/>
        <w:autoSpaceDE/>
        <w:autoSpaceDN/>
        <w:bidi w:val="0"/>
        <w:adjustRightInd/>
        <w:snapToGrid/>
        <w:spacing w:line="30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删除合同价款约定章节，增加合同选择与要求章节 </w:t>
      </w:r>
    </w:p>
    <w:p w14:paraId="40C07839">
      <w:pPr>
        <w:keepNext w:val="0"/>
        <w:keepLines w:val="0"/>
        <w:pageBreakBefore w:val="0"/>
        <w:numPr>
          <w:ilvl w:val="0"/>
          <w:numId w:val="2"/>
        </w:numPr>
        <w:kinsoku/>
        <w:wordWrap/>
        <w:overflowPunct/>
        <w:topLinePunct w:val="0"/>
        <w:autoSpaceDE/>
        <w:autoSpaceDN/>
        <w:bidi w:val="0"/>
        <w:adjustRightInd/>
        <w:snapToGrid/>
        <w:spacing w:line="300" w:lineRule="exact"/>
        <w:textAlignment w:val="auto"/>
        <w:rPr>
          <w:rFonts w:hint="eastAsia" w:ascii="仿宋" w:hAnsi="仿宋" w:eastAsia="仿宋" w:cs="仿宋"/>
          <w:sz w:val="24"/>
          <w:szCs w:val="24"/>
        </w:rPr>
      </w:pPr>
      <w:r>
        <w:rPr>
          <w:rFonts w:hint="eastAsia" w:ascii="仿宋" w:hAnsi="仿宋" w:eastAsia="仿宋" w:cs="仿宋"/>
          <w:sz w:val="24"/>
          <w:szCs w:val="24"/>
        </w:rPr>
        <w:t>修订合同工程计量与价款调整规则</w:t>
      </w:r>
    </w:p>
    <w:p w14:paraId="1A60C981">
      <w:pPr>
        <w:keepNext w:val="0"/>
        <w:keepLines w:val="0"/>
        <w:pageBreakBefore w:val="0"/>
        <w:numPr>
          <w:ilvl w:val="0"/>
          <w:numId w:val="2"/>
        </w:numPr>
        <w:kinsoku/>
        <w:wordWrap/>
        <w:overflowPunct/>
        <w:topLinePunct w:val="0"/>
        <w:autoSpaceDE/>
        <w:autoSpaceDN/>
        <w:bidi w:val="0"/>
        <w:adjustRightInd/>
        <w:snapToGrid/>
        <w:spacing w:line="30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删除工程签证条款，增加新增工程计量与计价规则 </w:t>
      </w:r>
    </w:p>
    <w:p w14:paraId="2FD1D7B9">
      <w:pPr>
        <w:keepNext w:val="0"/>
        <w:keepLines w:val="0"/>
        <w:pageBreakBefore w:val="0"/>
        <w:numPr>
          <w:ilvl w:val="0"/>
          <w:numId w:val="2"/>
        </w:numPr>
        <w:kinsoku/>
        <w:wordWrap/>
        <w:overflowPunct/>
        <w:topLinePunct w:val="0"/>
        <w:autoSpaceDE/>
        <w:autoSpaceDN/>
        <w:bidi w:val="0"/>
        <w:adjustRightInd/>
        <w:snapToGrid/>
        <w:spacing w:line="300" w:lineRule="exact"/>
        <w:textAlignment w:val="auto"/>
        <w:rPr>
          <w:rFonts w:hint="eastAsia" w:ascii="仿宋" w:hAnsi="仿宋" w:eastAsia="仿宋" w:cs="仿宋"/>
          <w:sz w:val="24"/>
          <w:szCs w:val="24"/>
        </w:rPr>
      </w:pPr>
      <w:r>
        <w:rPr>
          <w:rFonts w:hint="eastAsia" w:ascii="仿宋" w:hAnsi="仿宋" w:eastAsia="仿宋" w:cs="仿宋"/>
          <w:sz w:val="24"/>
          <w:szCs w:val="24"/>
        </w:rPr>
        <w:t>增加施工过程结算计价与支付规则</w:t>
      </w:r>
    </w:p>
    <w:p w14:paraId="648DB7F9">
      <w:pPr>
        <w:keepNext w:val="0"/>
        <w:keepLines w:val="0"/>
        <w:pageBreakBefore w:val="0"/>
        <w:numPr>
          <w:ilvl w:val="0"/>
          <w:numId w:val="2"/>
        </w:numPr>
        <w:kinsoku/>
        <w:wordWrap/>
        <w:overflowPunct/>
        <w:topLinePunct w:val="0"/>
        <w:autoSpaceDE/>
        <w:autoSpaceDN/>
        <w:bidi w:val="0"/>
        <w:adjustRightInd/>
        <w:snapToGrid/>
        <w:spacing w:line="30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修订合同价款争议解决的办法 </w:t>
      </w:r>
    </w:p>
    <w:p w14:paraId="2986B038">
      <w:pPr>
        <w:keepNext w:val="0"/>
        <w:keepLines w:val="0"/>
        <w:pageBreakBefore w:val="0"/>
        <w:numPr>
          <w:ilvl w:val="0"/>
          <w:numId w:val="2"/>
        </w:numPr>
        <w:kinsoku/>
        <w:wordWrap/>
        <w:overflowPunct/>
        <w:topLinePunct w:val="0"/>
        <w:autoSpaceDE/>
        <w:autoSpaceDN/>
        <w:bidi w:val="0"/>
        <w:adjustRightInd/>
        <w:snapToGrid/>
        <w:spacing w:line="300" w:lineRule="exact"/>
        <w:textAlignment w:val="auto"/>
        <w:rPr>
          <w:rFonts w:hint="eastAsia" w:ascii="仿宋" w:hAnsi="仿宋" w:eastAsia="仿宋" w:cs="仿宋"/>
          <w:sz w:val="24"/>
          <w:szCs w:val="24"/>
        </w:rPr>
      </w:pPr>
      <w:r>
        <w:rPr>
          <w:rFonts w:hint="eastAsia" w:ascii="仿宋" w:hAnsi="仿宋" w:eastAsia="仿宋" w:cs="仿宋"/>
          <w:sz w:val="24"/>
          <w:szCs w:val="24"/>
        </w:rPr>
        <w:t>删除工程造价鉴定章节</w:t>
      </w:r>
    </w:p>
    <w:p w14:paraId="01D3321F">
      <w:pPr>
        <w:keepNext w:val="0"/>
        <w:keepLines w:val="0"/>
        <w:pageBreakBefore w:val="0"/>
        <w:numPr>
          <w:ilvl w:val="0"/>
          <w:numId w:val="2"/>
        </w:numPr>
        <w:kinsoku/>
        <w:wordWrap/>
        <w:overflowPunct/>
        <w:topLinePunct w:val="0"/>
        <w:autoSpaceDE/>
        <w:autoSpaceDN/>
        <w:bidi w:val="0"/>
        <w:adjustRightInd/>
        <w:snapToGrid/>
        <w:spacing w:line="300" w:lineRule="exact"/>
        <w:ind w:left="425" w:leftChars="0" w:hanging="425" w:firstLineChars="0"/>
        <w:textAlignment w:val="auto"/>
        <w:rPr>
          <w:rFonts w:hint="eastAsia" w:ascii="仿宋" w:hAnsi="仿宋" w:eastAsia="仿宋" w:cs="仿宋"/>
          <w:sz w:val="24"/>
          <w:szCs w:val="24"/>
        </w:rPr>
      </w:pPr>
      <w:r>
        <w:rPr>
          <w:rFonts w:hint="eastAsia" w:ascii="仿宋" w:hAnsi="仿宋" w:eastAsia="仿宋" w:cs="仿宋"/>
          <w:sz w:val="24"/>
          <w:szCs w:val="24"/>
        </w:rPr>
        <w:t>按照招标图纸及技术标准规范可确定项目特征但不能准确计算工程数量的项目应如何处理？</w:t>
      </w:r>
    </w:p>
    <w:p w14:paraId="2F531767">
      <w:pPr>
        <w:keepNext w:val="0"/>
        <w:keepLines w:val="0"/>
        <w:pageBreakBefore w:val="0"/>
        <w:numPr>
          <w:ilvl w:val="0"/>
          <w:numId w:val="2"/>
        </w:numPr>
        <w:kinsoku/>
        <w:wordWrap/>
        <w:overflowPunct/>
        <w:topLinePunct w:val="0"/>
        <w:autoSpaceDE/>
        <w:autoSpaceDN/>
        <w:bidi w:val="0"/>
        <w:adjustRightInd/>
        <w:snapToGrid/>
        <w:spacing w:line="300" w:lineRule="exact"/>
        <w:ind w:left="425" w:leftChars="0" w:hanging="425" w:firstLineChars="0"/>
        <w:textAlignment w:val="auto"/>
        <w:rPr>
          <w:rFonts w:hint="eastAsia" w:ascii="仿宋" w:hAnsi="仿宋" w:eastAsia="仿宋" w:cs="仿宋"/>
          <w:sz w:val="24"/>
          <w:szCs w:val="24"/>
        </w:rPr>
      </w:pPr>
      <w:r>
        <w:rPr>
          <w:rFonts w:hint="eastAsia" w:ascii="仿宋" w:hAnsi="仿宋" w:eastAsia="仿宋" w:cs="仿宋"/>
          <w:sz w:val="24"/>
          <w:szCs w:val="24"/>
        </w:rPr>
        <w:t>采用单价合同的工程，工程量清单缺陷引起清单项目变化或清单工程量增加或减少且增减工程量未超过相应清单项目合同清单所含工程量的15%时，应如何计算调整合同价格？</w:t>
      </w:r>
    </w:p>
    <w:p w14:paraId="734434D5">
      <w:pPr>
        <w:keepNext w:val="0"/>
        <w:keepLines w:val="0"/>
        <w:pageBreakBefore w:val="0"/>
        <w:numPr>
          <w:ilvl w:val="0"/>
          <w:numId w:val="2"/>
        </w:numPr>
        <w:kinsoku/>
        <w:wordWrap/>
        <w:overflowPunct/>
        <w:topLinePunct w:val="0"/>
        <w:autoSpaceDE/>
        <w:autoSpaceDN/>
        <w:bidi w:val="0"/>
        <w:adjustRightInd/>
        <w:snapToGrid/>
        <w:spacing w:line="300" w:lineRule="exact"/>
        <w:ind w:left="425" w:leftChars="0" w:hanging="425" w:firstLineChars="0"/>
        <w:textAlignment w:val="auto"/>
        <w:rPr>
          <w:rFonts w:hint="eastAsia" w:ascii="仿宋" w:hAnsi="仿宋" w:eastAsia="仿宋" w:cs="仿宋"/>
          <w:sz w:val="24"/>
          <w:szCs w:val="24"/>
        </w:rPr>
      </w:pPr>
      <w:r>
        <w:rPr>
          <w:rFonts w:hint="eastAsia" w:ascii="仿宋" w:hAnsi="仿宋" w:eastAsia="仿宋" w:cs="仿宋"/>
          <w:sz w:val="24"/>
          <w:szCs w:val="24"/>
        </w:rPr>
        <w:t>采用单价合同的工程，应如何重新计量合同图纸的分部分项工程项目清单的所有清单项目及工程量？</w:t>
      </w:r>
    </w:p>
    <w:p w14:paraId="00863B4D">
      <w:pPr>
        <w:keepNext w:val="0"/>
        <w:keepLines w:val="0"/>
        <w:pageBreakBefore w:val="0"/>
        <w:numPr>
          <w:ilvl w:val="0"/>
          <w:numId w:val="2"/>
        </w:numPr>
        <w:kinsoku/>
        <w:wordWrap/>
        <w:overflowPunct/>
        <w:topLinePunct w:val="0"/>
        <w:autoSpaceDE/>
        <w:autoSpaceDN/>
        <w:bidi w:val="0"/>
        <w:adjustRightInd/>
        <w:snapToGrid/>
        <w:spacing w:line="300" w:lineRule="exact"/>
        <w:ind w:left="425" w:leftChars="0" w:hanging="425" w:firstLineChars="0"/>
        <w:textAlignment w:val="auto"/>
        <w:rPr>
          <w:rFonts w:hint="eastAsia" w:ascii="仿宋" w:hAnsi="仿宋" w:eastAsia="仿宋" w:cs="仿宋"/>
          <w:sz w:val="24"/>
          <w:szCs w:val="24"/>
        </w:rPr>
      </w:pPr>
      <w:r>
        <w:rPr>
          <w:rFonts w:hint="eastAsia" w:ascii="仿宋" w:hAnsi="仿宋" w:eastAsia="仿宋" w:cs="仿宋"/>
          <w:sz w:val="24"/>
          <w:szCs w:val="24"/>
        </w:rPr>
        <w:t>采用单价合同的工程变更应如何处理？</w:t>
      </w:r>
    </w:p>
    <w:p w14:paraId="71034A4E">
      <w:pPr>
        <w:keepNext w:val="0"/>
        <w:keepLines w:val="0"/>
        <w:pageBreakBefore w:val="0"/>
        <w:numPr>
          <w:ilvl w:val="0"/>
          <w:numId w:val="2"/>
        </w:numPr>
        <w:kinsoku/>
        <w:wordWrap/>
        <w:overflowPunct/>
        <w:topLinePunct w:val="0"/>
        <w:autoSpaceDE/>
        <w:autoSpaceDN/>
        <w:bidi w:val="0"/>
        <w:adjustRightInd/>
        <w:snapToGrid/>
        <w:spacing w:line="300" w:lineRule="exact"/>
        <w:ind w:left="425" w:leftChars="0" w:hanging="425" w:firstLineChars="0"/>
        <w:textAlignment w:val="auto"/>
        <w:rPr>
          <w:rFonts w:hint="eastAsia" w:ascii="仿宋" w:hAnsi="仿宋" w:eastAsia="仿宋" w:cs="仿宋"/>
          <w:sz w:val="24"/>
          <w:szCs w:val="24"/>
        </w:rPr>
      </w:pPr>
      <w:r>
        <w:rPr>
          <w:rFonts w:hint="eastAsia" w:ascii="仿宋" w:hAnsi="仿宋" w:eastAsia="仿宋" w:cs="仿宋"/>
          <w:sz w:val="24"/>
          <w:szCs w:val="24"/>
        </w:rPr>
        <w:t>采用总价合同的工程量清单，如工程量清单存在缺陷，清单缺陷引起的价款变化应如何处理？</w:t>
      </w:r>
    </w:p>
    <w:p w14:paraId="4B1E4D3E">
      <w:pPr>
        <w:keepNext w:val="0"/>
        <w:keepLines w:val="0"/>
        <w:pageBreakBefore w:val="0"/>
        <w:numPr>
          <w:ilvl w:val="0"/>
          <w:numId w:val="2"/>
        </w:numPr>
        <w:kinsoku/>
        <w:wordWrap/>
        <w:overflowPunct/>
        <w:topLinePunct w:val="0"/>
        <w:autoSpaceDE/>
        <w:autoSpaceDN/>
        <w:bidi w:val="0"/>
        <w:adjustRightInd/>
        <w:snapToGrid/>
        <w:spacing w:line="300" w:lineRule="exact"/>
        <w:ind w:left="425" w:leftChars="0" w:hanging="425" w:firstLineChars="0"/>
        <w:textAlignment w:val="auto"/>
        <w:rPr>
          <w:rFonts w:hint="eastAsia" w:ascii="仿宋" w:hAnsi="仿宋" w:eastAsia="仿宋" w:cs="仿宋"/>
          <w:sz w:val="24"/>
          <w:szCs w:val="24"/>
        </w:rPr>
      </w:pPr>
      <w:r>
        <w:rPr>
          <w:rFonts w:hint="eastAsia" w:ascii="仿宋" w:hAnsi="仿宋" w:eastAsia="仿宋" w:cs="仿宋"/>
          <w:sz w:val="24"/>
          <w:szCs w:val="24"/>
        </w:rPr>
        <w:t>采用总价合同的工程中，投标人应如何补充完善工程量清单并填报项目价格？</w:t>
      </w:r>
    </w:p>
    <w:p w14:paraId="7486D604">
      <w:pPr>
        <w:keepNext w:val="0"/>
        <w:keepLines w:val="0"/>
        <w:pageBreakBefore w:val="0"/>
        <w:numPr>
          <w:ilvl w:val="0"/>
          <w:numId w:val="2"/>
        </w:numPr>
        <w:kinsoku/>
        <w:wordWrap/>
        <w:overflowPunct/>
        <w:topLinePunct w:val="0"/>
        <w:autoSpaceDE/>
        <w:autoSpaceDN/>
        <w:bidi w:val="0"/>
        <w:adjustRightInd/>
        <w:snapToGrid/>
        <w:spacing w:line="300" w:lineRule="exact"/>
        <w:ind w:left="425" w:leftChars="0" w:hanging="425" w:firstLineChars="0"/>
        <w:textAlignment w:val="auto"/>
        <w:rPr>
          <w:rFonts w:hint="eastAsia" w:ascii="仿宋" w:hAnsi="仿宋" w:eastAsia="仿宋" w:cs="仿宋"/>
          <w:sz w:val="24"/>
          <w:szCs w:val="24"/>
        </w:rPr>
      </w:pPr>
      <w:r>
        <w:rPr>
          <w:rFonts w:hint="eastAsia" w:ascii="仿宋" w:hAnsi="仿宋" w:eastAsia="仿宋" w:cs="仿宋"/>
          <w:sz w:val="24"/>
          <w:szCs w:val="24"/>
        </w:rPr>
        <w:t>单价合同的分部分项工程项目清单工程量应如何计算？</w:t>
      </w:r>
    </w:p>
    <w:p w14:paraId="1ADB00BA">
      <w:pPr>
        <w:keepNext w:val="0"/>
        <w:keepLines w:val="0"/>
        <w:pageBreakBefore w:val="0"/>
        <w:numPr>
          <w:ilvl w:val="0"/>
          <w:numId w:val="2"/>
        </w:numPr>
        <w:kinsoku/>
        <w:wordWrap/>
        <w:overflowPunct/>
        <w:topLinePunct w:val="0"/>
        <w:autoSpaceDE/>
        <w:autoSpaceDN/>
        <w:bidi w:val="0"/>
        <w:adjustRightInd/>
        <w:snapToGrid/>
        <w:spacing w:line="300" w:lineRule="exact"/>
        <w:ind w:left="425" w:leftChars="0" w:hanging="425" w:firstLineChars="0"/>
        <w:textAlignment w:val="auto"/>
        <w:rPr>
          <w:rFonts w:hint="eastAsia" w:ascii="仿宋" w:hAnsi="仿宋" w:eastAsia="仿宋" w:cs="仿宋"/>
          <w:sz w:val="24"/>
          <w:szCs w:val="24"/>
        </w:rPr>
      </w:pPr>
      <w:r>
        <w:rPr>
          <w:rFonts w:hint="eastAsia" w:ascii="仿宋" w:hAnsi="仿宋" w:eastAsia="仿宋" w:cs="仿宋"/>
          <w:sz w:val="24"/>
          <w:szCs w:val="24"/>
        </w:rPr>
        <w:t>对分部分项工程项目清单中发包人提供材料的清单项目，投标人应如何进行安装报价？</w:t>
      </w:r>
    </w:p>
    <w:p w14:paraId="01A9FF5E">
      <w:pPr>
        <w:keepNext w:val="0"/>
        <w:keepLines w:val="0"/>
        <w:pageBreakBefore w:val="0"/>
        <w:numPr>
          <w:ilvl w:val="0"/>
          <w:numId w:val="2"/>
        </w:numPr>
        <w:kinsoku/>
        <w:wordWrap/>
        <w:overflowPunct/>
        <w:topLinePunct w:val="0"/>
        <w:autoSpaceDE/>
        <w:autoSpaceDN/>
        <w:bidi w:val="0"/>
        <w:adjustRightInd/>
        <w:snapToGrid/>
        <w:spacing w:line="300" w:lineRule="exact"/>
        <w:ind w:left="425" w:leftChars="0" w:hanging="425" w:firstLineChars="0"/>
        <w:textAlignment w:val="auto"/>
        <w:rPr>
          <w:rFonts w:hint="eastAsia" w:ascii="仿宋" w:hAnsi="仿宋" w:eastAsia="仿宋" w:cs="仿宋"/>
          <w:sz w:val="24"/>
          <w:szCs w:val="24"/>
        </w:rPr>
      </w:pPr>
      <w:r>
        <w:rPr>
          <w:rFonts w:hint="eastAsia" w:ascii="仿宋" w:hAnsi="仿宋" w:eastAsia="仿宋" w:cs="仿宋"/>
          <w:sz w:val="24"/>
          <w:szCs w:val="24"/>
        </w:rPr>
        <w:t>分部分项工程项目清单内说明是暂定数量的清单项目及其工程数量应按什么规定重新计量确定？</w:t>
      </w:r>
    </w:p>
    <w:p w14:paraId="5B875584">
      <w:pPr>
        <w:keepNext w:val="0"/>
        <w:keepLines w:val="0"/>
        <w:pageBreakBefore w:val="0"/>
        <w:numPr>
          <w:ilvl w:val="0"/>
          <w:numId w:val="2"/>
        </w:numPr>
        <w:kinsoku/>
        <w:wordWrap/>
        <w:overflowPunct/>
        <w:topLinePunct w:val="0"/>
        <w:autoSpaceDE/>
        <w:autoSpaceDN/>
        <w:bidi w:val="0"/>
        <w:adjustRightInd/>
        <w:snapToGrid/>
        <w:spacing w:line="300" w:lineRule="exact"/>
        <w:ind w:left="425" w:leftChars="0" w:hanging="425" w:firstLineChars="0"/>
        <w:textAlignment w:val="auto"/>
        <w:rPr>
          <w:rFonts w:hint="eastAsia" w:ascii="仿宋" w:hAnsi="仿宋" w:eastAsia="仿宋" w:cs="仿宋"/>
          <w:sz w:val="24"/>
          <w:szCs w:val="24"/>
        </w:rPr>
      </w:pPr>
      <w:r>
        <w:rPr>
          <w:rFonts w:hint="eastAsia" w:ascii="仿宋" w:hAnsi="仿宋" w:eastAsia="仿宋" w:cs="仿宋"/>
          <w:sz w:val="24"/>
          <w:szCs w:val="24"/>
        </w:rPr>
        <w:t>工程变更引起的应予计量的工程量应如何计算？</w:t>
      </w:r>
    </w:p>
    <w:p w14:paraId="518877BF">
      <w:pPr>
        <w:keepNext w:val="0"/>
        <w:keepLines w:val="0"/>
        <w:pageBreakBefore w:val="0"/>
        <w:numPr>
          <w:ilvl w:val="0"/>
          <w:numId w:val="2"/>
        </w:numPr>
        <w:kinsoku/>
        <w:wordWrap/>
        <w:overflowPunct/>
        <w:topLinePunct w:val="0"/>
        <w:autoSpaceDE/>
        <w:autoSpaceDN/>
        <w:bidi w:val="0"/>
        <w:adjustRightInd/>
        <w:snapToGrid/>
        <w:spacing w:line="300" w:lineRule="exact"/>
        <w:ind w:left="425" w:leftChars="0" w:hanging="425" w:firstLineChars="0"/>
        <w:textAlignment w:val="auto"/>
        <w:rPr>
          <w:rFonts w:hint="eastAsia" w:ascii="仿宋" w:hAnsi="仿宋" w:eastAsia="仿宋" w:cs="仿宋"/>
          <w:sz w:val="24"/>
          <w:szCs w:val="24"/>
        </w:rPr>
      </w:pPr>
      <w:r>
        <w:rPr>
          <w:rFonts w:hint="eastAsia" w:ascii="仿宋" w:hAnsi="仿宋" w:eastAsia="仿宋" w:cs="仿宋"/>
          <w:sz w:val="24"/>
          <w:szCs w:val="24"/>
        </w:rPr>
        <w:t>工程量清单中给定材料暂估价的清单项目价格调整时，应如何操作？</w:t>
      </w:r>
    </w:p>
    <w:p w14:paraId="294D6620">
      <w:pPr>
        <w:keepNext w:val="0"/>
        <w:keepLines w:val="0"/>
        <w:pageBreakBefore w:val="0"/>
        <w:numPr>
          <w:ilvl w:val="0"/>
          <w:numId w:val="2"/>
        </w:numPr>
        <w:kinsoku/>
        <w:wordWrap/>
        <w:overflowPunct/>
        <w:topLinePunct w:val="0"/>
        <w:autoSpaceDE/>
        <w:autoSpaceDN/>
        <w:bidi w:val="0"/>
        <w:adjustRightInd/>
        <w:snapToGrid/>
        <w:spacing w:line="300" w:lineRule="exact"/>
        <w:ind w:left="425" w:leftChars="0" w:hanging="425" w:firstLineChars="0"/>
        <w:textAlignment w:val="auto"/>
        <w:rPr>
          <w:rFonts w:hint="eastAsia" w:ascii="仿宋" w:hAnsi="仿宋" w:eastAsia="仿宋" w:cs="仿宋"/>
          <w:sz w:val="24"/>
          <w:szCs w:val="24"/>
        </w:rPr>
      </w:pPr>
      <w:r>
        <w:rPr>
          <w:rFonts w:hint="eastAsia" w:ascii="仿宋" w:hAnsi="仿宋" w:eastAsia="仿宋" w:cs="仿宋"/>
          <w:sz w:val="24"/>
          <w:szCs w:val="24"/>
        </w:rPr>
        <w:t>工程量清单中给定暂估价的材料不属于依法必须招标的，可采取哪些方式确定价格并调整合同价格？</w:t>
      </w:r>
    </w:p>
    <w:p w14:paraId="2FC45E0A">
      <w:pPr>
        <w:keepNext w:val="0"/>
        <w:keepLines w:val="0"/>
        <w:pageBreakBefore w:val="0"/>
        <w:numPr>
          <w:ilvl w:val="0"/>
          <w:numId w:val="2"/>
        </w:numPr>
        <w:kinsoku/>
        <w:wordWrap/>
        <w:overflowPunct/>
        <w:topLinePunct w:val="0"/>
        <w:autoSpaceDE/>
        <w:autoSpaceDN/>
        <w:bidi w:val="0"/>
        <w:adjustRightInd/>
        <w:snapToGrid/>
        <w:spacing w:line="300" w:lineRule="exact"/>
        <w:ind w:left="425" w:leftChars="0" w:hanging="425" w:firstLineChars="0"/>
        <w:textAlignment w:val="auto"/>
        <w:rPr>
          <w:rFonts w:hint="eastAsia" w:ascii="仿宋" w:hAnsi="仿宋" w:eastAsia="仿宋" w:cs="仿宋"/>
          <w:sz w:val="24"/>
          <w:szCs w:val="24"/>
        </w:rPr>
      </w:pPr>
      <w:r>
        <w:rPr>
          <w:rFonts w:hint="eastAsia" w:ascii="仿宋" w:hAnsi="仿宋" w:eastAsia="仿宋" w:cs="仿宋"/>
          <w:sz w:val="24"/>
          <w:szCs w:val="24"/>
        </w:rPr>
        <w:t>工程量清单中给定暂估价的材料和（或）暂估价的专业工程属于依法必须招标的，应如何确定材料税前价格和（或）含税专业分包工程价格，并调整合同价格？</w:t>
      </w:r>
    </w:p>
    <w:p w14:paraId="0EE91F47">
      <w:pPr>
        <w:keepNext w:val="0"/>
        <w:keepLines w:val="0"/>
        <w:pageBreakBefore w:val="0"/>
        <w:numPr>
          <w:ilvl w:val="0"/>
          <w:numId w:val="2"/>
        </w:numPr>
        <w:kinsoku/>
        <w:wordWrap/>
        <w:overflowPunct/>
        <w:topLinePunct w:val="0"/>
        <w:autoSpaceDE/>
        <w:autoSpaceDN/>
        <w:bidi w:val="0"/>
        <w:adjustRightInd/>
        <w:snapToGrid/>
        <w:spacing w:line="300" w:lineRule="exact"/>
        <w:ind w:left="425" w:leftChars="0" w:hanging="425" w:firstLineChars="0"/>
        <w:textAlignment w:val="auto"/>
        <w:rPr>
          <w:rFonts w:hint="eastAsia" w:ascii="仿宋" w:hAnsi="仿宋" w:eastAsia="仿宋" w:cs="仿宋"/>
          <w:sz w:val="24"/>
          <w:szCs w:val="24"/>
        </w:rPr>
      </w:pPr>
      <w:r>
        <w:rPr>
          <w:rFonts w:hint="eastAsia" w:ascii="仿宋" w:hAnsi="仿宋" w:eastAsia="仿宋" w:cs="仿宋"/>
          <w:sz w:val="24"/>
          <w:szCs w:val="24"/>
        </w:rPr>
        <w:t>如果投标人对分部分项工程项目清单有疑问或异议，应如何处理？</w:t>
      </w:r>
    </w:p>
    <w:p w14:paraId="21F8DF62">
      <w:pPr>
        <w:keepNext w:val="0"/>
        <w:keepLines w:val="0"/>
        <w:pageBreakBefore w:val="0"/>
        <w:numPr>
          <w:ilvl w:val="0"/>
          <w:numId w:val="2"/>
        </w:numPr>
        <w:kinsoku/>
        <w:wordWrap/>
        <w:overflowPunct/>
        <w:topLinePunct w:val="0"/>
        <w:autoSpaceDE/>
        <w:autoSpaceDN/>
        <w:bidi w:val="0"/>
        <w:adjustRightInd/>
        <w:snapToGrid/>
        <w:spacing w:line="300" w:lineRule="exact"/>
        <w:ind w:left="425" w:leftChars="0" w:hanging="425" w:firstLineChars="0"/>
        <w:textAlignment w:val="auto"/>
        <w:rPr>
          <w:rFonts w:hint="eastAsia" w:ascii="仿宋" w:hAnsi="仿宋" w:eastAsia="仿宋" w:cs="仿宋"/>
          <w:sz w:val="24"/>
          <w:szCs w:val="24"/>
        </w:rPr>
      </w:pPr>
      <w:r>
        <w:rPr>
          <w:rFonts w:hint="eastAsia" w:ascii="仿宋" w:hAnsi="仿宋" w:eastAsia="仿宋" w:cs="仿宋"/>
          <w:sz w:val="24"/>
          <w:szCs w:val="24"/>
        </w:rPr>
        <w:t>投标报价的综合单价及投标总价是否应包含发包人提供材料的供货人将相关的材料运抵交货地点、完成卸货的费用？</w:t>
      </w:r>
    </w:p>
    <w:p w14:paraId="119CFE29">
      <w:pPr>
        <w:keepNext w:val="0"/>
        <w:keepLines w:val="0"/>
        <w:pageBreakBefore w:val="0"/>
        <w:numPr>
          <w:ilvl w:val="0"/>
          <w:numId w:val="2"/>
        </w:numPr>
        <w:kinsoku/>
        <w:wordWrap/>
        <w:overflowPunct/>
        <w:topLinePunct w:val="0"/>
        <w:autoSpaceDE/>
        <w:autoSpaceDN/>
        <w:bidi w:val="0"/>
        <w:adjustRightInd/>
        <w:snapToGrid/>
        <w:spacing w:line="300" w:lineRule="exact"/>
        <w:ind w:left="425" w:leftChars="0" w:hanging="425" w:firstLineChars="0"/>
        <w:textAlignment w:val="auto"/>
        <w:rPr>
          <w:rFonts w:hint="eastAsia" w:ascii="仿宋" w:hAnsi="仿宋" w:eastAsia="仿宋" w:cs="仿宋"/>
          <w:sz w:val="24"/>
          <w:szCs w:val="24"/>
        </w:rPr>
      </w:pPr>
      <w:r>
        <w:rPr>
          <w:rFonts w:hint="eastAsia" w:ascii="仿宋" w:hAnsi="仿宋" w:eastAsia="仿宋" w:cs="仿宋"/>
          <w:sz w:val="24"/>
          <w:szCs w:val="24"/>
        </w:rPr>
        <w:t>完成发包人要求的暂列金额项目中所含未能完全预见或详细说明的工程的分部分项工程项目清单应如何计量？</w:t>
      </w:r>
    </w:p>
    <w:p w14:paraId="6B7B49A0">
      <w:pPr>
        <w:keepNext w:val="0"/>
        <w:keepLines w:val="0"/>
        <w:pageBreakBefore w:val="0"/>
        <w:numPr>
          <w:ilvl w:val="0"/>
          <w:numId w:val="2"/>
        </w:numPr>
        <w:kinsoku/>
        <w:wordWrap/>
        <w:overflowPunct/>
        <w:topLinePunct w:val="0"/>
        <w:autoSpaceDE/>
        <w:autoSpaceDN/>
        <w:bidi w:val="0"/>
        <w:adjustRightInd/>
        <w:snapToGrid/>
        <w:spacing w:line="300" w:lineRule="exact"/>
        <w:ind w:left="425" w:leftChars="0" w:hanging="425" w:firstLineChars="0"/>
        <w:textAlignment w:val="auto"/>
        <w:rPr>
          <w:rFonts w:hint="eastAsia" w:ascii="仿宋" w:hAnsi="仿宋" w:eastAsia="仿宋" w:cs="仿宋"/>
          <w:sz w:val="24"/>
          <w:szCs w:val="24"/>
        </w:rPr>
      </w:pPr>
      <w:r>
        <w:rPr>
          <w:rFonts w:hint="eastAsia" w:ascii="仿宋" w:hAnsi="仿宋" w:eastAsia="仿宋" w:cs="仿宋"/>
          <w:sz w:val="24"/>
          <w:szCs w:val="24"/>
        </w:rPr>
        <w:t>未按要求填报综合单价及其合价和(或)清单项目价格时，应如何处理？</w:t>
      </w:r>
    </w:p>
    <w:p w14:paraId="163A295F">
      <w:pPr>
        <w:keepNext w:val="0"/>
        <w:keepLines w:val="0"/>
        <w:pageBreakBefore w:val="0"/>
        <w:numPr>
          <w:ilvl w:val="0"/>
          <w:numId w:val="2"/>
        </w:numPr>
        <w:kinsoku/>
        <w:wordWrap/>
        <w:overflowPunct/>
        <w:topLinePunct w:val="0"/>
        <w:autoSpaceDE/>
        <w:autoSpaceDN/>
        <w:bidi w:val="0"/>
        <w:adjustRightInd/>
        <w:snapToGrid/>
        <w:spacing w:line="300" w:lineRule="exact"/>
        <w:ind w:left="425" w:leftChars="0" w:hanging="425" w:firstLineChars="0"/>
        <w:textAlignment w:val="auto"/>
        <w:rPr>
          <w:rFonts w:hint="eastAsia" w:ascii="仿宋" w:hAnsi="仿宋" w:eastAsia="仿宋" w:cs="仿宋"/>
          <w:sz w:val="24"/>
          <w:szCs w:val="24"/>
        </w:rPr>
      </w:pPr>
      <w:r>
        <w:rPr>
          <w:rFonts w:hint="eastAsia" w:ascii="仿宋" w:hAnsi="仿宋" w:eastAsia="仿宋" w:cs="仿宋"/>
          <w:sz w:val="24"/>
          <w:szCs w:val="24"/>
        </w:rPr>
        <w:t>以综合单价形式计价的措施项目和其他措施项目应如何执行？</w:t>
      </w:r>
    </w:p>
    <w:p w14:paraId="0153CD79">
      <w:pPr>
        <w:keepNext w:val="0"/>
        <w:keepLines w:val="0"/>
        <w:pageBreakBefore w:val="0"/>
        <w:numPr>
          <w:ilvl w:val="0"/>
          <w:numId w:val="2"/>
        </w:numPr>
        <w:kinsoku/>
        <w:wordWrap/>
        <w:overflowPunct/>
        <w:topLinePunct w:val="0"/>
        <w:autoSpaceDE/>
        <w:autoSpaceDN/>
        <w:bidi w:val="0"/>
        <w:adjustRightInd/>
        <w:snapToGrid/>
        <w:spacing w:line="300" w:lineRule="exact"/>
        <w:ind w:left="425" w:leftChars="0" w:hanging="425" w:firstLineChars="0"/>
        <w:textAlignment w:val="auto"/>
        <w:rPr>
          <w:rFonts w:hint="eastAsia" w:ascii="仿宋" w:hAnsi="仿宋" w:eastAsia="仿宋" w:cs="仿宋"/>
          <w:sz w:val="24"/>
          <w:szCs w:val="24"/>
        </w:rPr>
      </w:pPr>
      <w:r>
        <w:rPr>
          <w:rFonts w:hint="eastAsia" w:ascii="仿宋" w:hAnsi="仿宋" w:eastAsia="仿宋" w:cs="仿宋"/>
          <w:sz w:val="24"/>
          <w:szCs w:val="24"/>
        </w:rPr>
        <w:t>由发包人作为招标人进行暂估价材料、暂估价专业工程招标的，费用承担情况如何？</w:t>
      </w:r>
    </w:p>
    <w:p w14:paraId="1DC5067E">
      <w:pPr>
        <w:keepNext w:val="0"/>
        <w:keepLines w:val="0"/>
        <w:pageBreakBefore w:val="0"/>
        <w:numPr>
          <w:ilvl w:val="0"/>
          <w:numId w:val="2"/>
        </w:numPr>
        <w:kinsoku/>
        <w:wordWrap/>
        <w:overflowPunct/>
        <w:topLinePunct w:val="0"/>
        <w:autoSpaceDE/>
        <w:autoSpaceDN/>
        <w:bidi w:val="0"/>
        <w:adjustRightInd/>
        <w:snapToGrid/>
        <w:spacing w:line="300" w:lineRule="exact"/>
        <w:ind w:left="425" w:leftChars="0" w:hanging="425" w:firstLineChars="0"/>
        <w:textAlignment w:val="auto"/>
        <w:rPr>
          <w:rFonts w:hint="eastAsia" w:ascii="仿宋" w:hAnsi="仿宋" w:eastAsia="仿宋" w:cs="仿宋"/>
          <w:sz w:val="24"/>
          <w:szCs w:val="24"/>
        </w:rPr>
      </w:pPr>
      <w:r>
        <w:rPr>
          <w:rFonts w:hint="eastAsia" w:ascii="仿宋" w:hAnsi="仿宋" w:eastAsia="仿宋" w:cs="仿宋"/>
          <w:sz w:val="24"/>
          <w:szCs w:val="24"/>
        </w:rPr>
        <w:t>招标人核实并修正分部分项工程项目清单后，投标人应如何进行投标报价？</w:t>
      </w:r>
    </w:p>
    <w:p w14:paraId="6E647C8D">
      <w:pPr>
        <w:keepNext w:val="0"/>
        <w:keepLines w:val="0"/>
        <w:pageBreakBefore w:val="0"/>
        <w:numPr>
          <w:ilvl w:val="0"/>
          <w:numId w:val="2"/>
        </w:numPr>
        <w:kinsoku/>
        <w:wordWrap/>
        <w:overflowPunct/>
        <w:topLinePunct w:val="0"/>
        <w:autoSpaceDE/>
        <w:autoSpaceDN/>
        <w:bidi w:val="0"/>
        <w:adjustRightInd/>
        <w:snapToGrid/>
        <w:spacing w:line="300" w:lineRule="exact"/>
        <w:ind w:left="425" w:leftChars="0" w:hanging="425" w:firstLineChars="0"/>
        <w:textAlignment w:val="auto"/>
        <w:rPr>
          <w:rFonts w:hint="eastAsia" w:ascii="仿宋" w:hAnsi="仿宋" w:eastAsia="仿宋" w:cs="仿宋"/>
          <w:sz w:val="24"/>
          <w:szCs w:val="24"/>
        </w:rPr>
      </w:pPr>
      <w:r>
        <w:rPr>
          <w:rFonts w:hint="eastAsia" w:ascii="仿宋" w:hAnsi="仿宋" w:eastAsia="仿宋" w:cs="仿宋"/>
          <w:sz w:val="24"/>
          <w:szCs w:val="24"/>
        </w:rPr>
        <w:t>总价合同的分部分项工程项目清单工程量应如何计算？</w:t>
      </w:r>
    </w:p>
    <w:p w14:paraId="5798834A">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w:t>
      </w:r>
      <w:r>
        <w:rPr>
          <w:rFonts w:hint="eastAsia" w:ascii="仿宋" w:hAnsi="仿宋" w:eastAsia="仿宋" w:cs="仿宋"/>
          <w:b/>
          <w:bCs/>
          <w:sz w:val="24"/>
          <w:szCs w:val="24"/>
          <w:lang w:val="en-US" w:eastAsia="zh-CN"/>
        </w:rPr>
        <w:t>二</w:t>
      </w:r>
      <w:r>
        <w:rPr>
          <w:rFonts w:hint="eastAsia" w:ascii="仿宋" w:hAnsi="仿宋" w:eastAsia="仿宋" w:cs="仿宋"/>
          <w:b/>
          <w:bCs/>
          <w:sz w:val="24"/>
          <w:szCs w:val="24"/>
        </w:rPr>
        <w:t>）招投标造价问题</w:t>
      </w:r>
    </w:p>
    <w:p w14:paraId="0434B338">
      <w:pPr>
        <w:pStyle w:val="9"/>
        <w:keepNext w:val="0"/>
        <w:keepLines w:val="0"/>
        <w:pageBreakBefore w:val="0"/>
        <w:numPr>
          <w:ilvl w:val="0"/>
          <w:numId w:val="3"/>
        </w:numPr>
        <w:kinsoku/>
        <w:wordWrap/>
        <w:overflowPunct/>
        <w:topLinePunct w:val="0"/>
        <w:autoSpaceDE/>
        <w:autoSpaceDN/>
        <w:bidi w:val="0"/>
        <w:adjustRightInd/>
        <w:snapToGrid/>
        <w:spacing w:line="30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招标文件规定，招标人不对限额清单准确性负责，限额清单的工程量为中标人必须完成的基本工程量，且总价包干,中标人承担除按合同约定进行调价外的一切风险，如何处理？</w:t>
      </w:r>
    </w:p>
    <w:p w14:paraId="4739CD60">
      <w:pPr>
        <w:pStyle w:val="9"/>
        <w:keepNext w:val="0"/>
        <w:keepLines w:val="0"/>
        <w:pageBreakBefore w:val="0"/>
        <w:numPr>
          <w:ilvl w:val="0"/>
          <w:numId w:val="3"/>
        </w:numPr>
        <w:kinsoku/>
        <w:wordWrap/>
        <w:overflowPunct/>
        <w:topLinePunct w:val="0"/>
        <w:autoSpaceDE/>
        <w:autoSpaceDN/>
        <w:bidi w:val="0"/>
        <w:adjustRightInd/>
        <w:snapToGrid/>
        <w:spacing w:line="30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招标文件中技术参数要求有误与现场实际情况不符，如何处理？</w:t>
      </w:r>
    </w:p>
    <w:p w14:paraId="6A3DDE32">
      <w:pPr>
        <w:pStyle w:val="9"/>
        <w:keepNext w:val="0"/>
        <w:keepLines w:val="0"/>
        <w:pageBreakBefore w:val="0"/>
        <w:numPr>
          <w:ilvl w:val="0"/>
          <w:numId w:val="3"/>
        </w:numPr>
        <w:kinsoku/>
        <w:wordWrap/>
        <w:overflowPunct/>
        <w:topLinePunct w:val="0"/>
        <w:autoSpaceDE/>
        <w:autoSpaceDN/>
        <w:bidi w:val="0"/>
        <w:adjustRightInd/>
        <w:snapToGrid/>
        <w:spacing w:line="30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招标限价很低，询价市场价高，可否重新组价?</w:t>
      </w:r>
    </w:p>
    <w:p w14:paraId="4BCC3B92">
      <w:pPr>
        <w:pStyle w:val="9"/>
        <w:keepNext w:val="0"/>
        <w:keepLines w:val="0"/>
        <w:pageBreakBefore w:val="0"/>
        <w:numPr>
          <w:ilvl w:val="0"/>
          <w:numId w:val="3"/>
        </w:numPr>
        <w:kinsoku/>
        <w:wordWrap/>
        <w:overflowPunct/>
        <w:topLinePunct w:val="0"/>
        <w:autoSpaceDE/>
        <w:autoSpaceDN/>
        <w:bidi w:val="0"/>
        <w:adjustRightInd/>
        <w:snapToGrid/>
        <w:spacing w:line="30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招标材料无品牌要求，后甲方指定了品牌，如何调整？</w:t>
      </w:r>
    </w:p>
    <w:p w14:paraId="2EFDA9B7">
      <w:pPr>
        <w:pStyle w:val="9"/>
        <w:keepNext w:val="0"/>
        <w:keepLines w:val="0"/>
        <w:pageBreakBefore w:val="0"/>
        <w:numPr>
          <w:ilvl w:val="0"/>
          <w:numId w:val="3"/>
        </w:numPr>
        <w:kinsoku/>
        <w:wordWrap/>
        <w:overflowPunct/>
        <w:topLinePunct w:val="0"/>
        <w:autoSpaceDE/>
        <w:autoSpaceDN/>
        <w:bidi w:val="0"/>
        <w:adjustRightInd/>
        <w:snapToGrid/>
        <w:spacing w:line="30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招标策划有误，调减项目实施内容，如何处理？</w:t>
      </w:r>
    </w:p>
    <w:p w14:paraId="1A1FEAE5">
      <w:pPr>
        <w:pStyle w:val="9"/>
        <w:keepNext w:val="0"/>
        <w:keepLines w:val="0"/>
        <w:pageBreakBefore w:val="0"/>
        <w:numPr>
          <w:ilvl w:val="0"/>
          <w:numId w:val="3"/>
        </w:numPr>
        <w:kinsoku/>
        <w:wordWrap/>
        <w:overflowPunct/>
        <w:topLinePunct w:val="0"/>
        <w:autoSpaceDE/>
        <w:autoSpaceDN/>
        <w:bidi w:val="0"/>
        <w:adjustRightInd/>
        <w:snapToGrid/>
        <w:spacing w:line="30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招标清单按项计取的措施项，能否据实结算？</w:t>
      </w:r>
    </w:p>
    <w:p w14:paraId="2F8BBFE5">
      <w:pPr>
        <w:pStyle w:val="9"/>
        <w:keepNext w:val="0"/>
        <w:keepLines w:val="0"/>
        <w:pageBreakBefore w:val="0"/>
        <w:numPr>
          <w:ilvl w:val="0"/>
          <w:numId w:val="3"/>
        </w:numPr>
        <w:kinsoku/>
        <w:wordWrap/>
        <w:overflowPunct/>
        <w:topLinePunct w:val="0"/>
        <w:autoSpaceDE/>
        <w:autoSpaceDN/>
        <w:bidi w:val="0"/>
        <w:adjustRightInd/>
        <w:snapToGrid/>
        <w:spacing w:line="30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招标清单措施项，无清单量，如何结算？</w:t>
      </w:r>
    </w:p>
    <w:p w14:paraId="3BB1D1D8">
      <w:pPr>
        <w:pStyle w:val="9"/>
        <w:keepNext w:val="0"/>
        <w:keepLines w:val="0"/>
        <w:pageBreakBefore w:val="0"/>
        <w:numPr>
          <w:ilvl w:val="0"/>
          <w:numId w:val="3"/>
        </w:numPr>
        <w:kinsoku/>
        <w:wordWrap/>
        <w:overflowPunct/>
        <w:topLinePunct w:val="0"/>
        <w:autoSpaceDE/>
        <w:autoSpaceDN/>
        <w:bidi w:val="0"/>
        <w:adjustRightInd/>
        <w:snapToGrid/>
        <w:spacing w:line="30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招标清单漏项的专业工程暂估价费用，应该由哪一方来承担?</w:t>
      </w:r>
    </w:p>
    <w:p w14:paraId="59FD5F8E">
      <w:pPr>
        <w:pStyle w:val="9"/>
        <w:keepNext w:val="0"/>
        <w:keepLines w:val="0"/>
        <w:pageBreakBefore w:val="0"/>
        <w:numPr>
          <w:ilvl w:val="0"/>
          <w:numId w:val="3"/>
        </w:numPr>
        <w:kinsoku/>
        <w:wordWrap/>
        <w:overflowPunct/>
        <w:topLinePunct w:val="0"/>
        <w:autoSpaceDE/>
        <w:autoSpaceDN/>
        <w:bidi w:val="0"/>
        <w:adjustRightInd/>
        <w:snapToGrid/>
        <w:spacing w:line="30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招标清单无品牌要求，投标按普通品牌报价，后甲方指定了品牌，如何调差价？</w:t>
      </w:r>
    </w:p>
    <w:p w14:paraId="708B89CD">
      <w:pPr>
        <w:pStyle w:val="9"/>
        <w:keepNext w:val="0"/>
        <w:keepLines w:val="0"/>
        <w:pageBreakBefore w:val="0"/>
        <w:numPr>
          <w:ilvl w:val="0"/>
          <w:numId w:val="3"/>
        </w:numPr>
        <w:kinsoku/>
        <w:wordWrap/>
        <w:overflowPunct/>
        <w:topLinePunct w:val="0"/>
        <w:autoSpaceDE/>
        <w:autoSpaceDN/>
        <w:bidi w:val="0"/>
        <w:adjustRightInd/>
        <w:snapToGrid/>
        <w:spacing w:line="30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材料调价差，调差工程量，如何确定?</w:t>
      </w:r>
    </w:p>
    <w:p w14:paraId="6D6DD62E">
      <w:pPr>
        <w:pStyle w:val="9"/>
        <w:keepNext w:val="0"/>
        <w:keepLines w:val="0"/>
        <w:pageBreakBefore w:val="0"/>
        <w:numPr>
          <w:ilvl w:val="0"/>
          <w:numId w:val="3"/>
        </w:numPr>
        <w:kinsoku/>
        <w:wordWrap/>
        <w:overflowPunct/>
        <w:topLinePunct w:val="0"/>
        <w:autoSpaceDE/>
        <w:autoSpaceDN/>
        <w:bidi w:val="0"/>
        <w:adjustRightInd/>
        <w:snapToGrid/>
        <w:spacing w:line="30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材料调价差的风险范围？材料价差变化幅度的计算方式？调差材料的数量计算方式？价格调整方式？调差税金计取方式？</w:t>
      </w:r>
    </w:p>
    <w:p w14:paraId="49025BFA">
      <w:pPr>
        <w:pStyle w:val="9"/>
        <w:keepNext w:val="0"/>
        <w:keepLines w:val="0"/>
        <w:pageBreakBefore w:val="0"/>
        <w:numPr>
          <w:ilvl w:val="0"/>
          <w:numId w:val="3"/>
        </w:numPr>
        <w:kinsoku/>
        <w:wordWrap/>
        <w:overflowPunct/>
        <w:topLinePunct w:val="0"/>
        <w:autoSpaceDE/>
        <w:autoSpaceDN/>
        <w:bidi w:val="0"/>
        <w:adjustRightInd/>
        <w:snapToGrid/>
        <w:spacing w:line="30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低价中标部分，变更如何组价？</w:t>
      </w:r>
    </w:p>
    <w:p w14:paraId="00896350">
      <w:pPr>
        <w:pStyle w:val="9"/>
        <w:keepNext w:val="0"/>
        <w:keepLines w:val="0"/>
        <w:pageBreakBefore w:val="0"/>
        <w:numPr>
          <w:ilvl w:val="0"/>
          <w:numId w:val="3"/>
        </w:numPr>
        <w:kinsoku/>
        <w:wordWrap/>
        <w:overflowPunct/>
        <w:topLinePunct w:val="0"/>
        <w:autoSpaceDE/>
        <w:autoSpaceDN/>
        <w:bidi w:val="0"/>
        <w:adjustRightInd/>
        <w:snapToGrid/>
        <w:spacing w:line="30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工程量清单存在错项、漏项，如何处理？</w:t>
      </w:r>
    </w:p>
    <w:p w14:paraId="4F2F6C00">
      <w:pPr>
        <w:pStyle w:val="9"/>
        <w:keepNext w:val="0"/>
        <w:keepLines w:val="0"/>
        <w:pageBreakBefore w:val="0"/>
        <w:numPr>
          <w:ilvl w:val="0"/>
          <w:numId w:val="3"/>
        </w:numPr>
        <w:kinsoku/>
        <w:wordWrap/>
        <w:overflowPunct/>
        <w:topLinePunct w:val="0"/>
        <w:autoSpaceDE/>
        <w:autoSpaceDN/>
        <w:bidi w:val="0"/>
        <w:adjustRightInd/>
        <w:snapToGrid/>
        <w:spacing w:line="30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中标后承包人，不能以招标人或招标人委派的监理工程师对其施工组织设计，作出调整性意见，而得到另外的支付，措施费包干使用，不作调整，如何处理？</w:t>
      </w:r>
    </w:p>
    <w:p w14:paraId="67764CD9">
      <w:pPr>
        <w:pStyle w:val="9"/>
        <w:keepNext w:val="0"/>
        <w:keepLines w:val="0"/>
        <w:pageBreakBefore w:val="0"/>
        <w:numPr>
          <w:ilvl w:val="0"/>
          <w:numId w:val="3"/>
        </w:numPr>
        <w:kinsoku/>
        <w:wordWrap/>
        <w:overflowPunct/>
        <w:topLinePunct w:val="0"/>
        <w:autoSpaceDE/>
        <w:autoSpaceDN/>
        <w:bidi w:val="0"/>
        <w:adjustRightInd/>
        <w:snapToGrid/>
        <w:spacing w:line="30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专业暂估价，建设单位要求承包人公开招标，承包人想进行邀请招标，如何处理？</w:t>
      </w:r>
    </w:p>
    <w:p w14:paraId="3CD86A1D">
      <w:pPr>
        <w:pStyle w:val="9"/>
        <w:keepNext w:val="0"/>
        <w:keepLines w:val="0"/>
        <w:pageBreakBefore w:val="0"/>
        <w:numPr>
          <w:ilvl w:val="0"/>
          <w:numId w:val="3"/>
        </w:numPr>
        <w:kinsoku/>
        <w:wordWrap/>
        <w:overflowPunct/>
        <w:topLinePunct w:val="0"/>
        <w:autoSpaceDE/>
        <w:autoSpaceDN/>
        <w:bidi w:val="0"/>
        <w:adjustRightInd/>
        <w:snapToGrid/>
        <w:spacing w:line="30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总包合同约定勘察资料的准确性和完整性由承包人自行复核，风险由承包人承担，如何应对？</w:t>
      </w:r>
    </w:p>
    <w:p w14:paraId="48784BD8">
      <w:pPr>
        <w:pStyle w:val="9"/>
        <w:keepNext w:val="0"/>
        <w:keepLines w:val="0"/>
        <w:pageBreakBefore w:val="0"/>
        <w:numPr>
          <w:ilvl w:val="0"/>
          <w:numId w:val="3"/>
        </w:numPr>
        <w:kinsoku/>
        <w:wordWrap/>
        <w:overflowPunct/>
        <w:topLinePunct w:val="0"/>
        <w:autoSpaceDE/>
        <w:autoSpaceDN/>
        <w:bidi w:val="0"/>
        <w:adjustRightInd/>
        <w:snapToGrid/>
        <w:spacing w:line="30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图纸错误导致的不平衡报价，如何结算？</w:t>
      </w:r>
    </w:p>
    <w:p w14:paraId="4BDBC320">
      <w:pPr>
        <w:pStyle w:val="9"/>
        <w:keepNext w:val="0"/>
        <w:keepLines w:val="0"/>
        <w:pageBreakBefore w:val="0"/>
        <w:numPr>
          <w:ilvl w:val="0"/>
          <w:numId w:val="3"/>
        </w:numPr>
        <w:kinsoku/>
        <w:wordWrap/>
        <w:overflowPunct/>
        <w:topLinePunct w:val="0"/>
        <w:autoSpaceDE/>
        <w:autoSpaceDN/>
        <w:bidi w:val="0"/>
        <w:adjustRightInd/>
        <w:snapToGrid/>
        <w:spacing w:line="30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图纸量少于招标量，如何结算？按总价合同结算还是按实际完成的图纸结算?</w:t>
      </w:r>
    </w:p>
    <w:p w14:paraId="4A1E33EB">
      <w:pPr>
        <w:pStyle w:val="9"/>
        <w:keepNext w:val="0"/>
        <w:keepLines w:val="0"/>
        <w:pageBreakBefore w:val="0"/>
        <w:numPr>
          <w:ilvl w:val="0"/>
          <w:numId w:val="3"/>
        </w:numPr>
        <w:kinsoku/>
        <w:wordWrap/>
        <w:overflowPunct/>
        <w:topLinePunct w:val="0"/>
        <w:autoSpaceDE/>
        <w:autoSpaceDN/>
        <w:bidi w:val="0"/>
        <w:adjustRightInd/>
        <w:snapToGrid/>
        <w:spacing w:line="30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图纸设计变更，场内道路和交通设施费用如何调整？</w:t>
      </w:r>
    </w:p>
    <w:p w14:paraId="4FEBD9C0">
      <w:pPr>
        <w:pStyle w:val="9"/>
        <w:keepNext w:val="0"/>
        <w:keepLines w:val="0"/>
        <w:pageBreakBefore w:val="0"/>
        <w:numPr>
          <w:ilvl w:val="0"/>
          <w:numId w:val="3"/>
        </w:numPr>
        <w:kinsoku/>
        <w:wordWrap/>
        <w:overflowPunct/>
        <w:topLinePunct w:val="0"/>
        <w:autoSpaceDE/>
        <w:autoSpaceDN/>
        <w:bidi w:val="0"/>
        <w:adjustRightInd/>
        <w:snapToGrid/>
        <w:spacing w:line="30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图纸设计深度不够，在合同没有约定的情况下，新增的措施费应该按实计算还是按投标费率计取?</w:t>
      </w:r>
    </w:p>
    <w:p w14:paraId="33058573">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w:t>
      </w:r>
      <w:r>
        <w:rPr>
          <w:rFonts w:hint="eastAsia" w:ascii="仿宋" w:hAnsi="仿宋" w:eastAsia="仿宋" w:cs="仿宋"/>
          <w:b/>
          <w:bCs/>
          <w:sz w:val="24"/>
          <w:szCs w:val="24"/>
          <w:lang w:val="en-US" w:eastAsia="zh-CN"/>
        </w:rPr>
        <w:t>三</w:t>
      </w:r>
      <w:r>
        <w:rPr>
          <w:rFonts w:hint="eastAsia" w:ascii="仿宋" w:hAnsi="仿宋" w:eastAsia="仿宋" w:cs="仿宋"/>
          <w:b/>
          <w:bCs/>
          <w:sz w:val="24"/>
          <w:szCs w:val="24"/>
        </w:rPr>
        <w:t>）合同签订造价问题</w:t>
      </w:r>
    </w:p>
    <w:p w14:paraId="216F790B">
      <w:pPr>
        <w:pStyle w:val="9"/>
        <w:keepNext w:val="0"/>
        <w:keepLines w:val="0"/>
        <w:pageBreakBefore w:val="0"/>
        <w:numPr>
          <w:ilvl w:val="0"/>
          <w:numId w:val="4"/>
        </w:numPr>
        <w:kinsoku/>
        <w:wordWrap/>
        <w:overflowPunct/>
        <w:topLinePunct w:val="0"/>
        <w:autoSpaceDE/>
        <w:autoSpaceDN/>
        <w:bidi w:val="0"/>
        <w:adjustRightInd/>
        <w:snapToGrid/>
        <w:spacing w:line="30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要求投标人经现场踏勘后，自行考虑的费用，如何处理？</w:t>
      </w:r>
    </w:p>
    <w:p w14:paraId="3DEA4E54">
      <w:pPr>
        <w:pStyle w:val="9"/>
        <w:keepNext w:val="0"/>
        <w:keepLines w:val="0"/>
        <w:pageBreakBefore w:val="0"/>
        <w:numPr>
          <w:ilvl w:val="0"/>
          <w:numId w:val="4"/>
        </w:numPr>
        <w:kinsoku/>
        <w:wordWrap/>
        <w:overflowPunct/>
        <w:topLinePunct w:val="0"/>
        <w:autoSpaceDE/>
        <w:autoSpaceDN/>
        <w:bidi w:val="0"/>
        <w:adjustRightInd/>
        <w:snapToGrid/>
        <w:spacing w:line="30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隐蔽验收资料与施工图不一致，能否据实调整？</w:t>
      </w:r>
    </w:p>
    <w:p w14:paraId="2F34EEA3">
      <w:pPr>
        <w:pStyle w:val="9"/>
        <w:keepNext w:val="0"/>
        <w:keepLines w:val="0"/>
        <w:pageBreakBefore w:val="0"/>
        <w:numPr>
          <w:ilvl w:val="0"/>
          <w:numId w:val="4"/>
        </w:numPr>
        <w:kinsoku/>
        <w:wordWrap/>
        <w:overflowPunct/>
        <w:topLinePunct w:val="0"/>
        <w:autoSpaceDE/>
        <w:autoSpaceDN/>
        <w:bidi w:val="0"/>
        <w:adjustRightInd/>
        <w:snapToGrid/>
        <w:spacing w:line="30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暂估价材料分多次招标，不同次招标的中标价格差别很大，如何处理?</w:t>
      </w:r>
    </w:p>
    <w:p w14:paraId="329D4454">
      <w:pPr>
        <w:pStyle w:val="9"/>
        <w:keepNext w:val="0"/>
        <w:keepLines w:val="0"/>
        <w:pageBreakBefore w:val="0"/>
        <w:numPr>
          <w:ilvl w:val="0"/>
          <w:numId w:val="4"/>
        </w:numPr>
        <w:kinsoku/>
        <w:wordWrap/>
        <w:overflowPunct/>
        <w:topLinePunct w:val="0"/>
        <w:autoSpaceDE/>
        <w:autoSpaceDN/>
        <w:bidi w:val="0"/>
        <w:adjustRightInd/>
        <w:snapToGrid/>
        <w:spacing w:line="30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增建工程尚未签订合同，双方口头约定计价依据暂参照原合同，如何处理？</w:t>
      </w:r>
    </w:p>
    <w:p w14:paraId="2A405474">
      <w:pPr>
        <w:pStyle w:val="9"/>
        <w:keepNext w:val="0"/>
        <w:keepLines w:val="0"/>
        <w:pageBreakBefore w:val="0"/>
        <w:numPr>
          <w:ilvl w:val="0"/>
          <w:numId w:val="4"/>
        </w:numPr>
        <w:kinsoku/>
        <w:wordWrap/>
        <w:overflowPunct/>
        <w:topLinePunct w:val="0"/>
        <w:autoSpaceDE/>
        <w:autoSpaceDN/>
        <w:bidi w:val="0"/>
        <w:adjustRightInd/>
        <w:snapToGrid/>
        <w:spacing w:line="30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总承包服务费未发生，预算包干费，按合同建筑面积计取是否可行？</w:t>
      </w:r>
    </w:p>
    <w:p w14:paraId="398F19C6">
      <w:pPr>
        <w:pStyle w:val="9"/>
        <w:keepNext w:val="0"/>
        <w:keepLines w:val="0"/>
        <w:pageBreakBefore w:val="0"/>
        <w:numPr>
          <w:ilvl w:val="0"/>
          <w:numId w:val="4"/>
        </w:numPr>
        <w:kinsoku/>
        <w:wordWrap/>
        <w:overflowPunct/>
        <w:topLinePunct w:val="0"/>
        <w:autoSpaceDE/>
        <w:autoSpaceDN/>
        <w:bidi w:val="0"/>
        <w:adjustRightInd/>
        <w:snapToGrid/>
        <w:spacing w:line="30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总价合同要考虑总价对应的范围，如何索赔？</w:t>
      </w:r>
    </w:p>
    <w:p w14:paraId="41D3E522">
      <w:pPr>
        <w:pStyle w:val="9"/>
        <w:keepNext w:val="0"/>
        <w:keepLines w:val="0"/>
        <w:pageBreakBefore w:val="0"/>
        <w:numPr>
          <w:ilvl w:val="0"/>
          <w:numId w:val="4"/>
        </w:numPr>
        <w:kinsoku/>
        <w:wordWrap/>
        <w:overflowPunct/>
        <w:topLinePunct w:val="0"/>
        <w:autoSpaceDE/>
        <w:autoSpaceDN/>
        <w:bidi w:val="0"/>
        <w:adjustRightInd/>
        <w:snapToGrid/>
        <w:spacing w:line="30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对于管理费用的索赔，承包人应提供什么依据做费用核定的支撑?</w:t>
      </w:r>
    </w:p>
    <w:p w14:paraId="444326A6">
      <w:pPr>
        <w:pStyle w:val="9"/>
        <w:keepNext w:val="0"/>
        <w:keepLines w:val="0"/>
        <w:pageBreakBefore w:val="0"/>
        <w:numPr>
          <w:ilvl w:val="0"/>
          <w:numId w:val="4"/>
        </w:numPr>
        <w:kinsoku/>
        <w:wordWrap/>
        <w:overflowPunct/>
        <w:topLinePunct w:val="0"/>
        <w:autoSpaceDE/>
        <w:autoSpaceDN/>
        <w:bidi w:val="0"/>
        <w:adjustRightInd/>
        <w:snapToGrid/>
        <w:spacing w:line="30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对于价款增加部分工程，应如何处理才不违规?</w:t>
      </w:r>
    </w:p>
    <w:p w14:paraId="4C9A68E6">
      <w:pPr>
        <w:pStyle w:val="9"/>
        <w:keepNext w:val="0"/>
        <w:keepLines w:val="0"/>
        <w:pageBreakBefore w:val="0"/>
        <w:numPr>
          <w:ilvl w:val="0"/>
          <w:numId w:val="4"/>
        </w:numPr>
        <w:kinsoku/>
        <w:wordWrap/>
        <w:overflowPunct/>
        <w:topLinePunct w:val="0"/>
        <w:autoSpaceDE/>
        <w:autoSpaceDN/>
        <w:bidi w:val="0"/>
        <w:adjustRightInd/>
        <w:snapToGrid/>
        <w:spacing w:line="30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二次深化设计费用，如何处理？</w:t>
      </w:r>
    </w:p>
    <w:p w14:paraId="341800A4">
      <w:pPr>
        <w:pStyle w:val="9"/>
        <w:keepNext w:val="0"/>
        <w:keepLines w:val="0"/>
        <w:pageBreakBefore w:val="0"/>
        <w:numPr>
          <w:ilvl w:val="0"/>
          <w:numId w:val="4"/>
        </w:numPr>
        <w:kinsoku/>
        <w:wordWrap/>
        <w:overflowPunct/>
        <w:topLinePunct w:val="0"/>
        <w:autoSpaceDE/>
        <w:autoSpaceDN/>
        <w:bidi w:val="0"/>
        <w:adjustRightInd/>
        <w:snapToGrid/>
        <w:spacing w:line="30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风险范围是否包括设计变更？</w:t>
      </w:r>
    </w:p>
    <w:p w14:paraId="0AE73AF2">
      <w:pPr>
        <w:pStyle w:val="9"/>
        <w:keepNext w:val="0"/>
        <w:keepLines w:val="0"/>
        <w:pageBreakBefore w:val="0"/>
        <w:numPr>
          <w:ilvl w:val="0"/>
          <w:numId w:val="4"/>
        </w:numPr>
        <w:kinsoku/>
        <w:wordWrap/>
        <w:overflowPunct/>
        <w:topLinePunct w:val="0"/>
        <w:autoSpaceDE/>
        <w:autoSpaceDN/>
        <w:bidi w:val="0"/>
        <w:adjustRightInd/>
        <w:snapToGrid/>
        <w:spacing w:line="30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钢板桩租赁、摊销如何考虑?</w:t>
      </w:r>
    </w:p>
    <w:p w14:paraId="1CDDCBE3">
      <w:pPr>
        <w:pStyle w:val="9"/>
        <w:keepNext w:val="0"/>
        <w:keepLines w:val="0"/>
        <w:pageBreakBefore w:val="0"/>
        <w:numPr>
          <w:ilvl w:val="0"/>
          <w:numId w:val="4"/>
        </w:numPr>
        <w:kinsoku/>
        <w:wordWrap/>
        <w:overflowPunct/>
        <w:topLinePunct w:val="0"/>
        <w:autoSpaceDE/>
        <w:autoSpaceDN/>
        <w:bidi w:val="0"/>
        <w:adjustRightInd/>
        <w:snapToGrid/>
        <w:spacing w:line="30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工程未完工，脚手架、垂运费、安全文明施工费，如何计取？</w:t>
      </w:r>
    </w:p>
    <w:p w14:paraId="1950D792">
      <w:pPr>
        <w:pStyle w:val="9"/>
        <w:keepNext w:val="0"/>
        <w:keepLines w:val="0"/>
        <w:pageBreakBefore w:val="0"/>
        <w:numPr>
          <w:ilvl w:val="0"/>
          <w:numId w:val="4"/>
        </w:numPr>
        <w:kinsoku/>
        <w:wordWrap/>
        <w:overflowPunct/>
        <w:topLinePunct w:val="0"/>
        <w:autoSpaceDE/>
        <w:autoSpaceDN/>
        <w:bidi w:val="0"/>
        <w:adjustRightInd/>
        <w:snapToGrid/>
        <w:spacing w:line="30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经专家认证的高支模方案增加的费用是否可以按实计取?</w:t>
      </w:r>
    </w:p>
    <w:p w14:paraId="6D445EAA">
      <w:pPr>
        <w:pStyle w:val="9"/>
        <w:keepNext w:val="0"/>
        <w:keepLines w:val="0"/>
        <w:pageBreakBefore w:val="0"/>
        <w:numPr>
          <w:ilvl w:val="0"/>
          <w:numId w:val="4"/>
        </w:numPr>
        <w:kinsoku/>
        <w:wordWrap/>
        <w:overflowPunct/>
        <w:topLinePunct w:val="0"/>
        <w:autoSpaceDE/>
        <w:autoSpaceDN/>
        <w:bidi w:val="0"/>
        <w:adjustRightInd/>
        <w:snapToGrid/>
        <w:spacing w:line="30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如何认定变更方案不合理或过度变更？</w:t>
      </w:r>
    </w:p>
    <w:p w14:paraId="15074CB1">
      <w:pPr>
        <w:pStyle w:val="9"/>
        <w:keepNext w:val="0"/>
        <w:keepLines w:val="0"/>
        <w:pageBreakBefore w:val="0"/>
        <w:numPr>
          <w:ilvl w:val="0"/>
          <w:numId w:val="4"/>
        </w:numPr>
        <w:kinsoku/>
        <w:wordWrap/>
        <w:overflowPunct/>
        <w:topLinePunct w:val="0"/>
        <w:autoSpaceDE/>
        <w:autoSpaceDN/>
        <w:bidi w:val="0"/>
        <w:adjustRightInd/>
        <w:snapToGrid/>
        <w:spacing w:line="30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材料价格严重偏高，现场管理费严重偏高，如何处理？</w:t>
      </w:r>
    </w:p>
    <w:p w14:paraId="1C93F174">
      <w:pPr>
        <w:pStyle w:val="9"/>
        <w:keepNext w:val="0"/>
        <w:keepLines w:val="0"/>
        <w:pageBreakBefore w:val="0"/>
        <w:numPr>
          <w:ilvl w:val="0"/>
          <w:numId w:val="4"/>
        </w:numPr>
        <w:kinsoku/>
        <w:wordWrap/>
        <w:overflowPunct/>
        <w:topLinePunct w:val="0"/>
        <w:autoSpaceDE/>
        <w:autoSpaceDN/>
        <w:bidi w:val="0"/>
        <w:adjustRightInd/>
        <w:snapToGrid/>
        <w:spacing w:line="30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措施费的计量单位为项，能否据实结算?</w:t>
      </w:r>
    </w:p>
    <w:p w14:paraId="7592782D">
      <w:pPr>
        <w:pStyle w:val="9"/>
        <w:keepNext w:val="0"/>
        <w:keepLines w:val="0"/>
        <w:pageBreakBefore w:val="0"/>
        <w:numPr>
          <w:ilvl w:val="0"/>
          <w:numId w:val="4"/>
        </w:numPr>
        <w:kinsoku/>
        <w:wordWrap/>
        <w:overflowPunct/>
        <w:topLinePunct w:val="0"/>
        <w:autoSpaceDE/>
        <w:autoSpaceDN/>
        <w:bidi w:val="0"/>
        <w:adjustRightInd/>
        <w:snapToGrid/>
        <w:spacing w:line="30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单方提出因工程质量问题，扣减工程量的做法是否合理？</w:t>
      </w:r>
    </w:p>
    <w:p w14:paraId="4DABBEB9">
      <w:pPr>
        <w:pStyle w:val="9"/>
        <w:keepNext w:val="0"/>
        <w:keepLines w:val="0"/>
        <w:pageBreakBefore w:val="0"/>
        <w:numPr>
          <w:ilvl w:val="0"/>
          <w:numId w:val="4"/>
        </w:numPr>
        <w:kinsoku/>
        <w:wordWrap/>
        <w:overflowPunct/>
        <w:topLinePunct w:val="0"/>
        <w:autoSpaceDE/>
        <w:autoSpaceDN/>
        <w:bidi w:val="0"/>
        <w:adjustRightInd/>
        <w:snapToGrid/>
        <w:spacing w:line="30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单价合同，按项包干的措施费如何调整？</w:t>
      </w:r>
    </w:p>
    <w:p w14:paraId="5F695266">
      <w:pPr>
        <w:pStyle w:val="9"/>
        <w:keepNext w:val="0"/>
        <w:keepLines w:val="0"/>
        <w:pageBreakBefore w:val="0"/>
        <w:numPr>
          <w:ilvl w:val="0"/>
          <w:numId w:val="4"/>
        </w:numPr>
        <w:kinsoku/>
        <w:wordWrap/>
        <w:overflowPunct/>
        <w:topLinePunct w:val="0"/>
        <w:autoSpaceDE/>
        <w:autoSpaceDN/>
        <w:bidi w:val="0"/>
        <w:adjustRightInd/>
        <w:snapToGrid/>
        <w:spacing w:line="30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单价项目按总价处理，是否属于清单计价方式的错误，能否据实调整？</w:t>
      </w:r>
    </w:p>
    <w:p w14:paraId="7D9A4461">
      <w:pPr>
        <w:pStyle w:val="9"/>
        <w:keepNext w:val="0"/>
        <w:keepLines w:val="0"/>
        <w:pageBreakBefore w:val="0"/>
        <w:numPr>
          <w:ilvl w:val="0"/>
          <w:numId w:val="4"/>
        </w:numPr>
        <w:kinsoku/>
        <w:wordWrap/>
        <w:overflowPunct/>
        <w:topLinePunct w:val="0"/>
        <w:autoSpaceDE/>
        <w:autoSpaceDN/>
        <w:bidi w:val="0"/>
        <w:adjustRightInd/>
        <w:snapToGrid/>
        <w:spacing w:line="30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地勘报告出现错误时，清单项目特征如何调整？</w:t>
      </w:r>
    </w:p>
    <w:p w14:paraId="7BDB8F3B">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w:t>
      </w:r>
      <w:r>
        <w:rPr>
          <w:rFonts w:hint="eastAsia" w:ascii="仿宋" w:hAnsi="仿宋" w:eastAsia="仿宋" w:cs="仿宋"/>
          <w:b/>
          <w:bCs/>
          <w:sz w:val="24"/>
          <w:szCs w:val="24"/>
          <w:lang w:val="en-US" w:eastAsia="zh-CN"/>
        </w:rPr>
        <w:t>四</w:t>
      </w:r>
      <w:r>
        <w:rPr>
          <w:rFonts w:hint="eastAsia" w:ascii="仿宋" w:hAnsi="仿宋" w:eastAsia="仿宋" w:cs="仿宋"/>
          <w:b/>
          <w:bCs/>
          <w:sz w:val="24"/>
          <w:szCs w:val="24"/>
        </w:rPr>
        <w:t>）履约造价问题</w:t>
      </w:r>
    </w:p>
    <w:p w14:paraId="501D5E4A">
      <w:pPr>
        <w:pStyle w:val="9"/>
        <w:keepNext w:val="0"/>
        <w:keepLines w:val="0"/>
        <w:pageBreakBefore w:val="0"/>
        <w:numPr>
          <w:ilvl w:val="0"/>
          <w:numId w:val="5"/>
        </w:numPr>
        <w:kinsoku/>
        <w:wordWrap/>
        <w:overflowPunct/>
        <w:topLinePunct w:val="0"/>
        <w:autoSpaceDE/>
        <w:autoSpaceDN/>
        <w:bidi w:val="0"/>
        <w:adjustRightInd/>
        <w:snapToGrid/>
        <w:spacing w:line="30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固定总价合同，后补充协议该为暂定价，金额与固定总价合同一致，结算审核能否全部按可调单价？</w:t>
      </w:r>
    </w:p>
    <w:p w14:paraId="160A7812">
      <w:pPr>
        <w:pStyle w:val="9"/>
        <w:keepNext w:val="0"/>
        <w:keepLines w:val="0"/>
        <w:pageBreakBefore w:val="0"/>
        <w:numPr>
          <w:ilvl w:val="0"/>
          <w:numId w:val="5"/>
        </w:numPr>
        <w:kinsoku/>
        <w:wordWrap/>
        <w:overflowPunct/>
        <w:topLinePunct w:val="0"/>
        <w:autoSpaceDE/>
        <w:autoSpaceDN/>
        <w:bidi w:val="0"/>
        <w:adjustRightInd/>
        <w:snapToGrid/>
        <w:spacing w:line="30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固定总价合同，没有完成，如何结算？</w:t>
      </w:r>
    </w:p>
    <w:p w14:paraId="7AE0E4E3">
      <w:pPr>
        <w:pStyle w:val="9"/>
        <w:keepNext w:val="0"/>
        <w:keepLines w:val="0"/>
        <w:pageBreakBefore w:val="0"/>
        <w:numPr>
          <w:ilvl w:val="0"/>
          <w:numId w:val="5"/>
        </w:numPr>
        <w:kinsoku/>
        <w:wordWrap/>
        <w:overflowPunct/>
        <w:topLinePunct w:val="0"/>
        <w:autoSpaceDE/>
        <w:autoSpaceDN/>
        <w:bidi w:val="0"/>
        <w:adjustRightInd/>
        <w:snapToGrid/>
        <w:spacing w:line="30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合价包干的加固费，能否按实结算？</w:t>
      </w:r>
    </w:p>
    <w:p w14:paraId="02F495F9">
      <w:pPr>
        <w:pStyle w:val="9"/>
        <w:keepNext w:val="0"/>
        <w:keepLines w:val="0"/>
        <w:pageBreakBefore w:val="0"/>
        <w:numPr>
          <w:ilvl w:val="0"/>
          <w:numId w:val="5"/>
        </w:numPr>
        <w:kinsoku/>
        <w:wordWrap/>
        <w:overflowPunct/>
        <w:topLinePunct w:val="0"/>
        <w:autoSpaceDE/>
        <w:autoSpaceDN/>
        <w:bidi w:val="0"/>
        <w:adjustRightInd/>
        <w:snapToGrid/>
        <w:spacing w:line="30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合同范围内，措施项目漏项，报价能否自行增加？</w:t>
      </w:r>
    </w:p>
    <w:p w14:paraId="328F4310">
      <w:pPr>
        <w:pStyle w:val="9"/>
        <w:keepNext w:val="0"/>
        <w:keepLines w:val="0"/>
        <w:pageBreakBefore w:val="0"/>
        <w:numPr>
          <w:ilvl w:val="0"/>
          <w:numId w:val="5"/>
        </w:numPr>
        <w:kinsoku/>
        <w:wordWrap/>
        <w:overflowPunct/>
        <w:topLinePunct w:val="0"/>
        <w:autoSpaceDE/>
        <w:autoSpaceDN/>
        <w:bidi w:val="0"/>
        <w:adjustRightInd/>
        <w:snapToGrid/>
        <w:spacing w:line="30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合同解除，塔吊退场、劳务退场、分包退场、材料设备采购合同解约等，怎么处理?定制加工，但尚未交货的材料和钢结构，如何处理？</w:t>
      </w:r>
    </w:p>
    <w:p w14:paraId="5C768309">
      <w:pPr>
        <w:pStyle w:val="9"/>
        <w:keepNext w:val="0"/>
        <w:keepLines w:val="0"/>
        <w:pageBreakBefore w:val="0"/>
        <w:numPr>
          <w:ilvl w:val="0"/>
          <w:numId w:val="5"/>
        </w:numPr>
        <w:kinsoku/>
        <w:wordWrap/>
        <w:overflowPunct/>
        <w:topLinePunct w:val="0"/>
        <w:autoSpaceDE/>
        <w:autoSpaceDN/>
        <w:bidi w:val="0"/>
        <w:adjustRightInd/>
        <w:snapToGrid/>
        <w:spacing w:line="30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合同清单包干的措施费，没有发生，如何处理？</w:t>
      </w:r>
    </w:p>
    <w:p w14:paraId="1FB95837">
      <w:pPr>
        <w:pStyle w:val="9"/>
        <w:keepNext w:val="0"/>
        <w:keepLines w:val="0"/>
        <w:pageBreakBefore w:val="0"/>
        <w:numPr>
          <w:ilvl w:val="0"/>
          <w:numId w:val="5"/>
        </w:numPr>
        <w:kinsoku/>
        <w:wordWrap/>
        <w:overflowPunct/>
        <w:topLinePunct w:val="0"/>
        <w:autoSpaceDE/>
        <w:autoSpaceDN/>
        <w:bidi w:val="0"/>
        <w:adjustRightInd/>
        <w:snapToGrid/>
        <w:spacing w:line="30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合同约定设计变更，措施费均不调整，如何结算？</w:t>
      </w:r>
    </w:p>
    <w:p w14:paraId="539A8CF3">
      <w:pPr>
        <w:pStyle w:val="9"/>
        <w:keepNext w:val="0"/>
        <w:keepLines w:val="0"/>
        <w:pageBreakBefore w:val="0"/>
        <w:numPr>
          <w:ilvl w:val="0"/>
          <w:numId w:val="5"/>
        </w:numPr>
        <w:kinsoku/>
        <w:wordWrap/>
        <w:overflowPunct/>
        <w:topLinePunct w:val="0"/>
        <w:autoSpaceDE/>
        <w:autoSpaceDN/>
        <w:bidi w:val="0"/>
        <w:adjustRightInd/>
        <w:snapToGrid/>
        <w:spacing w:line="30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合同约定总价包干，没有招标清单，如何应对？</w:t>
      </w:r>
    </w:p>
    <w:p w14:paraId="307D4CFE">
      <w:pPr>
        <w:pStyle w:val="9"/>
        <w:keepNext w:val="0"/>
        <w:keepLines w:val="0"/>
        <w:pageBreakBefore w:val="0"/>
        <w:numPr>
          <w:ilvl w:val="0"/>
          <w:numId w:val="5"/>
        </w:numPr>
        <w:kinsoku/>
        <w:wordWrap/>
        <w:overflowPunct/>
        <w:topLinePunct w:val="0"/>
        <w:autoSpaceDE/>
        <w:autoSpaceDN/>
        <w:bidi w:val="0"/>
        <w:adjustRightInd/>
        <w:snapToGrid/>
        <w:spacing w:line="30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红线外内容，如何结算？</w:t>
      </w:r>
    </w:p>
    <w:p w14:paraId="7389F0B1">
      <w:pPr>
        <w:pStyle w:val="9"/>
        <w:keepNext w:val="0"/>
        <w:keepLines w:val="0"/>
        <w:pageBreakBefore w:val="0"/>
        <w:numPr>
          <w:ilvl w:val="0"/>
          <w:numId w:val="5"/>
        </w:numPr>
        <w:kinsoku/>
        <w:wordWrap/>
        <w:overflowPunct/>
        <w:topLinePunct w:val="0"/>
        <w:autoSpaceDE/>
        <w:autoSpaceDN/>
        <w:bidi w:val="0"/>
        <w:adjustRightInd/>
        <w:snapToGrid/>
        <w:spacing w:line="30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甲方供材，结算税前扣除还是税后扣除？</w:t>
      </w:r>
    </w:p>
    <w:p w14:paraId="54DA516D">
      <w:pPr>
        <w:pStyle w:val="9"/>
        <w:keepNext w:val="0"/>
        <w:keepLines w:val="0"/>
        <w:pageBreakBefore w:val="0"/>
        <w:numPr>
          <w:ilvl w:val="0"/>
          <w:numId w:val="5"/>
        </w:numPr>
        <w:kinsoku/>
        <w:wordWrap/>
        <w:overflowPunct/>
        <w:topLinePunct w:val="0"/>
        <w:autoSpaceDE/>
        <w:autoSpaceDN/>
        <w:bidi w:val="0"/>
        <w:adjustRightInd/>
        <w:snapToGrid/>
        <w:spacing w:line="30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甲方原因停工，乙方能获得什么赔偿？临建措施索赔依据？</w:t>
      </w:r>
    </w:p>
    <w:p w14:paraId="5BB155FD">
      <w:pPr>
        <w:pStyle w:val="9"/>
        <w:keepNext w:val="0"/>
        <w:keepLines w:val="0"/>
        <w:pageBreakBefore w:val="0"/>
        <w:numPr>
          <w:ilvl w:val="0"/>
          <w:numId w:val="5"/>
        </w:numPr>
        <w:kinsoku/>
        <w:wordWrap/>
        <w:overflowPunct/>
        <w:topLinePunct w:val="0"/>
        <w:autoSpaceDE/>
        <w:autoSpaceDN/>
        <w:bidi w:val="0"/>
        <w:adjustRightInd/>
        <w:snapToGrid/>
        <w:spacing w:line="30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甲供材结算，投标报价的辅助材料费能否扣减？</w:t>
      </w:r>
    </w:p>
    <w:p w14:paraId="3E3022E7">
      <w:pPr>
        <w:pStyle w:val="9"/>
        <w:keepNext w:val="0"/>
        <w:keepLines w:val="0"/>
        <w:pageBreakBefore w:val="0"/>
        <w:numPr>
          <w:ilvl w:val="0"/>
          <w:numId w:val="5"/>
        </w:numPr>
        <w:kinsoku/>
        <w:wordWrap/>
        <w:overflowPunct/>
        <w:topLinePunct w:val="0"/>
        <w:autoSpaceDE/>
        <w:autoSpaceDN/>
        <w:bidi w:val="0"/>
        <w:adjustRightInd/>
        <w:snapToGrid/>
        <w:spacing w:line="30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甲供材扣除，是否算损耗量？</w:t>
      </w:r>
    </w:p>
    <w:p w14:paraId="561F8D35">
      <w:pPr>
        <w:pStyle w:val="9"/>
        <w:keepNext w:val="0"/>
        <w:keepLines w:val="0"/>
        <w:pageBreakBefore w:val="0"/>
        <w:numPr>
          <w:ilvl w:val="0"/>
          <w:numId w:val="5"/>
        </w:numPr>
        <w:kinsoku/>
        <w:wordWrap/>
        <w:overflowPunct/>
        <w:topLinePunct w:val="0"/>
        <w:autoSpaceDE/>
        <w:autoSpaceDN/>
        <w:bidi w:val="0"/>
        <w:adjustRightInd/>
        <w:snapToGrid/>
        <w:spacing w:line="30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按项包干的措施费，能否按实调整？</w:t>
      </w:r>
    </w:p>
    <w:p w14:paraId="3D800D0B">
      <w:pPr>
        <w:pStyle w:val="9"/>
        <w:keepNext w:val="0"/>
        <w:keepLines w:val="0"/>
        <w:pageBreakBefore w:val="0"/>
        <w:numPr>
          <w:ilvl w:val="0"/>
          <w:numId w:val="5"/>
        </w:numPr>
        <w:kinsoku/>
        <w:wordWrap/>
        <w:overflowPunct/>
        <w:topLinePunct w:val="0"/>
        <w:autoSpaceDE/>
        <w:autoSpaceDN/>
        <w:bidi w:val="0"/>
        <w:adjustRightInd/>
        <w:snapToGrid/>
        <w:spacing w:line="30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变更单价如何确定？是否受13清单规范之15%约束？</w:t>
      </w:r>
    </w:p>
    <w:p w14:paraId="0BC6CEA3">
      <w:pPr>
        <w:pStyle w:val="9"/>
        <w:keepNext w:val="0"/>
        <w:keepLines w:val="0"/>
        <w:pageBreakBefore w:val="0"/>
        <w:numPr>
          <w:ilvl w:val="0"/>
          <w:numId w:val="5"/>
        </w:numPr>
        <w:kinsoku/>
        <w:wordWrap/>
        <w:overflowPunct/>
        <w:topLinePunct w:val="0"/>
        <w:autoSpaceDE/>
        <w:autoSpaceDN/>
        <w:bidi w:val="0"/>
        <w:adjustRightInd/>
        <w:snapToGrid/>
        <w:spacing w:line="30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标书购买、制作费、施工准备费、投标保证金、项目可预期的利润，如何索赔？</w:t>
      </w:r>
    </w:p>
    <w:p w14:paraId="17680414">
      <w:pPr>
        <w:pStyle w:val="9"/>
        <w:keepNext w:val="0"/>
        <w:keepLines w:val="0"/>
        <w:pageBreakBefore w:val="0"/>
        <w:numPr>
          <w:ilvl w:val="0"/>
          <w:numId w:val="5"/>
        </w:numPr>
        <w:kinsoku/>
        <w:wordWrap/>
        <w:overflowPunct/>
        <w:topLinePunct w:val="0"/>
        <w:autoSpaceDE/>
        <w:autoSpaceDN/>
        <w:bidi w:val="0"/>
        <w:adjustRightInd/>
        <w:snapToGrid/>
        <w:spacing w:line="30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不对分包单位进行退场处理，不重新招标的情况下，建设单位在不违反主合同，材料价差如何调整？</w:t>
      </w:r>
    </w:p>
    <w:p w14:paraId="534AD64F">
      <w:pPr>
        <w:pStyle w:val="9"/>
        <w:keepNext w:val="0"/>
        <w:keepLines w:val="0"/>
        <w:pageBreakBefore w:val="0"/>
        <w:numPr>
          <w:ilvl w:val="0"/>
          <w:numId w:val="5"/>
        </w:numPr>
        <w:kinsoku/>
        <w:wordWrap/>
        <w:overflowPunct/>
        <w:topLinePunct w:val="0"/>
        <w:autoSpaceDE/>
        <w:autoSpaceDN/>
        <w:bidi w:val="0"/>
        <w:adjustRightInd/>
        <w:snapToGrid/>
        <w:spacing w:line="30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不可抗力事件，如何补偿?</w:t>
      </w:r>
    </w:p>
    <w:p w14:paraId="359DDC66">
      <w:pPr>
        <w:pStyle w:val="9"/>
        <w:keepNext w:val="0"/>
        <w:keepLines w:val="0"/>
        <w:pageBreakBefore w:val="0"/>
        <w:numPr>
          <w:ilvl w:val="0"/>
          <w:numId w:val="5"/>
        </w:numPr>
        <w:kinsoku/>
        <w:wordWrap/>
        <w:overflowPunct/>
        <w:topLinePunct w:val="0"/>
        <w:autoSpaceDE/>
        <w:autoSpaceDN/>
        <w:bidi w:val="0"/>
        <w:adjustRightInd/>
        <w:snapToGrid/>
        <w:spacing w:line="30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不可预见的相关费用和风险，能否包干？</w:t>
      </w:r>
    </w:p>
    <w:p w14:paraId="59254BEB">
      <w:pPr>
        <w:pStyle w:val="9"/>
        <w:keepNext w:val="0"/>
        <w:keepLines w:val="0"/>
        <w:pageBreakBefore w:val="0"/>
        <w:numPr>
          <w:ilvl w:val="0"/>
          <w:numId w:val="5"/>
        </w:numPr>
        <w:kinsoku/>
        <w:wordWrap/>
        <w:overflowPunct/>
        <w:topLinePunct w:val="0"/>
        <w:autoSpaceDE/>
        <w:autoSpaceDN/>
        <w:bidi w:val="0"/>
        <w:adjustRightInd/>
        <w:snapToGrid/>
        <w:spacing w:line="30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工程造价中已计取综合费，能否再按照签证和施工现场情况计取临时道路费用？</w:t>
      </w:r>
    </w:p>
    <w:p w14:paraId="5EBA1B00">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w:t>
      </w:r>
      <w:r>
        <w:rPr>
          <w:rFonts w:hint="eastAsia" w:ascii="仿宋" w:hAnsi="仿宋" w:eastAsia="仿宋" w:cs="仿宋"/>
          <w:b/>
          <w:bCs/>
          <w:sz w:val="24"/>
          <w:szCs w:val="24"/>
          <w:lang w:val="en-US" w:eastAsia="zh-CN"/>
        </w:rPr>
        <w:t>五</w:t>
      </w:r>
      <w:r>
        <w:rPr>
          <w:rFonts w:hint="eastAsia" w:ascii="仿宋" w:hAnsi="仿宋" w:eastAsia="仿宋" w:cs="仿宋"/>
          <w:b/>
          <w:bCs/>
          <w:sz w:val="24"/>
          <w:szCs w:val="24"/>
        </w:rPr>
        <w:t>）结算造价问题</w:t>
      </w:r>
    </w:p>
    <w:p w14:paraId="0E4EB2F1">
      <w:pPr>
        <w:pStyle w:val="9"/>
        <w:keepNext w:val="0"/>
        <w:keepLines w:val="0"/>
        <w:pageBreakBefore w:val="0"/>
        <w:numPr>
          <w:ilvl w:val="0"/>
          <w:numId w:val="6"/>
        </w:numPr>
        <w:kinsoku/>
        <w:wordWrap/>
        <w:overflowPunct/>
        <w:topLinePunct w:val="0"/>
        <w:autoSpaceDE/>
        <w:autoSpaceDN/>
        <w:bidi w:val="0"/>
        <w:adjustRightInd/>
        <w:snapToGrid/>
        <w:spacing w:line="30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结算审核，发现漏报项，如何处理？</w:t>
      </w:r>
    </w:p>
    <w:p w14:paraId="5FED54D5">
      <w:pPr>
        <w:pStyle w:val="9"/>
        <w:keepNext w:val="0"/>
        <w:keepLines w:val="0"/>
        <w:pageBreakBefore w:val="0"/>
        <w:numPr>
          <w:ilvl w:val="0"/>
          <w:numId w:val="6"/>
        </w:numPr>
        <w:kinsoku/>
        <w:wordWrap/>
        <w:overflowPunct/>
        <w:topLinePunct w:val="0"/>
        <w:autoSpaceDE/>
        <w:autoSpaceDN/>
        <w:bidi w:val="0"/>
        <w:adjustRightInd/>
        <w:snapToGrid/>
        <w:spacing w:line="30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结算审核，能否依据乙方提供的发票审减？</w:t>
      </w:r>
    </w:p>
    <w:p w14:paraId="4537EEBF">
      <w:pPr>
        <w:pStyle w:val="9"/>
        <w:keepNext w:val="0"/>
        <w:keepLines w:val="0"/>
        <w:pageBreakBefore w:val="0"/>
        <w:numPr>
          <w:ilvl w:val="0"/>
          <w:numId w:val="6"/>
        </w:numPr>
        <w:kinsoku/>
        <w:wordWrap/>
        <w:overflowPunct/>
        <w:topLinePunct w:val="0"/>
        <w:autoSpaceDE/>
        <w:autoSpaceDN/>
        <w:bidi w:val="0"/>
        <w:adjustRightInd/>
        <w:snapToGrid/>
        <w:spacing w:line="30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结算审核时，审核单位对原有图纸中的工程量是否要重新计算、重新核对?</w:t>
      </w:r>
    </w:p>
    <w:p w14:paraId="1F35D66C">
      <w:pPr>
        <w:pStyle w:val="9"/>
        <w:keepNext w:val="0"/>
        <w:keepLines w:val="0"/>
        <w:pageBreakBefore w:val="0"/>
        <w:numPr>
          <w:ilvl w:val="0"/>
          <w:numId w:val="6"/>
        </w:numPr>
        <w:kinsoku/>
        <w:wordWrap/>
        <w:overflowPunct/>
        <w:topLinePunct w:val="0"/>
        <w:autoSpaceDE/>
        <w:autoSpaceDN/>
        <w:bidi w:val="0"/>
        <w:adjustRightInd/>
        <w:snapToGrid/>
        <w:spacing w:line="30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结算书只有造价咨询企业的公章，没有造价人员签字和盖职业印章，是否有效?</w:t>
      </w:r>
    </w:p>
    <w:p w14:paraId="56DAC845">
      <w:pPr>
        <w:pStyle w:val="9"/>
        <w:keepNext w:val="0"/>
        <w:keepLines w:val="0"/>
        <w:pageBreakBefore w:val="0"/>
        <w:numPr>
          <w:ilvl w:val="0"/>
          <w:numId w:val="6"/>
        </w:numPr>
        <w:kinsoku/>
        <w:wordWrap/>
        <w:overflowPunct/>
        <w:topLinePunct w:val="0"/>
        <w:autoSpaceDE/>
        <w:autoSpaceDN/>
        <w:bidi w:val="0"/>
        <w:adjustRightInd/>
        <w:snapToGrid/>
        <w:spacing w:line="30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工程已验收合格，实际做法与原设计做法有偏差，能否执行原投标单价？</w:t>
      </w:r>
    </w:p>
    <w:p w14:paraId="712C4537">
      <w:pPr>
        <w:pStyle w:val="9"/>
        <w:keepNext w:val="0"/>
        <w:keepLines w:val="0"/>
        <w:pageBreakBefore w:val="0"/>
        <w:numPr>
          <w:ilvl w:val="0"/>
          <w:numId w:val="6"/>
        </w:numPr>
        <w:kinsoku/>
        <w:wordWrap/>
        <w:overflowPunct/>
        <w:topLinePunct w:val="0"/>
        <w:autoSpaceDE/>
        <w:autoSpaceDN/>
        <w:bidi w:val="0"/>
        <w:adjustRightInd/>
        <w:snapToGrid/>
        <w:spacing w:line="30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结算单价应在招标控制价120%内，合理吗？</w:t>
      </w:r>
    </w:p>
    <w:p w14:paraId="19F61082">
      <w:pPr>
        <w:pStyle w:val="9"/>
        <w:keepNext w:val="0"/>
        <w:keepLines w:val="0"/>
        <w:pageBreakBefore w:val="0"/>
        <w:numPr>
          <w:ilvl w:val="0"/>
          <w:numId w:val="6"/>
        </w:numPr>
        <w:kinsoku/>
        <w:wordWrap/>
        <w:overflowPunct/>
        <w:topLinePunct w:val="0"/>
        <w:autoSpaceDE/>
        <w:autoSpaceDN/>
        <w:bidi w:val="0"/>
        <w:adjustRightInd/>
        <w:snapToGrid/>
        <w:spacing w:line="30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解除协议后，产生的大量的租赁费及管理费，如何结算？能否可按竣工图结算?</w:t>
      </w:r>
    </w:p>
    <w:p w14:paraId="28289A05">
      <w:pPr>
        <w:pStyle w:val="9"/>
        <w:keepNext w:val="0"/>
        <w:keepLines w:val="0"/>
        <w:pageBreakBefore w:val="0"/>
        <w:numPr>
          <w:ilvl w:val="0"/>
          <w:numId w:val="6"/>
        </w:numPr>
        <w:kinsoku/>
        <w:wordWrap/>
        <w:overflowPunct/>
        <w:topLinePunct w:val="0"/>
        <w:autoSpaceDE/>
        <w:autoSpaceDN/>
        <w:bidi w:val="0"/>
        <w:adjustRightInd/>
        <w:snapToGrid/>
        <w:spacing w:line="30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据实结算，是按实际人工费和机械费做书面签证，还是按信息价调整？</w:t>
      </w:r>
    </w:p>
    <w:p w14:paraId="5515E628">
      <w:pPr>
        <w:pStyle w:val="9"/>
        <w:keepNext w:val="0"/>
        <w:keepLines w:val="0"/>
        <w:pageBreakBefore w:val="0"/>
        <w:numPr>
          <w:ilvl w:val="0"/>
          <w:numId w:val="6"/>
        </w:numPr>
        <w:kinsoku/>
        <w:wordWrap/>
        <w:overflowPunct/>
        <w:topLinePunct w:val="0"/>
        <w:autoSpaceDE/>
        <w:autoSpaceDN/>
        <w:bidi w:val="0"/>
        <w:adjustRightInd/>
        <w:snapToGrid/>
        <w:spacing w:line="30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竣工资料交当地档案馆时，归档整理、图纸扫描等发生的费用，由谁承担?</w:t>
      </w:r>
    </w:p>
    <w:p w14:paraId="0E90C820">
      <w:pPr>
        <w:pStyle w:val="9"/>
        <w:keepNext w:val="0"/>
        <w:keepLines w:val="0"/>
        <w:pageBreakBefore w:val="0"/>
        <w:numPr>
          <w:ilvl w:val="0"/>
          <w:numId w:val="6"/>
        </w:numPr>
        <w:kinsoku/>
        <w:wordWrap/>
        <w:overflowPunct/>
        <w:topLinePunct w:val="0"/>
        <w:autoSpaceDE/>
        <w:autoSpaceDN/>
        <w:bidi w:val="0"/>
        <w:adjustRightInd/>
        <w:snapToGrid/>
        <w:spacing w:line="30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如果增建合同签订约定为定额做依据，咨询方对于变更项单价的审核是否正确?如果可以采用原合同，单价又如何确定?</w:t>
      </w:r>
    </w:p>
    <w:p w14:paraId="600C1351">
      <w:pPr>
        <w:pStyle w:val="9"/>
        <w:keepNext w:val="0"/>
        <w:keepLines w:val="0"/>
        <w:pageBreakBefore w:val="0"/>
        <w:numPr>
          <w:ilvl w:val="0"/>
          <w:numId w:val="6"/>
        </w:numPr>
        <w:kinsoku/>
        <w:wordWrap/>
        <w:overflowPunct/>
        <w:topLinePunct w:val="0"/>
        <w:autoSpaceDE/>
        <w:autoSpaceDN/>
        <w:bidi w:val="0"/>
        <w:adjustRightInd/>
        <w:snapToGrid/>
        <w:spacing w:line="30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施工组织措施费结算，怎么算才合理合法?</w:t>
      </w:r>
    </w:p>
    <w:p w14:paraId="1E9496AF">
      <w:pPr>
        <w:pStyle w:val="9"/>
        <w:keepNext w:val="0"/>
        <w:keepLines w:val="0"/>
        <w:pageBreakBefore w:val="0"/>
        <w:numPr>
          <w:ilvl w:val="0"/>
          <w:numId w:val="6"/>
        </w:numPr>
        <w:kinsoku/>
        <w:wordWrap/>
        <w:overflowPunct/>
        <w:topLinePunct w:val="0"/>
        <w:autoSpaceDE/>
        <w:autoSpaceDN/>
        <w:bidi w:val="0"/>
        <w:adjustRightInd/>
        <w:snapToGrid/>
        <w:spacing w:line="30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市场材料、人工涨价，暂定合同价低于实际单方造价，如何结算？</w:t>
      </w:r>
    </w:p>
    <w:p w14:paraId="39001CDA">
      <w:pPr>
        <w:pStyle w:val="9"/>
        <w:keepNext w:val="0"/>
        <w:keepLines w:val="0"/>
        <w:pageBreakBefore w:val="0"/>
        <w:numPr>
          <w:ilvl w:val="0"/>
          <w:numId w:val="6"/>
        </w:numPr>
        <w:kinsoku/>
        <w:wordWrap/>
        <w:overflowPunct/>
        <w:topLinePunct w:val="0"/>
        <w:autoSpaceDE/>
        <w:autoSpaceDN/>
        <w:bidi w:val="0"/>
        <w:adjustRightInd/>
        <w:snapToGrid/>
        <w:spacing w:line="30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受征地影响的施工降效费用，如何处理?</w:t>
      </w:r>
    </w:p>
    <w:p w14:paraId="093CDE04">
      <w:pPr>
        <w:pStyle w:val="9"/>
        <w:keepNext w:val="0"/>
        <w:keepLines w:val="0"/>
        <w:pageBreakBefore w:val="0"/>
        <w:numPr>
          <w:ilvl w:val="0"/>
          <w:numId w:val="6"/>
        </w:numPr>
        <w:kinsoku/>
        <w:wordWrap/>
        <w:overflowPunct/>
        <w:topLinePunct w:val="0"/>
        <w:autoSpaceDE/>
        <w:autoSpaceDN/>
        <w:bidi w:val="0"/>
        <w:adjustRightInd/>
        <w:snapToGrid/>
        <w:spacing w:line="30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双方对材料数量的计算标准发生重大误解，如何处理？</w:t>
      </w:r>
    </w:p>
    <w:p w14:paraId="578F2590">
      <w:pPr>
        <w:pStyle w:val="9"/>
        <w:keepNext w:val="0"/>
        <w:keepLines w:val="0"/>
        <w:pageBreakBefore w:val="0"/>
        <w:numPr>
          <w:ilvl w:val="0"/>
          <w:numId w:val="6"/>
        </w:numPr>
        <w:kinsoku/>
        <w:wordWrap/>
        <w:overflowPunct/>
        <w:topLinePunct w:val="0"/>
        <w:autoSpaceDE/>
        <w:autoSpaceDN/>
        <w:bidi w:val="0"/>
        <w:adjustRightInd/>
        <w:snapToGrid/>
        <w:spacing w:line="30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没有详细的招投标清单怎么结算？</w:t>
      </w:r>
    </w:p>
    <w:p w14:paraId="3AC3BE93">
      <w:pPr>
        <w:pStyle w:val="9"/>
        <w:keepNext w:val="0"/>
        <w:keepLines w:val="0"/>
        <w:pageBreakBefore w:val="0"/>
        <w:numPr>
          <w:ilvl w:val="0"/>
          <w:numId w:val="6"/>
        </w:numPr>
        <w:kinsoku/>
        <w:wordWrap/>
        <w:overflowPunct/>
        <w:topLinePunct w:val="0"/>
        <w:autoSpaceDE/>
        <w:autoSpaceDN/>
        <w:bidi w:val="0"/>
        <w:adjustRightInd/>
        <w:snapToGrid/>
        <w:spacing w:line="30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没有项目特征，没有单位，投标时只报一笔费用，如何结算？</w:t>
      </w:r>
    </w:p>
    <w:p w14:paraId="3D9479D2">
      <w:pPr>
        <w:pStyle w:val="9"/>
        <w:keepNext w:val="0"/>
        <w:keepLines w:val="0"/>
        <w:pageBreakBefore w:val="0"/>
        <w:numPr>
          <w:ilvl w:val="0"/>
          <w:numId w:val="6"/>
        </w:numPr>
        <w:kinsoku/>
        <w:wordWrap/>
        <w:overflowPunct/>
        <w:topLinePunct w:val="0"/>
        <w:autoSpaceDE/>
        <w:autoSpaceDN/>
        <w:bidi w:val="0"/>
        <w:adjustRightInd/>
        <w:snapToGrid/>
        <w:spacing w:line="30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没有招投标手续的部分费用，如何结算？</w:t>
      </w:r>
    </w:p>
    <w:p w14:paraId="56DBAEE8">
      <w:pPr>
        <w:pStyle w:val="9"/>
        <w:keepNext w:val="0"/>
        <w:keepLines w:val="0"/>
        <w:pageBreakBefore w:val="0"/>
        <w:numPr>
          <w:ilvl w:val="0"/>
          <w:numId w:val="6"/>
        </w:numPr>
        <w:kinsoku/>
        <w:wordWrap/>
        <w:overflowPunct/>
        <w:topLinePunct w:val="0"/>
        <w:autoSpaceDE/>
        <w:autoSpaceDN/>
        <w:bidi w:val="0"/>
        <w:adjustRightInd/>
        <w:snapToGrid/>
        <w:spacing w:line="30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明沟明塘、暗沟暗塘措施费，如何结算？</w:t>
      </w:r>
    </w:p>
    <w:p w14:paraId="76A40385">
      <w:pPr>
        <w:pStyle w:val="9"/>
        <w:keepNext w:val="0"/>
        <w:keepLines w:val="0"/>
        <w:pageBreakBefore w:val="0"/>
        <w:numPr>
          <w:ilvl w:val="0"/>
          <w:numId w:val="6"/>
        </w:numPr>
        <w:kinsoku/>
        <w:wordWrap/>
        <w:overflowPunct/>
        <w:topLinePunct w:val="0"/>
        <w:autoSpaceDE/>
        <w:autoSpaceDN/>
        <w:bidi w:val="0"/>
        <w:adjustRightInd/>
        <w:snapToGrid/>
        <w:spacing w:line="30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人工费市场价与定额价的差额，如何处理？</w:t>
      </w:r>
    </w:p>
    <w:p w14:paraId="422A10D5">
      <w:pPr>
        <w:pStyle w:val="9"/>
        <w:keepNext w:val="0"/>
        <w:keepLines w:val="0"/>
        <w:pageBreakBefore w:val="0"/>
        <w:numPr>
          <w:ilvl w:val="0"/>
          <w:numId w:val="6"/>
        </w:numPr>
        <w:kinsoku/>
        <w:wordWrap/>
        <w:overflowPunct/>
        <w:topLinePunct w:val="0"/>
        <w:autoSpaceDE/>
        <w:autoSpaceDN/>
        <w:bidi w:val="0"/>
        <w:adjustRightInd/>
        <w:snapToGrid/>
        <w:spacing w:line="30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人工消耗量的不平衡报价，如何处理？</w:t>
      </w:r>
    </w:p>
    <w:p w14:paraId="785969FF">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w:t>
      </w:r>
      <w:r>
        <w:rPr>
          <w:rFonts w:hint="eastAsia" w:ascii="仿宋" w:hAnsi="仿宋" w:eastAsia="仿宋" w:cs="仿宋"/>
          <w:b/>
          <w:bCs/>
          <w:sz w:val="24"/>
          <w:szCs w:val="24"/>
          <w:lang w:val="en-US" w:eastAsia="zh-CN"/>
        </w:rPr>
        <w:t>六</w:t>
      </w:r>
      <w:r>
        <w:rPr>
          <w:rFonts w:hint="eastAsia" w:ascii="仿宋" w:hAnsi="仿宋" w:eastAsia="仿宋" w:cs="仿宋"/>
          <w:b/>
          <w:bCs/>
          <w:sz w:val="24"/>
          <w:szCs w:val="24"/>
        </w:rPr>
        <w:t>）结算审计与财政评审</w:t>
      </w:r>
    </w:p>
    <w:p w14:paraId="434834BD">
      <w:pPr>
        <w:pStyle w:val="9"/>
        <w:keepNext w:val="0"/>
        <w:keepLines w:val="0"/>
        <w:pageBreakBefore w:val="0"/>
        <w:numPr>
          <w:ilvl w:val="0"/>
          <w:numId w:val="7"/>
        </w:numPr>
        <w:kinsoku/>
        <w:wordWrap/>
        <w:overflowPunct/>
        <w:topLinePunct w:val="0"/>
        <w:autoSpaceDE/>
        <w:autoSpaceDN/>
        <w:bidi w:val="0"/>
        <w:adjustRightInd/>
        <w:snapToGrid/>
        <w:spacing w:line="30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审计方能否修改预算单价和合同总价，是否违背合同?</w:t>
      </w:r>
    </w:p>
    <w:p w14:paraId="777EB065">
      <w:pPr>
        <w:pStyle w:val="9"/>
        <w:keepNext w:val="0"/>
        <w:keepLines w:val="0"/>
        <w:pageBreakBefore w:val="0"/>
        <w:widowControl w:val="0"/>
        <w:numPr>
          <w:ilvl w:val="0"/>
          <w:numId w:val="7"/>
        </w:numPr>
        <w:kinsoku/>
        <w:wordWrap/>
        <w:overflowPunct/>
        <w:topLinePunct w:val="0"/>
        <w:autoSpaceDE/>
        <w:autoSpaceDN/>
        <w:bidi w:val="0"/>
        <w:adjustRightInd/>
        <w:snapToGrid/>
        <w:spacing w:line="300" w:lineRule="exact"/>
        <w:ind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合同约定以决算审核部门审核结果作为结算依据的，审核结果能否作为结算的依据？</w:t>
      </w:r>
    </w:p>
    <w:p w14:paraId="3BAC13BC">
      <w:pPr>
        <w:pStyle w:val="9"/>
        <w:keepNext w:val="0"/>
        <w:keepLines w:val="0"/>
        <w:pageBreakBefore w:val="0"/>
        <w:widowControl w:val="0"/>
        <w:numPr>
          <w:ilvl w:val="0"/>
          <w:numId w:val="7"/>
        </w:numPr>
        <w:kinsoku/>
        <w:wordWrap/>
        <w:overflowPunct/>
        <w:topLinePunct w:val="0"/>
        <w:autoSpaceDE/>
        <w:autoSpaceDN/>
        <w:bidi w:val="0"/>
        <w:adjustRightInd/>
        <w:snapToGrid/>
        <w:spacing w:line="300" w:lineRule="exact"/>
        <w:ind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据实发生的现场未经财评认定可否结算?</w:t>
      </w:r>
    </w:p>
    <w:p w14:paraId="4036592D">
      <w:pPr>
        <w:pStyle w:val="9"/>
        <w:keepNext w:val="0"/>
        <w:keepLines w:val="0"/>
        <w:pageBreakBefore w:val="0"/>
        <w:widowControl w:val="0"/>
        <w:numPr>
          <w:ilvl w:val="0"/>
          <w:numId w:val="7"/>
        </w:numPr>
        <w:kinsoku/>
        <w:wordWrap/>
        <w:overflowPunct/>
        <w:topLinePunct w:val="0"/>
        <w:autoSpaceDE/>
        <w:autoSpaceDN/>
        <w:bidi w:val="0"/>
        <w:adjustRightInd/>
        <w:snapToGrid/>
        <w:spacing w:line="300" w:lineRule="exact"/>
        <w:ind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政府投资项目财政评审范围外的货物、设备、软件的总包采购价格确定方式?</w:t>
      </w:r>
    </w:p>
    <w:p w14:paraId="33CE3A99">
      <w:pPr>
        <w:pStyle w:val="9"/>
        <w:keepNext w:val="0"/>
        <w:keepLines w:val="0"/>
        <w:pageBreakBefore w:val="0"/>
        <w:numPr>
          <w:ilvl w:val="0"/>
          <w:numId w:val="7"/>
        </w:numPr>
        <w:kinsoku/>
        <w:wordWrap/>
        <w:overflowPunct/>
        <w:topLinePunct w:val="0"/>
        <w:autoSpaceDE/>
        <w:autoSpaceDN/>
        <w:bidi w:val="0"/>
        <w:adjustRightInd/>
        <w:snapToGrid/>
        <w:spacing w:line="30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投标时已经报的取费标准，审计能否调整?</w:t>
      </w:r>
    </w:p>
    <w:p w14:paraId="595A5055">
      <w:pPr>
        <w:pStyle w:val="9"/>
        <w:keepNext w:val="0"/>
        <w:keepLines w:val="0"/>
        <w:pageBreakBefore w:val="0"/>
        <w:numPr>
          <w:ilvl w:val="0"/>
          <w:numId w:val="7"/>
        </w:numPr>
        <w:kinsoku/>
        <w:wordWrap/>
        <w:overflowPunct/>
        <w:topLinePunct w:val="0"/>
        <w:autoSpaceDE/>
        <w:autoSpaceDN/>
        <w:bidi w:val="0"/>
        <w:adjustRightInd/>
        <w:snapToGrid/>
        <w:spacing w:line="30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不平衡报价，审计能否要求重新组价？</w:t>
      </w:r>
    </w:p>
    <w:p w14:paraId="19B9A7ED">
      <w:pPr>
        <w:pStyle w:val="9"/>
        <w:keepNext w:val="0"/>
        <w:keepLines w:val="0"/>
        <w:pageBreakBefore w:val="0"/>
        <w:numPr>
          <w:ilvl w:val="0"/>
          <w:numId w:val="7"/>
        </w:numPr>
        <w:kinsoku/>
        <w:wordWrap/>
        <w:overflowPunct/>
        <w:topLinePunct w:val="0"/>
        <w:autoSpaceDE/>
        <w:autoSpaceDN/>
        <w:bidi w:val="0"/>
        <w:adjustRightInd/>
        <w:snapToGrid/>
        <w:spacing w:line="30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已经过监理、建设单位签字确认的签证单，审计方认为工程量虚大，如何结算?</w:t>
      </w:r>
    </w:p>
    <w:p w14:paraId="6E64319D">
      <w:pPr>
        <w:pStyle w:val="9"/>
        <w:keepNext w:val="0"/>
        <w:keepLines w:val="0"/>
        <w:pageBreakBefore w:val="0"/>
        <w:numPr>
          <w:ilvl w:val="0"/>
          <w:numId w:val="7"/>
        </w:numPr>
        <w:kinsoku/>
        <w:wordWrap/>
        <w:overflowPunct/>
        <w:topLinePunct w:val="0"/>
        <w:autoSpaceDE/>
        <w:autoSpaceDN/>
        <w:bidi w:val="0"/>
        <w:adjustRightInd/>
        <w:snapToGrid/>
        <w:spacing w:line="30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隐蔽性工程已竣工验收，审计方能否破坏性试验，扣减?</w:t>
      </w:r>
    </w:p>
    <w:p w14:paraId="10AE30EB">
      <w:pPr>
        <w:pStyle w:val="9"/>
        <w:keepNext w:val="0"/>
        <w:keepLines w:val="0"/>
        <w:pageBreakBefore w:val="0"/>
        <w:numPr>
          <w:ilvl w:val="0"/>
          <w:numId w:val="7"/>
        </w:numPr>
        <w:kinsoku/>
        <w:wordWrap/>
        <w:overflowPunct/>
        <w:topLinePunct w:val="0"/>
        <w:autoSpaceDE/>
        <w:autoSpaceDN/>
        <w:bidi w:val="0"/>
        <w:adjustRightInd/>
        <w:snapToGrid/>
        <w:spacing w:line="30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暂估价，认质认价，结算审计能否推翻？</w:t>
      </w:r>
    </w:p>
    <w:p w14:paraId="32D6175F">
      <w:pPr>
        <w:pStyle w:val="9"/>
        <w:keepNext w:val="0"/>
        <w:keepLines w:val="0"/>
        <w:pageBreakBefore w:val="0"/>
        <w:numPr>
          <w:ilvl w:val="0"/>
          <w:numId w:val="7"/>
        </w:numPr>
        <w:kinsoku/>
        <w:wordWrap/>
        <w:overflowPunct/>
        <w:topLinePunct w:val="0"/>
        <w:autoSpaceDE/>
        <w:autoSpaceDN/>
        <w:bidi w:val="0"/>
        <w:adjustRightInd/>
        <w:snapToGrid/>
        <w:spacing w:line="30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清单项目特征相同，报价不同，如何处理？</w:t>
      </w:r>
    </w:p>
    <w:p w14:paraId="0501E7B6">
      <w:pPr>
        <w:pStyle w:val="9"/>
        <w:keepNext w:val="0"/>
        <w:keepLines w:val="0"/>
        <w:pageBreakBefore w:val="0"/>
        <w:numPr>
          <w:ilvl w:val="0"/>
          <w:numId w:val="7"/>
        </w:numPr>
        <w:kinsoku/>
        <w:wordWrap/>
        <w:overflowPunct/>
        <w:topLinePunct w:val="0"/>
        <w:autoSpaceDE/>
        <w:autoSpaceDN/>
        <w:bidi w:val="0"/>
        <w:adjustRightInd/>
        <w:snapToGrid/>
        <w:spacing w:line="30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无项目特征和具体方案的措施项目，能否按实际发生调整?</w:t>
      </w:r>
    </w:p>
    <w:p w14:paraId="21555E69">
      <w:pPr>
        <w:pStyle w:val="9"/>
        <w:keepNext w:val="0"/>
        <w:keepLines w:val="0"/>
        <w:pageBreakBefore w:val="0"/>
        <w:numPr>
          <w:ilvl w:val="0"/>
          <w:numId w:val="7"/>
        </w:numPr>
        <w:kinsoku/>
        <w:wordWrap/>
        <w:overflowPunct/>
        <w:topLinePunct w:val="0"/>
        <w:autoSpaceDE/>
        <w:autoSpaceDN/>
        <w:bidi w:val="0"/>
        <w:adjustRightInd/>
        <w:snapToGrid/>
        <w:spacing w:line="30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如何主张甲方适用免责条款无效？</w:t>
      </w:r>
    </w:p>
    <w:p w14:paraId="3AFD551F">
      <w:pPr>
        <w:pStyle w:val="9"/>
        <w:keepNext w:val="0"/>
        <w:keepLines w:val="0"/>
        <w:pageBreakBefore w:val="0"/>
        <w:numPr>
          <w:ilvl w:val="0"/>
          <w:numId w:val="7"/>
        </w:numPr>
        <w:kinsoku/>
        <w:wordWrap/>
        <w:overflowPunct/>
        <w:topLinePunct w:val="0"/>
        <w:autoSpaceDE/>
        <w:autoSpaceDN/>
        <w:bidi w:val="0"/>
        <w:adjustRightInd/>
        <w:snapToGrid/>
        <w:spacing w:line="30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信息价偏高，能否按市场价格进行审定？</w:t>
      </w:r>
    </w:p>
    <w:p w14:paraId="79E19CFE">
      <w:pPr>
        <w:pStyle w:val="9"/>
        <w:keepNext w:val="0"/>
        <w:keepLines w:val="0"/>
        <w:pageBreakBefore w:val="0"/>
        <w:numPr>
          <w:ilvl w:val="0"/>
          <w:numId w:val="7"/>
        </w:numPr>
        <w:kinsoku/>
        <w:wordWrap/>
        <w:overflowPunct/>
        <w:topLinePunct w:val="0"/>
        <w:autoSpaceDE/>
        <w:autoSpaceDN/>
        <w:bidi w:val="0"/>
        <w:adjustRightInd/>
        <w:snapToGrid/>
        <w:spacing w:line="30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施工合同与中标合同约定的工程价款不一致时是否构成黑白合同？</w:t>
      </w:r>
    </w:p>
    <w:p w14:paraId="1683347A">
      <w:pPr>
        <w:pStyle w:val="9"/>
        <w:keepNext w:val="0"/>
        <w:keepLines w:val="0"/>
        <w:pageBreakBefore w:val="0"/>
        <w:numPr>
          <w:ilvl w:val="0"/>
          <w:numId w:val="7"/>
        </w:numPr>
        <w:kinsoku/>
        <w:wordWrap/>
        <w:overflowPunct/>
        <w:topLinePunct w:val="0"/>
        <w:autoSpaceDE/>
        <w:autoSpaceDN/>
        <w:bidi w:val="0"/>
        <w:adjustRightInd/>
        <w:snapToGrid/>
        <w:spacing w:line="30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施工许可证未办理，施工方进场实施了少许前期工作，能否争取降效费？</w:t>
      </w:r>
    </w:p>
    <w:p w14:paraId="2ED56D90">
      <w:pPr>
        <w:pStyle w:val="9"/>
        <w:keepNext w:val="0"/>
        <w:keepLines w:val="0"/>
        <w:pageBreakBefore w:val="0"/>
        <w:numPr>
          <w:ilvl w:val="0"/>
          <w:numId w:val="7"/>
        </w:numPr>
        <w:kinsoku/>
        <w:wordWrap/>
        <w:overflowPunct/>
        <w:topLinePunct w:val="0"/>
        <w:autoSpaceDE/>
        <w:autoSpaceDN/>
        <w:bidi w:val="0"/>
        <w:adjustRightInd/>
        <w:snapToGrid/>
        <w:spacing w:line="30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未列入暂估价的专业工程，乙方会上报远高于市场价的价格，甲方对于价格是否有权干涉?</w:t>
      </w:r>
    </w:p>
    <w:p w14:paraId="032C0B4C">
      <w:pPr>
        <w:pStyle w:val="9"/>
        <w:keepNext w:val="0"/>
        <w:keepLines w:val="0"/>
        <w:pageBreakBefore w:val="0"/>
        <w:numPr>
          <w:ilvl w:val="0"/>
          <w:numId w:val="7"/>
        </w:numPr>
        <w:kinsoku/>
        <w:wordWrap/>
        <w:overflowPunct/>
        <w:topLinePunct w:val="0"/>
        <w:autoSpaceDE/>
        <w:autoSpaceDN/>
        <w:bidi w:val="0"/>
        <w:adjustRightInd/>
        <w:snapToGrid/>
        <w:spacing w:line="30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未形成工程实体的措施项目，能否按漏项处理？</w:t>
      </w:r>
    </w:p>
    <w:p w14:paraId="27BC1EE1">
      <w:pPr>
        <w:pStyle w:val="9"/>
        <w:keepNext w:val="0"/>
        <w:keepLines w:val="0"/>
        <w:pageBreakBefore w:val="0"/>
        <w:numPr>
          <w:ilvl w:val="0"/>
          <w:numId w:val="7"/>
        </w:numPr>
        <w:kinsoku/>
        <w:wordWrap/>
        <w:overflowPunct/>
        <w:topLinePunct w:val="0"/>
        <w:autoSpaceDE/>
        <w:autoSpaceDN/>
        <w:bidi w:val="0"/>
        <w:adjustRightInd/>
        <w:snapToGrid/>
        <w:spacing w:line="30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严重亏损的土方开挖及外运，能否调整？</w:t>
      </w:r>
    </w:p>
    <w:p w14:paraId="4E0952BE">
      <w:pPr>
        <w:pStyle w:val="9"/>
        <w:keepNext w:val="0"/>
        <w:keepLines w:val="0"/>
        <w:pageBreakBefore w:val="0"/>
        <w:numPr>
          <w:ilvl w:val="0"/>
          <w:numId w:val="7"/>
        </w:numPr>
        <w:kinsoku/>
        <w:wordWrap/>
        <w:overflowPunct/>
        <w:topLinePunct w:val="0"/>
        <w:autoSpaceDE/>
        <w:autoSpaceDN/>
        <w:bidi w:val="0"/>
        <w:adjustRightInd/>
        <w:snapToGrid/>
        <w:spacing w:line="30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未按照国家现行计量规范强制性规定计量的费用，如何处理？</w:t>
      </w:r>
    </w:p>
    <w:p w14:paraId="0EFCC49E">
      <w:pPr>
        <w:pStyle w:val="9"/>
        <w:keepNext w:val="0"/>
        <w:keepLines w:val="0"/>
        <w:pageBreakBefore w:val="0"/>
        <w:numPr>
          <w:ilvl w:val="0"/>
          <w:numId w:val="7"/>
        </w:numPr>
        <w:kinsoku/>
        <w:wordWrap/>
        <w:overflowPunct/>
        <w:topLinePunct w:val="0"/>
        <w:autoSpaceDE/>
        <w:autoSpaceDN/>
        <w:bidi w:val="0"/>
        <w:adjustRightInd/>
        <w:snapToGrid/>
        <w:spacing w:line="30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第三方清标后出的价格能否作为结算依据？</w:t>
      </w:r>
    </w:p>
    <w:p w14:paraId="2943A522">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二、培训对象</w:t>
      </w:r>
    </w:p>
    <w:p w14:paraId="0FB84542">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建设行政主管部门、工程建设企业（工程承包、建筑施工、勘察设计、房地产开发、工程项目管理、工程监理、工程咨询、招标办、公共资源交易中心、工程交易中心、投资项目评审中心、工程造价、招标代理等）总经理、总造价顾问、法务总监、总工程师、项目管理、市场开发、商务谈判、招标投标、合同管理、成本管理等中高级管理人员以及业务相关的直线经理人等。</w:t>
      </w:r>
    </w:p>
    <w:p w14:paraId="48AE9D9E">
      <w:pPr>
        <w:keepNext w:val="0"/>
        <w:keepLines w:val="0"/>
        <w:pageBreakBefore w:val="0"/>
        <w:widowControl w:val="0"/>
        <w:numPr>
          <w:ilvl w:val="0"/>
          <w:numId w:val="8"/>
        </w:numPr>
        <w:kinsoku/>
        <w:wordWrap/>
        <w:overflowPunct/>
        <w:topLinePunct w:val="0"/>
        <w:autoSpaceDE/>
        <w:autoSpaceDN/>
        <w:bidi w:val="0"/>
        <w:adjustRightInd/>
        <w:snapToGrid/>
        <w:spacing w:line="300" w:lineRule="exact"/>
        <w:textAlignment w:val="auto"/>
        <w:rPr>
          <w:rFonts w:ascii="仿宋" w:hAnsi="仿宋" w:eastAsia="仿宋" w:cs="仿宋"/>
          <w:b/>
          <w:bCs/>
          <w:sz w:val="24"/>
        </w:rPr>
      </w:pPr>
      <w:r>
        <w:rPr>
          <w:rFonts w:hint="eastAsia" w:ascii="仿宋" w:hAnsi="仿宋" w:eastAsia="仿宋" w:cs="仿宋"/>
          <w:b/>
          <w:bCs/>
          <w:sz w:val="24"/>
        </w:rPr>
        <w:t>时间、地点</w:t>
      </w:r>
    </w:p>
    <w:p w14:paraId="7657870B">
      <w:pPr>
        <w:pStyle w:val="4"/>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2025年01月16日-01月18日 （16日全天报到）    天津市</w:t>
      </w:r>
    </w:p>
    <w:p w14:paraId="32F9EB07">
      <w:pPr>
        <w:pStyle w:val="4"/>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2025年01月22日-01月24日 （22日全天报到）    北京市</w:t>
      </w:r>
    </w:p>
    <w:p w14:paraId="2973E497">
      <w:pPr>
        <w:keepNext w:val="0"/>
        <w:keepLines w:val="0"/>
        <w:pageBreakBefore w:val="0"/>
        <w:widowControl w:val="0"/>
        <w:numPr>
          <w:ilvl w:val="0"/>
          <w:numId w:val="8"/>
        </w:numPr>
        <w:kinsoku/>
        <w:wordWrap/>
        <w:overflowPunct/>
        <w:topLinePunct w:val="0"/>
        <w:autoSpaceDE/>
        <w:autoSpaceDN/>
        <w:bidi w:val="0"/>
        <w:adjustRightInd/>
        <w:snapToGrid/>
        <w:spacing w:line="300" w:lineRule="exact"/>
        <w:textAlignment w:val="auto"/>
        <w:rPr>
          <w:rFonts w:ascii="仿宋" w:hAnsi="仿宋" w:eastAsia="仿宋" w:cs="仿宋"/>
          <w:b/>
          <w:bCs/>
          <w:sz w:val="24"/>
        </w:rPr>
      </w:pPr>
      <w:r>
        <w:rPr>
          <w:rFonts w:hint="eastAsia" w:ascii="仿宋" w:hAnsi="仿宋" w:eastAsia="仿宋" w:cs="仿宋"/>
          <w:b/>
          <w:bCs/>
          <w:sz w:val="24"/>
        </w:rPr>
        <w:t>相关费用</w:t>
      </w:r>
    </w:p>
    <w:p w14:paraId="3498FCDF">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ascii="仿宋" w:hAnsi="仿宋" w:eastAsia="仿宋" w:cs="仿宋"/>
          <w:kern w:val="0"/>
          <w:sz w:val="24"/>
        </w:rPr>
      </w:pPr>
      <w:r>
        <w:rPr>
          <w:rFonts w:hint="eastAsia" w:ascii="仿宋" w:hAnsi="仿宋" w:eastAsia="仿宋" w:cs="仿宋"/>
          <w:kern w:val="0"/>
          <w:sz w:val="24"/>
        </w:rPr>
        <w:t>A.3280元/人（含专家费、资料费、电子课件、场地、会议期间午餐），住宿统一安排，费用自理。</w:t>
      </w:r>
    </w:p>
    <w:p w14:paraId="342D36C4">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ascii="仿宋" w:hAnsi="仿宋" w:eastAsia="仿宋" w:cs="仿宋"/>
          <w:kern w:val="0"/>
          <w:sz w:val="24"/>
        </w:rPr>
      </w:pPr>
      <w:r>
        <w:rPr>
          <w:rFonts w:hint="eastAsia" w:ascii="仿宋" w:hAnsi="仿宋" w:eastAsia="仿宋" w:cs="仿宋"/>
          <w:kern w:val="0"/>
          <w:sz w:val="24"/>
        </w:rPr>
        <w:t>B.5680元/人（含全过程工程咨询师(高级、中级)证书及网上学习3天专业课程、资料费、电子课件、会议期间午餐），住宿统一安排，费用自理。</w:t>
      </w:r>
    </w:p>
    <w:p w14:paraId="1119AA84">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ascii="仿宋" w:hAnsi="仿宋" w:eastAsia="仿宋" w:cs="仿宋"/>
          <w:kern w:val="0"/>
          <w:sz w:val="24"/>
        </w:rPr>
      </w:pPr>
      <w:r>
        <w:rPr>
          <w:rFonts w:hint="eastAsia" w:ascii="仿宋" w:hAnsi="仿宋" w:eastAsia="仿宋" w:cs="仿宋"/>
          <w:kern w:val="0"/>
          <w:sz w:val="24"/>
        </w:rPr>
        <w:t>C.4800元/人（含全过程工程咨询师(高级、中级)证书及网上学习3天课程）。</w:t>
      </w:r>
    </w:p>
    <w:p w14:paraId="23E87095">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ascii="仿宋" w:hAnsi="仿宋" w:eastAsia="仿宋" w:cs="仿宋"/>
          <w:kern w:val="0"/>
          <w:sz w:val="24"/>
        </w:rPr>
      </w:pPr>
      <w:r>
        <w:rPr>
          <w:rFonts w:hint="eastAsia" w:ascii="仿宋" w:hAnsi="仿宋" w:eastAsia="仿宋" w:cs="仿宋"/>
          <w:kern w:val="0"/>
          <w:sz w:val="24"/>
        </w:rPr>
        <w:t>备注：申报证书需提供报名表一份、2寸照电子照片（蓝底免冠彩照）、身份证复印件一份、学历证书复印件一份，在职单位证明（原件）一份，审核通过后出准考证，每个月最后一个周末为网上考试时间。</w:t>
      </w:r>
    </w:p>
    <w:p w14:paraId="7F238944">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ascii="仿宋" w:hAnsi="仿宋" w:eastAsia="仿宋" w:cs="仿宋"/>
          <w:kern w:val="0"/>
          <w:sz w:val="24"/>
        </w:rPr>
      </w:pPr>
      <w:r>
        <w:rPr>
          <w:rFonts w:hint="eastAsia" w:ascii="仿宋" w:hAnsi="仿宋" w:eastAsia="仿宋" w:cs="仿宋"/>
          <w:kern w:val="0"/>
          <w:sz w:val="24"/>
        </w:rPr>
        <w:t>颁证机构：</w:t>
      </w:r>
    </w:p>
    <w:p w14:paraId="2B3DC160">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ascii="仿宋" w:hAnsi="仿宋" w:eastAsia="仿宋" w:cs="仿宋"/>
          <w:sz w:val="24"/>
        </w:rPr>
      </w:pPr>
      <w:r>
        <w:rPr>
          <w:rFonts w:hint="eastAsia" w:ascii="仿宋" w:hAnsi="仿宋" w:eastAsia="仿宋" w:cs="仿宋"/>
          <w:kern w:val="0"/>
          <w:sz w:val="24"/>
        </w:rPr>
        <w:t>国家职业资格培训鉴定实验基地（http://www.nptb.org/）是人力资源和社会保障部在天津建立的综合性职业标准开发机构，主要承担国家新职业标准研发和推广任务，开展培训鉴定实验项目和课题研究，进行新职业教材和课程设计，建立新职业考核标准、考试题库。</w:t>
      </w:r>
    </w:p>
    <w:p w14:paraId="220EA1E2">
      <w:pPr>
        <w:keepNext w:val="0"/>
        <w:keepLines w:val="0"/>
        <w:pageBreakBefore w:val="0"/>
        <w:kinsoku/>
        <w:wordWrap/>
        <w:overflowPunct/>
        <w:topLinePunct w:val="0"/>
        <w:autoSpaceDE/>
        <w:autoSpaceDN/>
        <w:bidi w:val="0"/>
        <w:adjustRightInd/>
        <w:snapToGrid/>
        <w:spacing w:line="400" w:lineRule="exact"/>
        <w:textAlignment w:val="auto"/>
        <w:rPr>
          <w:rFonts w:ascii="仿宋" w:hAnsi="仿宋" w:eastAsia="仿宋" w:cs="仿宋"/>
          <w:b/>
          <w:bCs/>
          <w:sz w:val="24"/>
        </w:rPr>
      </w:pPr>
      <w:r>
        <w:rPr>
          <w:rFonts w:hint="eastAsia" w:ascii="仿宋" w:hAnsi="仿宋" w:eastAsia="仿宋" w:cs="仿宋"/>
          <w:b/>
          <w:bCs/>
          <w:sz w:val="24"/>
        </w:rPr>
        <w:t>五、联系方式</w:t>
      </w:r>
    </w:p>
    <w:p w14:paraId="0D5E7C1A">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 xml:space="preserve">报名负责人：聂红军 主任18211071700（微信）   </w:t>
      </w:r>
    </w:p>
    <w:p w14:paraId="0F92595B">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 xml:space="preserve">电    话：13141289128        邮    箱：zqgphwz@126.com  </w:t>
      </w:r>
    </w:p>
    <w:p w14:paraId="610D5F82">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仿宋" w:hAnsi="仿宋" w:eastAsia="仿宋" w:cs="仿宋"/>
          <w:kern w:val="0"/>
          <w:sz w:val="24"/>
        </w:rPr>
      </w:pPr>
      <w:r>
        <w:rPr>
          <w:rFonts w:hint="eastAsia" w:ascii="仿宋" w:hAnsi="仿宋" w:eastAsia="仿宋" w:cs="仿宋"/>
          <w:kern w:val="0"/>
          <w:sz w:val="24"/>
        </w:rPr>
        <w:t>qq咨询：3177524020          网    址：http://www.zqgpchina.cn</w:t>
      </w:r>
      <w:r>
        <w:rPr>
          <w:rFonts w:hint="eastAsia" w:ascii="仿宋" w:hAnsi="仿宋" w:eastAsia="仿宋" w:cs="仿宋"/>
          <w:kern w:val="0"/>
          <w:sz w:val="24"/>
        </w:rPr>
        <w:drawing>
          <wp:anchor distT="0" distB="0" distL="114300" distR="114300" simplePos="0" relativeHeight="251660288" behindDoc="1" locked="0" layoutInCell="1" allowOverlap="1">
            <wp:simplePos x="0" y="0"/>
            <wp:positionH relativeFrom="column">
              <wp:posOffset>3493770</wp:posOffset>
            </wp:positionH>
            <wp:positionV relativeFrom="paragraph">
              <wp:posOffset>10795</wp:posOffset>
            </wp:positionV>
            <wp:extent cx="2679700" cy="1905000"/>
            <wp:effectExtent l="0" t="0" r="0" b="0"/>
            <wp:wrapNone/>
            <wp:docPr id="3" name="图片 3" descr="建术公章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建术公章12"/>
                    <pic:cNvPicPr>
                      <a:picLocks noChangeAspect="1"/>
                    </pic:cNvPicPr>
                  </pic:nvPicPr>
                  <pic:blipFill>
                    <a:blip r:embed="rId4" cstate="print"/>
                    <a:stretch>
                      <a:fillRect/>
                    </a:stretch>
                  </pic:blipFill>
                  <pic:spPr>
                    <a:xfrm>
                      <a:off x="0" y="0"/>
                      <a:ext cx="2679700" cy="1905000"/>
                    </a:xfrm>
                    <a:prstGeom prst="rect">
                      <a:avLst/>
                    </a:prstGeom>
                    <a:noFill/>
                    <a:ln>
                      <a:noFill/>
                    </a:ln>
                  </pic:spPr>
                </pic:pic>
              </a:graphicData>
            </a:graphic>
          </wp:anchor>
        </w:drawing>
      </w:r>
    </w:p>
    <w:p w14:paraId="4C791331">
      <w:pPr>
        <w:ind w:firstLine="480" w:firstLineChars="200"/>
        <w:rPr>
          <w:rFonts w:ascii="仿宋" w:hAnsi="仿宋" w:eastAsia="仿宋" w:cs="仿宋"/>
          <w:kern w:val="0"/>
          <w:sz w:val="24"/>
        </w:rPr>
      </w:pPr>
    </w:p>
    <w:p w14:paraId="54074B7B">
      <w:pPr>
        <w:ind w:firstLine="480" w:firstLineChars="200"/>
        <w:rPr>
          <w:rFonts w:ascii="仿宋" w:hAnsi="仿宋" w:eastAsia="仿宋" w:cs="仿宋"/>
          <w:kern w:val="0"/>
          <w:sz w:val="24"/>
        </w:rPr>
      </w:pPr>
    </w:p>
    <w:p w14:paraId="77D0A53D">
      <w:pPr>
        <w:jc w:val="right"/>
      </w:pPr>
      <w:r>
        <w:rPr>
          <w:rFonts w:hint="eastAsia" w:ascii="仿宋" w:hAnsi="仿宋" w:eastAsia="仿宋" w:cs="仿宋"/>
          <w:kern w:val="0"/>
          <w:sz w:val="24"/>
        </w:rPr>
        <w:t>北京建术信息科技研究院有限公司</w:t>
      </w:r>
    </w:p>
    <w:p w14:paraId="58C8FD46">
      <w:pPr>
        <w:ind w:right="480"/>
        <w:jc w:val="center"/>
        <w:rPr>
          <w:rFonts w:ascii="仿宋" w:hAnsi="仿宋" w:eastAsia="仿宋" w:cs="仿宋"/>
          <w:kern w:val="0"/>
          <w:sz w:val="24"/>
        </w:rPr>
      </w:pPr>
      <w:r>
        <w:rPr>
          <w:rFonts w:hint="eastAsia" w:ascii="仿宋" w:hAnsi="仿宋" w:eastAsia="仿宋" w:cs="仿宋"/>
          <w:kern w:val="0"/>
          <w:sz w:val="24"/>
        </w:rPr>
        <w:t xml:space="preserve">                                                2024年1</w:t>
      </w:r>
      <w:r>
        <w:rPr>
          <w:rFonts w:hint="eastAsia" w:ascii="仿宋" w:hAnsi="仿宋" w:eastAsia="仿宋" w:cs="仿宋"/>
          <w:kern w:val="0"/>
          <w:sz w:val="24"/>
          <w:lang w:val="en-US" w:eastAsia="zh-CN"/>
        </w:rPr>
        <w:t>2</w:t>
      </w:r>
      <w:r>
        <w:rPr>
          <w:rFonts w:hint="eastAsia" w:ascii="仿宋" w:hAnsi="仿宋" w:eastAsia="仿宋" w:cs="仿宋"/>
          <w:kern w:val="0"/>
          <w:sz w:val="24"/>
        </w:rPr>
        <w:t>月</w:t>
      </w:r>
      <w:r>
        <w:rPr>
          <w:rFonts w:hint="eastAsia" w:ascii="仿宋" w:hAnsi="仿宋" w:eastAsia="仿宋" w:cs="仿宋"/>
          <w:kern w:val="0"/>
          <w:sz w:val="24"/>
          <w:lang w:val="en-US" w:eastAsia="zh-CN"/>
        </w:rPr>
        <w:t>31</w:t>
      </w:r>
      <w:r>
        <w:rPr>
          <w:rFonts w:hint="eastAsia" w:ascii="仿宋" w:hAnsi="仿宋" w:eastAsia="仿宋" w:cs="仿宋"/>
          <w:kern w:val="0"/>
          <w:sz w:val="24"/>
        </w:rPr>
        <w:t>日</w:t>
      </w:r>
    </w:p>
    <w:p w14:paraId="105EF229">
      <w:pPr>
        <w:rPr>
          <w:rFonts w:hint="default"/>
          <w:lang w:val="en-US" w:eastAsia="zh-CN"/>
        </w:rPr>
      </w:pPr>
    </w:p>
    <w:p w14:paraId="63B86DAC">
      <w:pPr>
        <w:rPr>
          <w:rFonts w:hint="default"/>
          <w:lang w:val="en-US" w:eastAsia="zh-CN"/>
        </w:rPr>
      </w:pPr>
    </w:p>
    <w:p w14:paraId="6C4D45BC">
      <w:pPr>
        <w:rPr>
          <w:rFonts w:hint="default"/>
          <w:lang w:val="en-US" w:eastAsia="zh-CN"/>
        </w:rPr>
      </w:pPr>
    </w:p>
    <w:p w14:paraId="6BCB8A6E">
      <w:pPr>
        <w:rPr>
          <w:rFonts w:hint="default"/>
          <w:lang w:val="en-US" w:eastAsia="zh-CN"/>
        </w:rPr>
      </w:pPr>
    </w:p>
    <w:p w14:paraId="14B9D0D7">
      <w:pPr>
        <w:rPr>
          <w:rFonts w:hint="default"/>
          <w:lang w:val="en-US" w:eastAsia="zh-CN"/>
        </w:rPr>
      </w:pPr>
    </w:p>
    <w:p w14:paraId="3794996E">
      <w:pPr>
        <w:rPr>
          <w:rFonts w:hint="default"/>
          <w:lang w:val="en-US" w:eastAsia="zh-CN"/>
        </w:rPr>
      </w:pPr>
    </w:p>
    <w:p w14:paraId="252D9153">
      <w:pPr>
        <w:rPr>
          <w:rFonts w:hint="default"/>
          <w:lang w:val="en-US" w:eastAsia="zh-CN"/>
        </w:rPr>
      </w:pPr>
    </w:p>
    <w:p w14:paraId="28E9CC9D">
      <w:pPr>
        <w:rPr>
          <w:rFonts w:hint="default"/>
          <w:lang w:val="en-US" w:eastAsia="zh-CN"/>
        </w:rPr>
      </w:pPr>
    </w:p>
    <w:p w14:paraId="7904683B">
      <w:pPr>
        <w:rPr>
          <w:rFonts w:hint="default"/>
          <w:lang w:val="en-US" w:eastAsia="zh-CN"/>
        </w:rPr>
      </w:pPr>
    </w:p>
    <w:p w14:paraId="615CE447">
      <w:pPr>
        <w:rPr>
          <w:rFonts w:hint="eastAsia"/>
          <w:b/>
          <w:bCs/>
          <w:sz w:val="28"/>
          <w:szCs w:val="28"/>
          <w:lang w:val="en-US" w:eastAsia="zh-CN"/>
        </w:rPr>
      </w:pPr>
      <w:r>
        <w:rPr>
          <w:rFonts w:hint="eastAsia"/>
          <w:b/>
          <w:bCs/>
          <w:sz w:val="28"/>
          <w:szCs w:val="28"/>
          <w:lang w:val="en-US" w:eastAsia="zh-CN"/>
        </w:rPr>
        <w:t>附件2：</w:t>
      </w:r>
    </w:p>
    <w:p w14:paraId="0B69707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sz w:val="28"/>
          <w:szCs w:val="28"/>
          <w:lang w:val="en-US" w:eastAsia="zh-CN"/>
        </w:rPr>
      </w:pPr>
      <w:r>
        <w:rPr>
          <w:rStyle w:val="7"/>
          <w:rFonts w:hint="eastAsia" w:ascii="仿宋" w:hAnsi="仿宋" w:eastAsia="仿宋" w:cs="仿宋"/>
          <w:color w:val="auto"/>
          <w:kern w:val="2"/>
          <w:sz w:val="28"/>
          <w:szCs w:val="28"/>
          <w:shd w:val="clear" w:color="auto" w:fill="FFFFFF"/>
          <w:lang w:val="en-US" w:eastAsia="zh-CN"/>
        </w:rPr>
        <w:t>新</w:t>
      </w:r>
      <w:r>
        <w:rPr>
          <w:rStyle w:val="7"/>
          <w:rFonts w:hint="eastAsia" w:ascii="仿宋" w:hAnsi="仿宋" w:eastAsia="仿宋" w:cs="仿宋"/>
          <w:color w:val="auto"/>
          <w:kern w:val="2"/>
          <w:sz w:val="28"/>
          <w:szCs w:val="28"/>
          <w:shd w:val="clear" w:color="auto" w:fill="FFFFFF"/>
        </w:rPr>
        <w:t>版《建设工程工程量清单计价标准》</w:t>
      </w:r>
      <w:r>
        <w:rPr>
          <w:rStyle w:val="7"/>
          <w:rFonts w:hint="eastAsia" w:ascii="仿宋" w:hAnsi="仿宋" w:eastAsia="仿宋" w:cs="仿宋"/>
          <w:color w:val="auto"/>
          <w:kern w:val="2"/>
          <w:sz w:val="28"/>
          <w:szCs w:val="28"/>
          <w:shd w:val="clear" w:color="auto" w:fill="FFFFFF"/>
          <w:lang w:eastAsia="zh-CN"/>
        </w:rPr>
        <w:t>（</w:t>
      </w:r>
      <w:r>
        <w:rPr>
          <w:rStyle w:val="7"/>
          <w:rFonts w:hint="eastAsia" w:ascii="仿宋" w:hAnsi="仿宋" w:eastAsia="仿宋" w:cs="仿宋"/>
          <w:color w:val="auto"/>
          <w:kern w:val="2"/>
          <w:sz w:val="28"/>
          <w:szCs w:val="28"/>
          <w:shd w:val="clear" w:color="auto" w:fill="FFFFFF"/>
        </w:rPr>
        <w:t>GB/T50500-2024）释义运用</w:t>
      </w:r>
      <w:r>
        <w:rPr>
          <w:rStyle w:val="7"/>
          <w:rFonts w:hint="eastAsia" w:ascii="仿宋" w:hAnsi="仿宋" w:eastAsia="仿宋" w:cs="仿宋"/>
          <w:color w:val="auto"/>
          <w:kern w:val="2"/>
          <w:sz w:val="28"/>
          <w:szCs w:val="28"/>
          <w:shd w:val="clear" w:color="auto" w:fill="FFFFFF"/>
          <w:lang w:eastAsia="zh-CN"/>
        </w:rPr>
        <w:t>、</w:t>
      </w:r>
      <w:r>
        <w:rPr>
          <w:rStyle w:val="7"/>
          <w:rFonts w:hint="eastAsia" w:ascii="仿宋" w:hAnsi="仿宋" w:eastAsia="仿宋" w:cs="仿宋"/>
          <w:color w:val="auto"/>
          <w:kern w:val="2"/>
          <w:sz w:val="28"/>
          <w:szCs w:val="28"/>
          <w:shd w:val="clear" w:color="auto" w:fill="FFFFFF"/>
        </w:rPr>
        <w:t>政府投资项目全过程造价管控</w:t>
      </w:r>
      <w:r>
        <w:rPr>
          <w:rStyle w:val="7"/>
          <w:rFonts w:hint="eastAsia" w:ascii="仿宋" w:hAnsi="仿宋" w:eastAsia="仿宋" w:cs="仿宋"/>
          <w:color w:val="auto"/>
          <w:kern w:val="2"/>
          <w:sz w:val="28"/>
          <w:szCs w:val="28"/>
          <w:shd w:val="clear" w:color="auto" w:fill="FFFFFF"/>
          <w:lang w:val="en-US" w:eastAsia="zh-CN"/>
        </w:rPr>
        <w:t>与</w:t>
      </w:r>
      <w:r>
        <w:rPr>
          <w:rStyle w:val="7"/>
          <w:rFonts w:hint="eastAsia" w:ascii="仿宋" w:hAnsi="仿宋" w:eastAsia="仿宋" w:cs="仿宋"/>
          <w:color w:val="auto"/>
          <w:kern w:val="2"/>
          <w:sz w:val="28"/>
          <w:szCs w:val="28"/>
          <w:shd w:val="clear" w:color="auto" w:fill="FFFFFF"/>
        </w:rPr>
        <w:t>结算审计实务疑难点解析培训</w:t>
      </w:r>
      <w:r>
        <w:rPr>
          <w:rStyle w:val="7"/>
          <w:rFonts w:hint="eastAsia" w:ascii="仿宋" w:hAnsi="仿宋" w:eastAsia="仿宋" w:cs="仿宋"/>
          <w:color w:val="auto"/>
          <w:kern w:val="2"/>
          <w:sz w:val="28"/>
          <w:szCs w:val="28"/>
          <w:shd w:val="clear" w:color="auto" w:fill="FFFFFF"/>
          <w:lang w:val="en-US" w:eastAsia="zh-CN"/>
        </w:rPr>
        <w:t>班报名回执表</w:t>
      </w:r>
    </w:p>
    <w:tbl>
      <w:tblPr>
        <w:tblStyle w:val="5"/>
        <w:tblpPr w:leftFromText="180" w:rightFromText="180" w:vertAnchor="text" w:horzAnchor="page" w:tblpXSpec="center" w:tblpY="187"/>
        <w:tblOverlap w:val="never"/>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2"/>
        <w:gridCol w:w="935"/>
        <w:gridCol w:w="1208"/>
        <w:gridCol w:w="1417"/>
        <w:gridCol w:w="986"/>
        <w:gridCol w:w="996"/>
        <w:gridCol w:w="504"/>
        <w:gridCol w:w="948"/>
      </w:tblGrid>
      <w:tr w14:paraId="18CAD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932" w:type="dxa"/>
            <w:noWrap/>
            <w:vAlign w:val="center"/>
          </w:tcPr>
          <w:p w14:paraId="201245D5">
            <w:pPr>
              <w:spacing w:line="360" w:lineRule="exact"/>
              <w:ind w:right="80" w:rightChars="38"/>
              <w:rPr>
                <w:rFonts w:ascii="仿宋" w:hAnsi="仿宋" w:eastAsia="仿宋" w:cs="仿宋"/>
                <w:bCs/>
                <w:sz w:val="24"/>
              </w:rPr>
            </w:pPr>
            <w:r>
              <w:rPr>
                <w:rFonts w:hint="eastAsia" w:ascii="仿宋" w:hAnsi="仿宋" w:eastAsia="仿宋" w:cs="仿宋"/>
                <w:bCs/>
                <w:sz w:val="24"/>
              </w:rPr>
              <w:t>单位名称</w:t>
            </w:r>
          </w:p>
        </w:tc>
        <w:tc>
          <w:tcPr>
            <w:tcW w:w="4546" w:type="dxa"/>
            <w:gridSpan w:val="4"/>
            <w:noWrap/>
            <w:vAlign w:val="center"/>
          </w:tcPr>
          <w:p w14:paraId="30178628">
            <w:pPr>
              <w:spacing w:line="360" w:lineRule="exact"/>
              <w:ind w:right="80" w:rightChars="38"/>
              <w:rPr>
                <w:rFonts w:ascii="仿宋" w:hAnsi="仿宋" w:eastAsia="仿宋" w:cs="仿宋"/>
                <w:bCs/>
                <w:sz w:val="24"/>
              </w:rPr>
            </w:pPr>
          </w:p>
        </w:tc>
        <w:tc>
          <w:tcPr>
            <w:tcW w:w="996" w:type="dxa"/>
            <w:noWrap/>
            <w:vAlign w:val="center"/>
          </w:tcPr>
          <w:p w14:paraId="66143704">
            <w:pPr>
              <w:spacing w:line="360" w:lineRule="exact"/>
              <w:ind w:right="80" w:rightChars="38"/>
              <w:rPr>
                <w:rFonts w:ascii="仿宋" w:hAnsi="仿宋" w:eastAsia="仿宋" w:cs="仿宋"/>
                <w:bCs/>
                <w:sz w:val="24"/>
              </w:rPr>
            </w:pPr>
            <w:r>
              <w:rPr>
                <w:rFonts w:hint="eastAsia" w:ascii="仿宋" w:hAnsi="仿宋" w:eastAsia="仿宋" w:cs="仿宋"/>
                <w:bCs/>
                <w:sz w:val="24"/>
              </w:rPr>
              <w:t>邮编</w:t>
            </w:r>
          </w:p>
        </w:tc>
        <w:tc>
          <w:tcPr>
            <w:tcW w:w="1452" w:type="dxa"/>
            <w:gridSpan w:val="2"/>
            <w:noWrap/>
            <w:vAlign w:val="center"/>
          </w:tcPr>
          <w:p w14:paraId="35C381DC">
            <w:pPr>
              <w:spacing w:line="360" w:lineRule="exact"/>
              <w:ind w:left="149" w:right="80" w:rightChars="38" w:hanging="148" w:hangingChars="62"/>
              <w:rPr>
                <w:rFonts w:ascii="仿宋" w:hAnsi="仿宋" w:eastAsia="仿宋" w:cs="仿宋"/>
                <w:bCs/>
                <w:sz w:val="24"/>
              </w:rPr>
            </w:pPr>
          </w:p>
        </w:tc>
      </w:tr>
      <w:tr w14:paraId="271F4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932" w:type="dxa"/>
            <w:noWrap/>
            <w:vAlign w:val="center"/>
          </w:tcPr>
          <w:p w14:paraId="2B8BE479">
            <w:pPr>
              <w:spacing w:line="360" w:lineRule="exact"/>
              <w:ind w:right="80" w:rightChars="38"/>
              <w:rPr>
                <w:rFonts w:ascii="仿宋" w:hAnsi="仿宋" w:eastAsia="仿宋" w:cs="仿宋"/>
                <w:bCs/>
                <w:sz w:val="24"/>
              </w:rPr>
            </w:pPr>
            <w:r>
              <w:rPr>
                <w:rFonts w:hint="eastAsia" w:ascii="仿宋" w:hAnsi="仿宋" w:eastAsia="仿宋" w:cs="仿宋"/>
                <w:bCs/>
                <w:sz w:val="24"/>
              </w:rPr>
              <w:t>详细地址</w:t>
            </w:r>
          </w:p>
        </w:tc>
        <w:tc>
          <w:tcPr>
            <w:tcW w:w="6994" w:type="dxa"/>
            <w:gridSpan w:val="7"/>
            <w:noWrap/>
            <w:vAlign w:val="center"/>
          </w:tcPr>
          <w:p w14:paraId="10E9588D">
            <w:pPr>
              <w:spacing w:line="360" w:lineRule="exact"/>
              <w:ind w:right="80" w:rightChars="38"/>
              <w:rPr>
                <w:rFonts w:ascii="仿宋" w:hAnsi="仿宋" w:eastAsia="仿宋" w:cs="仿宋"/>
                <w:bCs/>
                <w:sz w:val="24"/>
              </w:rPr>
            </w:pPr>
          </w:p>
        </w:tc>
      </w:tr>
      <w:tr w14:paraId="63443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932" w:type="dxa"/>
            <w:noWrap/>
            <w:vAlign w:val="center"/>
          </w:tcPr>
          <w:p w14:paraId="22E9E6C6">
            <w:pPr>
              <w:spacing w:line="360" w:lineRule="exact"/>
              <w:ind w:right="80" w:rightChars="38"/>
              <w:rPr>
                <w:rFonts w:ascii="仿宋" w:hAnsi="仿宋" w:eastAsia="仿宋" w:cs="仿宋"/>
                <w:bCs/>
                <w:sz w:val="24"/>
              </w:rPr>
            </w:pPr>
            <w:r>
              <w:rPr>
                <w:rFonts w:hint="eastAsia" w:ascii="仿宋" w:hAnsi="仿宋" w:eastAsia="仿宋" w:cs="仿宋"/>
                <w:bCs/>
                <w:sz w:val="24"/>
              </w:rPr>
              <w:t>联系人</w:t>
            </w:r>
          </w:p>
        </w:tc>
        <w:tc>
          <w:tcPr>
            <w:tcW w:w="3560" w:type="dxa"/>
            <w:gridSpan w:val="3"/>
            <w:noWrap/>
            <w:vAlign w:val="center"/>
          </w:tcPr>
          <w:p w14:paraId="747F40C3">
            <w:pPr>
              <w:spacing w:line="360" w:lineRule="exact"/>
              <w:ind w:right="80" w:rightChars="38"/>
              <w:rPr>
                <w:rFonts w:ascii="仿宋" w:hAnsi="仿宋" w:eastAsia="仿宋" w:cs="仿宋"/>
                <w:bCs/>
                <w:sz w:val="24"/>
              </w:rPr>
            </w:pPr>
          </w:p>
        </w:tc>
        <w:tc>
          <w:tcPr>
            <w:tcW w:w="1982" w:type="dxa"/>
            <w:gridSpan w:val="2"/>
            <w:noWrap/>
            <w:vAlign w:val="center"/>
          </w:tcPr>
          <w:p w14:paraId="60BB1F3B">
            <w:pPr>
              <w:keepNext/>
              <w:spacing w:line="360" w:lineRule="exact"/>
              <w:ind w:right="80" w:rightChars="38"/>
              <w:outlineLvl w:val="0"/>
              <w:rPr>
                <w:rFonts w:ascii="仿宋" w:hAnsi="仿宋" w:eastAsia="仿宋" w:cs="仿宋"/>
                <w:bCs/>
                <w:sz w:val="24"/>
              </w:rPr>
            </w:pPr>
            <w:r>
              <w:rPr>
                <w:rFonts w:hint="eastAsia" w:ascii="仿宋" w:hAnsi="仿宋" w:eastAsia="仿宋" w:cs="仿宋"/>
                <w:bCs/>
                <w:sz w:val="24"/>
              </w:rPr>
              <w:t>E-mail</w:t>
            </w:r>
          </w:p>
        </w:tc>
        <w:tc>
          <w:tcPr>
            <w:tcW w:w="1452" w:type="dxa"/>
            <w:gridSpan w:val="2"/>
            <w:noWrap/>
            <w:vAlign w:val="center"/>
          </w:tcPr>
          <w:p w14:paraId="4BDFB4EE">
            <w:pPr>
              <w:spacing w:line="360" w:lineRule="exact"/>
              <w:ind w:right="80" w:rightChars="38"/>
              <w:rPr>
                <w:rFonts w:ascii="仿宋" w:hAnsi="仿宋" w:eastAsia="仿宋" w:cs="仿宋"/>
                <w:bCs/>
                <w:sz w:val="24"/>
              </w:rPr>
            </w:pPr>
          </w:p>
        </w:tc>
      </w:tr>
      <w:tr w14:paraId="2FD63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32" w:type="dxa"/>
            <w:noWrap/>
            <w:vAlign w:val="center"/>
          </w:tcPr>
          <w:p w14:paraId="035A78FC">
            <w:pPr>
              <w:spacing w:line="360" w:lineRule="exact"/>
              <w:ind w:right="80" w:rightChars="38"/>
              <w:rPr>
                <w:rFonts w:ascii="仿宋" w:hAnsi="仿宋" w:eastAsia="仿宋" w:cs="仿宋"/>
                <w:bCs/>
                <w:sz w:val="24"/>
              </w:rPr>
            </w:pPr>
            <w:r>
              <w:rPr>
                <w:rFonts w:hint="eastAsia" w:ascii="仿宋" w:hAnsi="仿宋" w:eastAsia="仿宋" w:cs="仿宋"/>
                <w:bCs/>
                <w:sz w:val="24"/>
              </w:rPr>
              <w:t>电话（区号）</w:t>
            </w:r>
          </w:p>
        </w:tc>
        <w:tc>
          <w:tcPr>
            <w:tcW w:w="3560" w:type="dxa"/>
            <w:gridSpan w:val="3"/>
            <w:noWrap/>
            <w:vAlign w:val="center"/>
          </w:tcPr>
          <w:p w14:paraId="66B31D97">
            <w:pPr>
              <w:spacing w:line="360" w:lineRule="exact"/>
              <w:ind w:right="80" w:rightChars="38"/>
              <w:rPr>
                <w:rFonts w:ascii="仿宋" w:hAnsi="仿宋" w:eastAsia="仿宋" w:cs="仿宋"/>
                <w:bCs/>
                <w:sz w:val="24"/>
              </w:rPr>
            </w:pPr>
          </w:p>
        </w:tc>
        <w:tc>
          <w:tcPr>
            <w:tcW w:w="1982" w:type="dxa"/>
            <w:gridSpan w:val="2"/>
            <w:noWrap/>
            <w:vAlign w:val="center"/>
          </w:tcPr>
          <w:p w14:paraId="5DD1C94E">
            <w:pPr>
              <w:spacing w:line="360" w:lineRule="exact"/>
              <w:ind w:right="80" w:rightChars="38"/>
              <w:rPr>
                <w:rFonts w:ascii="仿宋" w:hAnsi="仿宋" w:eastAsia="仿宋" w:cs="仿宋"/>
                <w:bCs/>
                <w:sz w:val="24"/>
              </w:rPr>
            </w:pPr>
            <w:r>
              <w:rPr>
                <w:rFonts w:hint="eastAsia" w:ascii="仿宋" w:hAnsi="仿宋" w:eastAsia="仿宋" w:cs="仿宋"/>
                <w:bCs/>
                <w:sz w:val="24"/>
              </w:rPr>
              <w:t>传真</w:t>
            </w:r>
          </w:p>
        </w:tc>
        <w:tc>
          <w:tcPr>
            <w:tcW w:w="1452" w:type="dxa"/>
            <w:gridSpan w:val="2"/>
            <w:noWrap/>
            <w:vAlign w:val="center"/>
          </w:tcPr>
          <w:p w14:paraId="12D30D04">
            <w:pPr>
              <w:spacing w:line="360" w:lineRule="exact"/>
              <w:ind w:right="80" w:rightChars="38"/>
              <w:rPr>
                <w:rFonts w:ascii="仿宋" w:hAnsi="仿宋" w:eastAsia="仿宋" w:cs="仿宋"/>
                <w:bCs/>
                <w:sz w:val="24"/>
              </w:rPr>
            </w:pPr>
          </w:p>
        </w:tc>
      </w:tr>
      <w:tr w14:paraId="3862D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32" w:type="dxa"/>
            <w:noWrap/>
            <w:vAlign w:val="center"/>
          </w:tcPr>
          <w:p w14:paraId="67F6830D">
            <w:pPr>
              <w:spacing w:line="360" w:lineRule="exact"/>
              <w:ind w:right="80" w:rightChars="38"/>
              <w:jc w:val="center"/>
              <w:rPr>
                <w:rFonts w:ascii="仿宋" w:hAnsi="仿宋" w:eastAsia="仿宋" w:cs="仿宋"/>
                <w:bCs/>
                <w:sz w:val="24"/>
              </w:rPr>
            </w:pPr>
            <w:r>
              <w:rPr>
                <w:rFonts w:hint="eastAsia" w:ascii="仿宋" w:hAnsi="仿宋" w:eastAsia="仿宋" w:cs="仿宋"/>
                <w:bCs/>
                <w:sz w:val="24"/>
              </w:rPr>
              <w:t>参班代表姓名</w:t>
            </w:r>
          </w:p>
        </w:tc>
        <w:tc>
          <w:tcPr>
            <w:tcW w:w="935" w:type="dxa"/>
            <w:noWrap/>
            <w:vAlign w:val="center"/>
          </w:tcPr>
          <w:p w14:paraId="0B3AA53E">
            <w:pPr>
              <w:spacing w:line="360" w:lineRule="exact"/>
              <w:ind w:right="80" w:rightChars="38"/>
              <w:jc w:val="center"/>
              <w:rPr>
                <w:rFonts w:ascii="仿宋" w:hAnsi="仿宋" w:eastAsia="仿宋" w:cs="仿宋"/>
                <w:bCs/>
                <w:sz w:val="24"/>
              </w:rPr>
            </w:pPr>
            <w:r>
              <w:rPr>
                <w:rFonts w:hint="eastAsia" w:ascii="仿宋" w:hAnsi="仿宋" w:eastAsia="仿宋" w:cs="仿宋"/>
                <w:bCs/>
                <w:sz w:val="24"/>
              </w:rPr>
              <w:t>性别</w:t>
            </w:r>
          </w:p>
        </w:tc>
        <w:tc>
          <w:tcPr>
            <w:tcW w:w="1208" w:type="dxa"/>
            <w:noWrap/>
            <w:vAlign w:val="center"/>
          </w:tcPr>
          <w:p w14:paraId="7626F9C5">
            <w:pPr>
              <w:spacing w:line="360" w:lineRule="exact"/>
              <w:ind w:right="80" w:rightChars="38"/>
              <w:jc w:val="center"/>
              <w:rPr>
                <w:rFonts w:ascii="仿宋" w:hAnsi="仿宋" w:eastAsia="仿宋" w:cs="仿宋"/>
                <w:bCs/>
                <w:sz w:val="24"/>
              </w:rPr>
            </w:pPr>
            <w:r>
              <w:rPr>
                <w:rFonts w:hint="eastAsia" w:ascii="仿宋" w:hAnsi="仿宋" w:eastAsia="仿宋" w:cs="仿宋"/>
                <w:bCs/>
                <w:sz w:val="24"/>
              </w:rPr>
              <w:t>部门</w:t>
            </w:r>
          </w:p>
        </w:tc>
        <w:tc>
          <w:tcPr>
            <w:tcW w:w="1417" w:type="dxa"/>
            <w:noWrap/>
            <w:vAlign w:val="center"/>
          </w:tcPr>
          <w:p w14:paraId="31A57FD3">
            <w:pPr>
              <w:spacing w:line="360" w:lineRule="exact"/>
              <w:ind w:right="80" w:rightChars="38"/>
              <w:jc w:val="center"/>
              <w:rPr>
                <w:rFonts w:ascii="仿宋" w:hAnsi="仿宋" w:eastAsia="仿宋" w:cs="仿宋"/>
                <w:bCs/>
                <w:sz w:val="24"/>
              </w:rPr>
            </w:pPr>
            <w:r>
              <w:rPr>
                <w:rFonts w:hint="eastAsia" w:ascii="仿宋" w:hAnsi="仿宋" w:eastAsia="仿宋" w:cs="仿宋"/>
                <w:bCs/>
                <w:sz w:val="24"/>
              </w:rPr>
              <w:t>职务</w:t>
            </w:r>
          </w:p>
        </w:tc>
        <w:tc>
          <w:tcPr>
            <w:tcW w:w="1982" w:type="dxa"/>
            <w:gridSpan w:val="2"/>
            <w:noWrap/>
            <w:vAlign w:val="center"/>
          </w:tcPr>
          <w:p w14:paraId="49C4BD1D">
            <w:pPr>
              <w:spacing w:line="360" w:lineRule="exact"/>
              <w:ind w:right="80" w:rightChars="38"/>
              <w:jc w:val="center"/>
              <w:rPr>
                <w:rFonts w:ascii="仿宋" w:hAnsi="仿宋" w:eastAsia="仿宋" w:cs="仿宋"/>
                <w:bCs/>
                <w:sz w:val="24"/>
              </w:rPr>
            </w:pPr>
            <w:r>
              <w:rPr>
                <w:rFonts w:hint="eastAsia" w:ascii="仿宋" w:hAnsi="仿宋" w:eastAsia="仿宋" w:cs="仿宋"/>
                <w:bCs/>
                <w:sz w:val="24"/>
              </w:rPr>
              <w:t>手机</w:t>
            </w:r>
          </w:p>
        </w:tc>
        <w:tc>
          <w:tcPr>
            <w:tcW w:w="1452" w:type="dxa"/>
            <w:gridSpan w:val="2"/>
            <w:noWrap/>
            <w:vAlign w:val="center"/>
          </w:tcPr>
          <w:p w14:paraId="4CE13FB8">
            <w:pPr>
              <w:spacing w:line="360" w:lineRule="exact"/>
              <w:ind w:right="80" w:rightChars="38"/>
              <w:jc w:val="center"/>
              <w:rPr>
                <w:rFonts w:ascii="仿宋" w:hAnsi="仿宋" w:eastAsia="仿宋" w:cs="仿宋"/>
                <w:bCs/>
                <w:sz w:val="24"/>
              </w:rPr>
            </w:pPr>
            <w:r>
              <w:rPr>
                <w:rFonts w:hint="eastAsia" w:ascii="仿宋" w:hAnsi="仿宋" w:eastAsia="仿宋" w:cs="仿宋"/>
                <w:bCs/>
                <w:sz w:val="24"/>
              </w:rPr>
              <w:t>E-mail</w:t>
            </w:r>
          </w:p>
        </w:tc>
      </w:tr>
      <w:tr w14:paraId="320B7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32" w:type="dxa"/>
            <w:noWrap/>
            <w:vAlign w:val="center"/>
          </w:tcPr>
          <w:p w14:paraId="00499D88">
            <w:pPr>
              <w:spacing w:line="360" w:lineRule="exact"/>
              <w:ind w:right="80" w:rightChars="38"/>
              <w:rPr>
                <w:rFonts w:ascii="仿宋" w:hAnsi="仿宋" w:eastAsia="仿宋" w:cs="仿宋"/>
                <w:bCs/>
                <w:sz w:val="24"/>
              </w:rPr>
            </w:pPr>
          </w:p>
        </w:tc>
        <w:tc>
          <w:tcPr>
            <w:tcW w:w="935" w:type="dxa"/>
            <w:noWrap/>
            <w:vAlign w:val="center"/>
          </w:tcPr>
          <w:p w14:paraId="300B964C">
            <w:pPr>
              <w:spacing w:line="360" w:lineRule="exact"/>
              <w:ind w:right="80" w:rightChars="38"/>
              <w:rPr>
                <w:rFonts w:ascii="仿宋" w:hAnsi="仿宋" w:eastAsia="仿宋" w:cs="仿宋"/>
                <w:bCs/>
                <w:sz w:val="24"/>
              </w:rPr>
            </w:pPr>
          </w:p>
        </w:tc>
        <w:tc>
          <w:tcPr>
            <w:tcW w:w="1208" w:type="dxa"/>
            <w:noWrap/>
            <w:vAlign w:val="center"/>
          </w:tcPr>
          <w:p w14:paraId="2329092C">
            <w:pPr>
              <w:spacing w:line="360" w:lineRule="exact"/>
              <w:ind w:right="80" w:rightChars="38"/>
              <w:rPr>
                <w:rFonts w:ascii="仿宋" w:hAnsi="仿宋" w:eastAsia="仿宋" w:cs="仿宋"/>
                <w:bCs/>
                <w:sz w:val="24"/>
              </w:rPr>
            </w:pPr>
          </w:p>
        </w:tc>
        <w:tc>
          <w:tcPr>
            <w:tcW w:w="1417" w:type="dxa"/>
            <w:noWrap/>
            <w:vAlign w:val="center"/>
          </w:tcPr>
          <w:p w14:paraId="0394D9A4">
            <w:pPr>
              <w:spacing w:line="360" w:lineRule="exact"/>
              <w:ind w:right="80" w:rightChars="38"/>
              <w:rPr>
                <w:rFonts w:ascii="仿宋" w:hAnsi="仿宋" w:eastAsia="仿宋" w:cs="仿宋"/>
                <w:bCs/>
                <w:sz w:val="24"/>
              </w:rPr>
            </w:pPr>
          </w:p>
        </w:tc>
        <w:tc>
          <w:tcPr>
            <w:tcW w:w="1982" w:type="dxa"/>
            <w:gridSpan w:val="2"/>
            <w:noWrap/>
            <w:vAlign w:val="center"/>
          </w:tcPr>
          <w:p w14:paraId="553D42DA">
            <w:pPr>
              <w:spacing w:line="360" w:lineRule="exact"/>
              <w:ind w:right="80" w:rightChars="38"/>
              <w:rPr>
                <w:rFonts w:ascii="仿宋" w:hAnsi="仿宋" w:eastAsia="仿宋" w:cs="仿宋"/>
                <w:bCs/>
                <w:sz w:val="24"/>
              </w:rPr>
            </w:pPr>
          </w:p>
        </w:tc>
        <w:tc>
          <w:tcPr>
            <w:tcW w:w="1452" w:type="dxa"/>
            <w:gridSpan w:val="2"/>
            <w:noWrap/>
            <w:vAlign w:val="center"/>
          </w:tcPr>
          <w:p w14:paraId="7B2899D5">
            <w:pPr>
              <w:spacing w:line="360" w:lineRule="exact"/>
              <w:ind w:right="80" w:rightChars="38"/>
              <w:rPr>
                <w:rFonts w:ascii="仿宋" w:hAnsi="仿宋" w:eastAsia="仿宋" w:cs="仿宋"/>
                <w:bCs/>
                <w:sz w:val="24"/>
              </w:rPr>
            </w:pPr>
          </w:p>
        </w:tc>
      </w:tr>
      <w:tr w14:paraId="724F7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32" w:type="dxa"/>
            <w:noWrap/>
            <w:vAlign w:val="center"/>
          </w:tcPr>
          <w:p w14:paraId="3699B5B4">
            <w:pPr>
              <w:spacing w:line="360" w:lineRule="exact"/>
              <w:ind w:right="80" w:rightChars="38"/>
              <w:rPr>
                <w:rFonts w:ascii="仿宋" w:hAnsi="仿宋" w:eastAsia="仿宋" w:cs="仿宋"/>
                <w:bCs/>
                <w:sz w:val="24"/>
              </w:rPr>
            </w:pPr>
          </w:p>
        </w:tc>
        <w:tc>
          <w:tcPr>
            <w:tcW w:w="935" w:type="dxa"/>
            <w:noWrap/>
            <w:vAlign w:val="center"/>
          </w:tcPr>
          <w:p w14:paraId="5962BA63">
            <w:pPr>
              <w:spacing w:line="360" w:lineRule="exact"/>
              <w:ind w:right="80" w:rightChars="38"/>
              <w:rPr>
                <w:rFonts w:ascii="仿宋" w:hAnsi="仿宋" w:eastAsia="仿宋" w:cs="仿宋"/>
                <w:bCs/>
                <w:sz w:val="24"/>
              </w:rPr>
            </w:pPr>
          </w:p>
        </w:tc>
        <w:tc>
          <w:tcPr>
            <w:tcW w:w="1208" w:type="dxa"/>
            <w:noWrap/>
            <w:vAlign w:val="center"/>
          </w:tcPr>
          <w:p w14:paraId="466B386F">
            <w:pPr>
              <w:spacing w:line="360" w:lineRule="exact"/>
              <w:ind w:right="80" w:rightChars="38"/>
              <w:rPr>
                <w:rFonts w:ascii="仿宋" w:hAnsi="仿宋" w:eastAsia="仿宋" w:cs="仿宋"/>
                <w:bCs/>
                <w:sz w:val="24"/>
              </w:rPr>
            </w:pPr>
          </w:p>
        </w:tc>
        <w:tc>
          <w:tcPr>
            <w:tcW w:w="1417" w:type="dxa"/>
            <w:noWrap/>
            <w:vAlign w:val="center"/>
          </w:tcPr>
          <w:p w14:paraId="074869CF">
            <w:pPr>
              <w:spacing w:line="360" w:lineRule="exact"/>
              <w:ind w:right="80" w:rightChars="38"/>
              <w:rPr>
                <w:rFonts w:ascii="仿宋" w:hAnsi="仿宋" w:eastAsia="仿宋" w:cs="仿宋"/>
                <w:bCs/>
                <w:sz w:val="24"/>
              </w:rPr>
            </w:pPr>
          </w:p>
        </w:tc>
        <w:tc>
          <w:tcPr>
            <w:tcW w:w="1982" w:type="dxa"/>
            <w:gridSpan w:val="2"/>
            <w:noWrap/>
            <w:vAlign w:val="center"/>
          </w:tcPr>
          <w:p w14:paraId="445730E7">
            <w:pPr>
              <w:spacing w:line="360" w:lineRule="exact"/>
              <w:ind w:right="80" w:rightChars="38"/>
              <w:rPr>
                <w:rFonts w:ascii="仿宋" w:hAnsi="仿宋" w:eastAsia="仿宋" w:cs="仿宋"/>
                <w:bCs/>
                <w:sz w:val="24"/>
              </w:rPr>
            </w:pPr>
          </w:p>
        </w:tc>
        <w:tc>
          <w:tcPr>
            <w:tcW w:w="1452" w:type="dxa"/>
            <w:gridSpan w:val="2"/>
            <w:noWrap/>
            <w:vAlign w:val="center"/>
          </w:tcPr>
          <w:p w14:paraId="6F02D2C6">
            <w:pPr>
              <w:spacing w:line="360" w:lineRule="exact"/>
              <w:ind w:right="80" w:rightChars="38"/>
              <w:rPr>
                <w:rFonts w:ascii="仿宋" w:hAnsi="仿宋" w:eastAsia="仿宋" w:cs="仿宋"/>
                <w:bCs/>
                <w:sz w:val="24"/>
              </w:rPr>
            </w:pPr>
          </w:p>
        </w:tc>
      </w:tr>
      <w:tr w14:paraId="76776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32" w:type="dxa"/>
            <w:noWrap/>
            <w:vAlign w:val="center"/>
          </w:tcPr>
          <w:p w14:paraId="34DF3D62">
            <w:pPr>
              <w:spacing w:line="360" w:lineRule="exact"/>
              <w:ind w:right="80" w:rightChars="38"/>
              <w:rPr>
                <w:rFonts w:ascii="仿宋" w:hAnsi="仿宋" w:eastAsia="仿宋" w:cs="仿宋"/>
                <w:bCs/>
                <w:sz w:val="24"/>
              </w:rPr>
            </w:pPr>
          </w:p>
        </w:tc>
        <w:tc>
          <w:tcPr>
            <w:tcW w:w="935" w:type="dxa"/>
            <w:noWrap/>
            <w:vAlign w:val="center"/>
          </w:tcPr>
          <w:p w14:paraId="7F914385">
            <w:pPr>
              <w:spacing w:line="360" w:lineRule="exact"/>
              <w:ind w:right="80" w:rightChars="38"/>
              <w:rPr>
                <w:rFonts w:ascii="仿宋" w:hAnsi="仿宋" w:eastAsia="仿宋" w:cs="仿宋"/>
                <w:bCs/>
                <w:sz w:val="24"/>
              </w:rPr>
            </w:pPr>
          </w:p>
        </w:tc>
        <w:tc>
          <w:tcPr>
            <w:tcW w:w="1208" w:type="dxa"/>
            <w:noWrap/>
            <w:vAlign w:val="center"/>
          </w:tcPr>
          <w:p w14:paraId="795D1E22">
            <w:pPr>
              <w:spacing w:line="360" w:lineRule="exact"/>
              <w:ind w:right="80" w:rightChars="38"/>
              <w:rPr>
                <w:rFonts w:ascii="仿宋" w:hAnsi="仿宋" w:eastAsia="仿宋" w:cs="仿宋"/>
                <w:bCs/>
                <w:sz w:val="24"/>
              </w:rPr>
            </w:pPr>
          </w:p>
        </w:tc>
        <w:tc>
          <w:tcPr>
            <w:tcW w:w="1417" w:type="dxa"/>
            <w:noWrap/>
            <w:vAlign w:val="center"/>
          </w:tcPr>
          <w:p w14:paraId="3BE4E02E">
            <w:pPr>
              <w:spacing w:line="360" w:lineRule="exact"/>
              <w:ind w:right="80" w:rightChars="38"/>
              <w:rPr>
                <w:rFonts w:ascii="仿宋" w:hAnsi="仿宋" w:eastAsia="仿宋" w:cs="仿宋"/>
                <w:bCs/>
                <w:sz w:val="24"/>
              </w:rPr>
            </w:pPr>
          </w:p>
        </w:tc>
        <w:tc>
          <w:tcPr>
            <w:tcW w:w="1982" w:type="dxa"/>
            <w:gridSpan w:val="2"/>
            <w:noWrap/>
            <w:vAlign w:val="center"/>
          </w:tcPr>
          <w:p w14:paraId="3345AFAD">
            <w:pPr>
              <w:spacing w:line="360" w:lineRule="exact"/>
              <w:ind w:right="80" w:rightChars="38"/>
              <w:rPr>
                <w:rFonts w:ascii="仿宋" w:hAnsi="仿宋" w:eastAsia="仿宋" w:cs="仿宋"/>
                <w:bCs/>
                <w:sz w:val="24"/>
              </w:rPr>
            </w:pPr>
          </w:p>
        </w:tc>
        <w:tc>
          <w:tcPr>
            <w:tcW w:w="1452" w:type="dxa"/>
            <w:gridSpan w:val="2"/>
            <w:noWrap/>
            <w:vAlign w:val="center"/>
          </w:tcPr>
          <w:p w14:paraId="64B220E8">
            <w:pPr>
              <w:spacing w:line="360" w:lineRule="exact"/>
              <w:ind w:right="80" w:rightChars="38"/>
              <w:rPr>
                <w:rFonts w:ascii="仿宋" w:hAnsi="仿宋" w:eastAsia="仿宋" w:cs="仿宋"/>
                <w:bCs/>
                <w:sz w:val="24"/>
              </w:rPr>
            </w:pPr>
          </w:p>
        </w:tc>
      </w:tr>
      <w:tr w14:paraId="08F4B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32" w:type="dxa"/>
            <w:noWrap/>
            <w:vAlign w:val="center"/>
          </w:tcPr>
          <w:p w14:paraId="303F09E3">
            <w:pPr>
              <w:spacing w:line="360" w:lineRule="exact"/>
              <w:ind w:right="80" w:rightChars="38"/>
              <w:rPr>
                <w:rFonts w:ascii="仿宋" w:hAnsi="仿宋" w:eastAsia="仿宋" w:cs="仿宋"/>
                <w:bCs/>
                <w:sz w:val="24"/>
              </w:rPr>
            </w:pPr>
          </w:p>
        </w:tc>
        <w:tc>
          <w:tcPr>
            <w:tcW w:w="935" w:type="dxa"/>
            <w:noWrap/>
            <w:vAlign w:val="center"/>
          </w:tcPr>
          <w:p w14:paraId="6E2E5AA8">
            <w:pPr>
              <w:spacing w:line="360" w:lineRule="exact"/>
              <w:ind w:right="80" w:rightChars="38"/>
              <w:rPr>
                <w:rFonts w:ascii="仿宋" w:hAnsi="仿宋" w:eastAsia="仿宋" w:cs="仿宋"/>
                <w:bCs/>
                <w:sz w:val="24"/>
              </w:rPr>
            </w:pPr>
          </w:p>
        </w:tc>
        <w:tc>
          <w:tcPr>
            <w:tcW w:w="1208" w:type="dxa"/>
            <w:noWrap/>
            <w:vAlign w:val="center"/>
          </w:tcPr>
          <w:p w14:paraId="17C1E039">
            <w:pPr>
              <w:spacing w:line="360" w:lineRule="exact"/>
              <w:ind w:right="80" w:rightChars="38"/>
              <w:rPr>
                <w:rFonts w:ascii="仿宋" w:hAnsi="仿宋" w:eastAsia="仿宋" w:cs="仿宋"/>
                <w:bCs/>
                <w:sz w:val="24"/>
              </w:rPr>
            </w:pPr>
          </w:p>
        </w:tc>
        <w:tc>
          <w:tcPr>
            <w:tcW w:w="1417" w:type="dxa"/>
            <w:noWrap/>
            <w:vAlign w:val="center"/>
          </w:tcPr>
          <w:p w14:paraId="7BB74A30">
            <w:pPr>
              <w:spacing w:line="360" w:lineRule="exact"/>
              <w:ind w:right="80" w:rightChars="38"/>
              <w:rPr>
                <w:rFonts w:ascii="仿宋" w:hAnsi="仿宋" w:eastAsia="仿宋" w:cs="仿宋"/>
                <w:bCs/>
                <w:sz w:val="24"/>
              </w:rPr>
            </w:pPr>
          </w:p>
        </w:tc>
        <w:tc>
          <w:tcPr>
            <w:tcW w:w="1982" w:type="dxa"/>
            <w:gridSpan w:val="2"/>
            <w:noWrap/>
            <w:vAlign w:val="center"/>
          </w:tcPr>
          <w:p w14:paraId="476238C2">
            <w:pPr>
              <w:spacing w:line="360" w:lineRule="exact"/>
              <w:ind w:right="80" w:rightChars="38"/>
              <w:rPr>
                <w:rFonts w:ascii="仿宋" w:hAnsi="仿宋" w:eastAsia="仿宋" w:cs="仿宋"/>
                <w:bCs/>
                <w:sz w:val="24"/>
              </w:rPr>
            </w:pPr>
          </w:p>
        </w:tc>
        <w:tc>
          <w:tcPr>
            <w:tcW w:w="1452" w:type="dxa"/>
            <w:gridSpan w:val="2"/>
            <w:noWrap/>
            <w:vAlign w:val="center"/>
          </w:tcPr>
          <w:p w14:paraId="5D230543">
            <w:pPr>
              <w:spacing w:line="360" w:lineRule="exact"/>
              <w:ind w:right="80" w:rightChars="38"/>
              <w:rPr>
                <w:rFonts w:ascii="仿宋" w:hAnsi="仿宋" w:eastAsia="仿宋" w:cs="仿宋"/>
                <w:bCs/>
                <w:sz w:val="24"/>
              </w:rPr>
            </w:pPr>
          </w:p>
        </w:tc>
      </w:tr>
      <w:tr w14:paraId="443FD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32" w:type="dxa"/>
            <w:noWrap/>
            <w:vAlign w:val="center"/>
          </w:tcPr>
          <w:p w14:paraId="2EC7EEAD">
            <w:pPr>
              <w:spacing w:line="360" w:lineRule="exact"/>
              <w:ind w:right="80" w:rightChars="38"/>
              <w:rPr>
                <w:rFonts w:ascii="仿宋" w:hAnsi="仿宋" w:eastAsia="仿宋" w:cs="仿宋"/>
                <w:bCs/>
                <w:sz w:val="24"/>
              </w:rPr>
            </w:pPr>
          </w:p>
        </w:tc>
        <w:tc>
          <w:tcPr>
            <w:tcW w:w="935" w:type="dxa"/>
            <w:noWrap/>
            <w:vAlign w:val="center"/>
          </w:tcPr>
          <w:p w14:paraId="4DCDBF4E">
            <w:pPr>
              <w:spacing w:line="360" w:lineRule="exact"/>
              <w:ind w:right="80" w:rightChars="38"/>
              <w:rPr>
                <w:rFonts w:ascii="仿宋" w:hAnsi="仿宋" w:eastAsia="仿宋" w:cs="仿宋"/>
                <w:bCs/>
                <w:sz w:val="24"/>
              </w:rPr>
            </w:pPr>
          </w:p>
        </w:tc>
        <w:tc>
          <w:tcPr>
            <w:tcW w:w="1208" w:type="dxa"/>
            <w:noWrap/>
            <w:vAlign w:val="center"/>
          </w:tcPr>
          <w:p w14:paraId="09CD1826">
            <w:pPr>
              <w:spacing w:line="360" w:lineRule="exact"/>
              <w:ind w:right="80" w:rightChars="38"/>
              <w:rPr>
                <w:rFonts w:ascii="仿宋" w:hAnsi="仿宋" w:eastAsia="仿宋" w:cs="仿宋"/>
                <w:bCs/>
                <w:sz w:val="24"/>
              </w:rPr>
            </w:pPr>
          </w:p>
        </w:tc>
        <w:tc>
          <w:tcPr>
            <w:tcW w:w="1417" w:type="dxa"/>
            <w:noWrap/>
            <w:vAlign w:val="center"/>
          </w:tcPr>
          <w:p w14:paraId="3AA4E647">
            <w:pPr>
              <w:spacing w:line="360" w:lineRule="exact"/>
              <w:ind w:right="80" w:rightChars="38"/>
              <w:rPr>
                <w:rFonts w:ascii="仿宋" w:hAnsi="仿宋" w:eastAsia="仿宋" w:cs="仿宋"/>
                <w:bCs/>
                <w:sz w:val="24"/>
              </w:rPr>
            </w:pPr>
          </w:p>
        </w:tc>
        <w:tc>
          <w:tcPr>
            <w:tcW w:w="1982" w:type="dxa"/>
            <w:gridSpan w:val="2"/>
            <w:noWrap/>
            <w:vAlign w:val="center"/>
          </w:tcPr>
          <w:p w14:paraId="32837FD3">
            <w:pPr>
              <w:spacing w:line="360" w:lineRule="exact"/>
              <w:ind w:right="80" w:rightChars="38"/>
              <w:rPr>
                <w:rFonts w:ascii="仿宋" w:hAnsi="仿宋" w:eastAsia="仿宋" w:cs="仿宋"/>
                <w:bCs/>
                <w:sz w:val="24"/>
              </w:rPr>
            </w:pPr>
          </w:p>
        </w:tc>
        <w:tc>
          <w:tcPr>
            <w:tcW w:w="1452" w:type="dxa"/>
            <w:gridSpan w:val="2"/>
            <w:noWrap/>
            <w:vAlign w:val="center"/>
          </w:tcPr>
          <w:p w14:paraId="0DFE1841">
            <w:pPr>
              <w:spacing w:line="360" w:lineRule="exact"/>
              <w:ind w:right="80" w:rightChars="38"/>
              <w:rPr>
                <w:rFonts w:ascii="仿宋" w:hAnsi="仿宋" w:eastAsia="仿宋" w:cs="仿宋"/>
                <w:bCs/>
                <w:sz w:val="24"/>
              </w:rPr>
            </w:pPr>
          </w:p>
        </w:tc>
      </w:tr>
      <w:tr w14:paraId="481AF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32" w:type="dxa"/>
            <w:noWrap/>
            <w:vAlign w:val="center"/>
          </w:tcPr>
          <w:p w14:paraId="025127B7">
            <w:pPr>
              <w:spacing w:line="360" w:lineRule="exact"/>
              <w:ind w:right="80" w:rightChars="38"/>
              <w:rPr>
                <w:rFonts w:ascii="仿宋" w:hAnsi="仿宋" w:eastAsia="仿宋" w:cs="仿宋"/>
                <w:bCs/>
                <w:sz w:val="24"/>
              </w:rPr>
            </w:pPr>
          </w:p>
        </w:tc>
        <w:tc>
          <w:tcPr>
            <w:tcW w:w="935" w:type="dxa"/>
            <w:noWrap/>
            <w:vAlign w:val="center"/>
          </w:tcPr>
          <w:p w14:paraId="466E2156">
            <w:pPr>
              <w:spacing w:line="360" w:lineRule="exact"/>
              <w:ind w:right="80" w:rightChars="38"/>
              <w:rPr>
                <w:rFonts w:ascii="仿宋" w:hAnsi="仿宋" w:eastAsia="仿宋" w:cs="仿宋"/>
                <w:bCs/>
                <w:sz w:val="24"/>
              </w:rPr>
            </w:pPr>
          </w:p>
        </w:tc>
        <w:tc>
          <w:tcPr>
            <w:tcW w:w="1208" w:type="dxa"/>
            <w:noWrap/>
            <w:vAlign w:val="center"/>
          </w:tcPr>
          <w:p w14:paraId="05D687E4">
            <w:pPr>
              <w:spacing w:line="360" w:lineRule="exact"/>
              <w:ind w:right="80" w:rightChars="38"/>
              <w:rPr>
                <w:rFonts w:ascii="仿宋" w:hAnsi="仿宋" w:eastAsia="仿宋" w:cs="仿宋"/>
                <w:bCs/>
                <w:sz w:val="24"/>
              </w:rPr>
            </w:pPr>
          </w:p>
        </w:tc>
        <w:tc>
          <w:tcPr>
            <w:tcW w:w="1417" w:type="dxa"/>
            <w:noWrap/>
            <w:vAlign w:val="center"/>
          </w:tcPr>
          <w:p w14:paraId="7F4A25C8">
            <w:pPr>
              <w:spacing w:line="360" w:lineRule="exact"/>
              <w:ind w:right="80" w:rightChars="38"/>
              <w:rPr>
                <w:rFonts w:ascii="仿宋" w:hAnsi="仿宋" w:eastAsia="仿宋" w:cs="仿宋"/>
                <w:bCs/>
                <w:sz w:val="24"/>
              </w:rPr>
            </w:pPr>
          </w:p>
        </w:tc>
        <w:tc>
          <w:tcPr>
            <w:tcW w:w="1982" w:type="dxa"/>
            <w:gridSpan w:val="2"/>
            <w:noWrap/>
            <w:vAlign w:val="center"/>
          </w:tcPr>
          <w:p w14:paraId="556640D3">
            <w:pPr>
              <w:spacing w:line="360" w:lineRule="exact"/>
              <w:ind w:right="80" w:rightChars="38"/>
              <w:rPr>
                <w:rFonts w:ascii="仿宋" w:hAnsi="仿宋" w:eastAsia="仿宋" w:cs="仿宋"/>
                <w:bCs/>
                <w:sz w:val="24"/>
              </w:rPr>
            </w:pPr>
          </w:p>
        </w:tc>
        <w:tc>
          <w:tcPr>
            <w:tcW w:w="1452" w:type="dxa"/>
            <w:gridSpan w:val="2"/>
            <w:noWrap/>
            <w:vAlign w:val="center"/>
          </w:tcPr>
          <w:p w14:paraId="5279BD63">
            <w:pPr>
              <w:spacing w:line="360" w:lineRule="exact"/>
              <w:ind w:right="80" w:rightChars="38"/>
              <w:rPr>
                <w:rFonts w:ascii="仿宋" w:hAnsi="仿宋" w:eastAsia="仿宋" w:cs="仿宋"/>
                <w:bCs/>
                <w:sz w:val="24"/>
              </w:rPr>
            </w:pPr>
          </w:p>
        </w:tc>
      </w:tr>
      <w:tr w14:paraId="0A121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32" w:type="dxa"/>
            <w:noWrap/>
            <w:vAlign w:val="center"/>
          </w:tcPr>
          <w:p w14:paraId="2AE4229E">
            <w:pPr>
              <w:spacing w:line="360" w:lineRule="exact"/>
              <w:ind w:right="80" w:rightChars="38"/>
              <w:rPr>
                <w:rFonts w:ascii="仿宋" w:hAnsi="仿宋" w:eastAsia="仿宋" w:cs="仿宋"/>
                <w:bCs/>
                <w:sz w:val="24"/>
              </w:rPr>
            </w:pPr>
          </w:p>
        </w:tc>
        <w:tc>
          <w:tcPr>
            <w:tcW w:w="935" w:type="dxa"/>
            <w:noWrap/>
            <w:vAlign w:val="center"/>
          </w:tcPr>
          <w:p w14:paraId="74F6EA38">
            <w:pPr>
              <w:spacing w:line="360" w:lineRule="exact"/>
              <w:ind w:right="80" w:rightChars="38"/>
              <w:rPr>
                <w:rFonts w:ascii="仿宋" w:hAnsi="仿宋" w:eastAsia="仿宋" w:cs="仿宋"/>
                <w:bCs/>
                <w:sz w:val="24"/>
              </w:rPr>
            </w:pPr>
          </w:p>
        </w:tc>
        <w:tc>
          <w:tcPr>
            <w:tcW w:w="1208" w:type="dxa"/>
            <w:noWrap/>
            <w:vAlign w:val="center"/>
          </w:tcPr>
          <w:p w14:paraId="0BA27950">
            <w:pPr>
              <w:spacing w:line="360" w:lineRule="exact"/>
              <w:ind w:right="80" w:rightChars="38"/>
              <w:rPr>
                <w:rFonts w:ascii="仿宋" w:hAnsi="仿宋" w:eastAsia="仿宋" w:cs="仿宋"/>
                <w:bCs/>
                <w:sz w:val="24"/>
              </w:rPr>
            </w:pPr>
          </w:p>
        </w:tc>
        <w:tc>
          <w:tcPr>
            <w:tcW w:w="1417" w:type="dxa"/>
            <w:noWrap/>
            <w:vAlign w:val="center"/>
          </w:tcPr>
          <w:p w14:paraId="7628A1F5">
            <w:pPr>
              <w:spacing w:line="360" w:lineRule="exact"/>
              <w:ind w:right="80" w:rightChars="38"/>
              <w:rPr>
                <w:rFonts w:ascii="仿宋" w:hAnsi="仿宋" w:eastAsia="仿宋" w:cs="仿宋"/>
                <w:bCs/>
                <w:sz w:val="24"/>
              </w:rPr>
            </w:pPr>
          </w:p>
        </w:tc>
        <w:tc>
          <w:tcPr>
            <w:tcW w:w="1982" w:type="dxa"/>
            <w:gridSpan w:val="2"/>
            <w:noWrap/>
            <w:vAlign w:val="center"/>
          </w:tcPr>
          <w:p w14:paraId="20374B4B">
            <w:pPr>
              <w:spacing w:line="360" w:lineRule="exact"/>
              <w:ind w:right="80" w:rightChars="38"/>
              <w:rPr>
                <w:rFonts w:ascii="仿宋" w:hAnsi="仿宋" w:eastAsia="仿宋" w:cs="仿宋"/>
                <w:bCs/>
                <w:sz w:val="24"/>
              </w:rPr>
            </w:pPr>
          </w:p>
        </w:tc>
        <w:tc>
          <w:tcPr>
            <w:tcW w:w="1452" w:type="dxa"/>
            <w:gridSpan w:val="2"/>
            <w:noWrap/>
            <w:vAlign w:val="center"/>
          </w:tcPr>
          <w:p w14:paraId="0A6DBEA0">
            <w:pPr>
              <w:spacing w:line="360" w:lineRule="exact"/>
              <w:ind w:right="80" w:rightChars="38"/>
              <w:rPr>
                <w:rFonts w:ascii="仿宋" w:hAnsi="仿宋" w:eastAsia="仿宋" w:cs="仿宋"/>
                <w:bCs/>
                <w:sz w:val="24"/>
              </w:rPr>
            </w:pPr>
          </w:p>
        </w:tc>
      </w:tr>
      <w:tr w14:paraId="186ED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32" w:type="dxa"/>
            <w:noWrap/>
            <w:vAlign w:val="center"/>
          </w:tcPr>
          <w:p w14:paraId="7E945AA5">
            <w:pPr>
              <w:spacing w:line="360" w:lineRule="exact"/>
              <w:ind w:right="80" w:rightChars="38"/>
              <w:rPr>
                <w:rFonts w:ascii="仿宋" w:hAnsi="仿宋" w:eastAsia="仿宋" w:cs="仿宋"/>
                <w:bCs/>
                <w:sz w:val="24"/>
              </w:rPr>
            </w:pPr>
            <w:r>
              <w:rPr>
                <w:rFonts w:hint="eastAsia" w:ascii="仿宋" w:hAnsi="仿宋" w:eastAsia="仿宋" w:cs="仿宋"/>
                <w:bCs/>
                <w:sz w:val="24"/>
              </w:rPr>
              <w:t>住宿安排</w:t>
            </w:r>
          </w:p>
        </w:tc>
        <w:tc>
          <w:tcPr>
            <w:tcW w:w="6994" w:type="dxa"/>
            <w:gridSpan w:val="7"/>
            <w:noWrap/>
            <w:vAlign w:val="center"/>
          </w:tcPr>
          <w:p w14:paraId="0E40AF46">
            <w:pPr>
              <w:spacing w:line="360" w:lineRule="exact"/>
              <w:ind w:right="80" w:rightChars="38"/>
              <w:rPr>
                <w:rFonts w:ascii="仿宋" w:hAnsi="仿宋" w:eastAsia="仿宋" w:cs="仿宋"/>
                <w:bCs/>
                <w:sz w:val="24"/>
              </w:rPr>
            </w:pPr>
            <w:r>
              <w:rPr>
                <w:rFonts w:hint="eastAsia" w:ascii="仿宋" w:hAnsi="仿宋" w:eastAsia="仿宋" w:cs="仿宋"/>
                <w:bCs/>
                <w:sz w:val="24"/>
              </w:rPr>
              <w:t>□单间    □标间   订房数量</w:t>
            </w:r>
            <w:r>
              <w:rPr>
                <w:rFonts w:hint="eastAsia" w:ascii="仿宋" w:hAnsi="仿宋" w:eastAsia="仿宋" w:cs="仿宋"/>
                <w:bCs/>
                <w:sz w:val="24"/>
                <w:u w:val="single"/>
              </w:rPr>
              <w:t xml:space="preserve">    </w:t>
            </w:r>
            <w:r>
              <w:rPr>
                <w:rFonts w:hint="eastAsia" w:ascii="仿宋" w:hAnsi="仿宋" w:eastAsia="仿宋" w:cs="仿宋"/>
                <w:bCs/>
                <w:sz w:val="24"/>
              </w:rPr>
              <w:t>间    □否    □自行安排</w:t>
            </w:r>
          </w:p>
        </w:tc>
      </w:tr>
      <w:tr w14:paraId="5DC73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932" w:type="dxa"/>
            <w:noWrap/>
            <w:vAlign w:val="center"/>
          </w:tcPr>
          <w:p w14:paraId="1541F276">
            <w:pPr>
              <w:spacing w:line="360" w:lineRule="exact"/>
              <w:ind w:right="80" w:rightChars="38"/>
              <w:rPr>
                <w:rFonts w:ascii="仿宋" w:hAnsi="仿宋" w:eastAsia="仿宋" w:cs="仿宋"/>
                <w:bCs/>
                <w:sz w:val="24"/>
              </w:rPr>
            </w:pPr>
            <w:r>
              <w:rPr>
                <w:rFonts w:hint="eastAsia" w:ascii="仿宋" w:hAnsi="仿宋" w:eastAsia="仿宋" w:cs="仿宋"/>
                <w:bCs/>
                <w:sz w:val="24"/>
              </w:rPr>
              <w:t>参会地点</w:t>
            </w:r>
          </w:p>
        </w:tc>
        <w:tc>
          <w:tcPr>
            <w:tcW w:w="4546" w:type="dxa"/>
            <w:gridSpan w:val="4"/>
            <w:noWrap/>
            <w:vAlign w:val="center"/>
          </w:tcPr>
          <w:p w14:paraId="0CC7DBD2">
            <w:pPr>
              <w:spacing w:line="360" w:lineRule="exact"/>
              <w:ind w:right="80" w:rightChars="38"/>
              <w:rPr>
                <w:rFonts w:hint="default" w:ascii="仿宋" w:hAnsi="仿宋" w:eastAsia="仿宋" w:cs="仿宋"/>
                <w:bCs/>
                <w:sz w:val="24"/>
                <w:lang w:val="en-US" w:eastAsia="zh-CN"/>
              </w:rPr>
            </w:pPr>
            <w:r>
              <w:rPr>
                <w:rFonts w:hint="eastAsia" w:ascii="仿宋" w:hAnsi="仿宋" w:eastAsia="仿宋" w:cs="仿宋"/>
                <w:bCs/>
                <w:sz w:val="24"/>
                <w:lang w:val="en-US" w:eastAsia="zh-CN"/>
              </w:rPr>
              <w:t xml:space="preserve">   </w:t>
            </w:r>
            <w:r>
              <w:rPr>
                <w:rFonts w:hint="eastAsia" w:ascii="仿宋" w:hAnsi="仿宋" w:eastAsia="仿宋" w:cs="仿宋"/>
                <w:bCs/>
                <w:sz w:val="24"/>
              </w:rPr>
              <w:t>□</w:t>
            </w:r>
            <w:r>
              <w:rPr>
                <w:rFonts w:hint="eastAsia" w:ascii="仿宋" w:hAnsi="仿宋" w:eastAsia="仿宋" w:cs="仿宋"/>
                <w:bCs/>
                <w:sz w:val="24"/>
                <w:lang w:val="en-US" w:eastAsia="zh-CN"/>
              </w:rPr>
              <w:t xml:space="preserve">天津   </w:t>
            </w:r>
            <w:r>
              <w:rPr>
                <w:rFonts w:hint="eastAsia" w:ascii="仿宋" w:hAnsi="仿宋" w:eastAsia="仿宋" w:cs="仿宋"/>
                <w:bCs/>
                <w:sz w:val="24"/>
              </w:rPr>
              <w:t xml:space="preserve"> □</w:t>
            </w:r>
            <w:r>
              <w:rPr>
                <w:rFonts w:hint="eastAsia" w:ascii="仿宋" w:hAnsi="仿宋" w:eastAsia="仿宋" w:cs="仿宋"/>
                <w:bCs/>
                <w:sz w:val="24"/>
                <w:lang w:val="en-US" w:eastAsia="zh-CN"/>
              </w:rPr>
              <w:t xml:space="preserve">北京 </w:t>
            </w:r>
          </w:p>
        </w:tc>
        <w:tc>
          <w:tcPr>
            <w:tcW w:w="1500" w:type="dxa"/>
            <w:gridSpan w:val="2"/>
            <w:noWrap/>
            <w:vAlign w:val="center"/>
          </w:tcPr>
          <w:p w14:paraId="566695D2">
            <w:pPr>
              <w:spacing w:line="360" w:lineRule="exact"/>
              <w:ind w:right="80" w:rightChars="38"/>
              <w:rPr>
                <w:rFonts w:ascii="仿宋" w:hAnsi="仿宋" w:eastAsia="仿宋" w:cs="仿宋"/>
                <w:bCs/>
                <w:sz w:val="24"/>
              </w:rPr>
            </w:pPr>
            <w:r>
              <w:rPr>
                <w:rFonts w:hint="eastAsia" w:ascii="仿宋" w:hAnsi="仿宋" w:eastAsia="仿宋" w:cs="仿宋"/>
                <w:bCs/>
                <w:sz w:val="24"/>
              </w:rPr>
              <w:t>培训费用</w:t>
            </w:r>
          </w:p>
        </w:tc>
        <w:tc>
          <w:tcPr>
            <w:tcW w:w="948" w:type="dxa"/>
            <w:noWrap/>
            <w:vAlign w:val="center"/>
          </w:tcPr>
          <w:p w14:paraId="28779881">
            <w:pPr>
              <w:spacing w:line="360" w:lineRule="exact"/>
              <w:ind w:right="80" w:rightChars="38"/>
              <w:rPr>
                <w:rFonts w:ascii="仿宋" w:hAnsi="仿宋" w:eastAsia="仿宋" w:cs="仿宋"/>
                <w:bCs/>
                <w:sz w:val="24"/>
              </w:rPr>
            </w:pPr>
          </w:p>
        </w:tc>
      </w:tr>
      <w:tr w14:paraId="11721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932" w:type="dxa"/>
            <w:noWrap/>
            <w:vAlign w:val="center"/>
          </w:tcPr>
          <w:p w14:paraId="49390838">
            <w:pPr>
              <w:spacing w:line="360" w:lineRule="exact"/>
              <w:ind w:right="80" w:rightChars="38"/>
              <w:rPr>
                <w:rFonts w:ascii="仿宋" w:hAnsi="仿宋" w:eastAsia="仿宋" w:cs="仿宋"/>
                <w:bCs/>
                <w:sz w:val="24"/>
              </w:rPr>
            </w:pPr>
            <w:r>
              <w:rPr>
                <w:rFonts w:hint="eastAsia" w:ascii="仿宋" w:hAnsi="仿宋" w:eastAsia="仿宋" w:cs="仿宋"/>
                <w:bCs/>
                <w:sz w:val="24"/>
              </w:rPr>
              <w:t>付款方式</w:t>
            </w:r>
          </w:p>
        </w:tc>
        <w:tc>
          <w:tcPr>
            <w:tcW w:w="6994" w:type="dxa"/>
            <w:gridSpan w:val="7"/>
            <w:noWrap/>
            <w:vAlign w:val="center"/>
          </w:tcPr>
          <w:p w14:paraId="72FE739D">
            <w:pPr>
              <w:spacing w:line="360" w:lineRule="exact"/>
              <w:ind w:right="80" w:rightChars="38" w:firstLine="240" w:firstLineChars="100"/>
              <w:rPr>
                <w:rFonts w:ascii="仿宋" w:hAnsi="仿宋" w:eastAsia="仿宋" w:cs="仿宋"/>
                <w:bCs/>
                <w:sz w:val="24"/>
              </w:rPr>
            </w:pPr>
            <w:r>
              <w:rPr>
                <w:rFonts w:hint="eastAsia" w:ascii="仿宋" w:hAnsi="仿宋" w:eastAsia="仿宋" w:cs="仿宋"/>
                <w:bCs/>
                <w:sz w:val="24"/>
              </w:rPr>
              <w:t>□通过银行        □刷卡      □现金   □微信/支付宝</w:t>
            </w:r>
          </w:p>
        </w:tc>
      </w:tr>
      <w:tr w14:paraId="0E561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932" w:type="dxa"/>
            <w:noWrap/>
            <w:vAlign w:val="center"/>
          </w:tcPr>
          <w:p w14:paraId="1D38181B">
            <w:pPr>
              <w:ind w:right="80" w:rightChars="38"/>
              <w:rPr>
                <w:rFonts w:ascii="仿宋" w:hAnsi="仿宋" w:eastAsia="仿宋" w:cs="仿宋"/>
                <w:b/>
                <w:bCs/>
                <w:sz w:val="24"/>
                <w:lang w:val="zh-CN" w:bidi="zh-CN"/>
              </w:rPr>
            </w:pPr>
            <w:r>
              <w:rPr>
                <w:rFonts w:hint="eastAsia" w:ascii="仿宋" w:hAnsi="仿宋" w:eastAsia="仿宋" w:cs="仿宋"/>
                <w:b/>
                <w:bCs/>
                <w:sz w:val="24"/>
              </w:rPr>
              <w:t>发票类别</w:t>
            </w:r>
          </w:p>
        </w:tc>
        <w:tc>
          <w:tcPr>
            <w:tcW w:w="6994" w:type="dxa"/>
            <w:gridSpan w:val="7"/>
            <w:noWrap/>
          </w:tcPr>
          <w:p w14:paraId="755154C9">
            <w:pPr>
              <w:ind w:right="80" w:rightChars="38"/>
              <w:rPr>
                <w:rFonts w:ascii="仿宋" w:hAnsi="仿宋" w:eastAsia="仿宋" w:cs="仿宋"/>
                <w:b/>
                <w:bCs/>
                <w:sz w:val="24"/>
              </w:rPr>
            </w:pPr>
            <w:r>
              <w:rPr>
                <w:rFonts w:hint="eastAsia" w:ascii="仿宋" w:hAnsi="仿宋" w:eastAsia="仿宋" w:cs="仿宋"/>
                <w:b/>
                <w:bCs/>
                <w:sz w:val="24"/>
              </w:rPr>
              <w:t>增值税（</w:t>
            </w:r>
            <w:r>
              <w:rPr>
                <w:rFonts w:hint="eastAsia" w:ascii="仿宋" w:hAnsi="仿宋" w:eastAsia="仿宋" w:cs="仿宋"/>
                <w:bCs/>
                <w:sz w:val="24"/>
              </w:rPr>
              <w:t>□</w:t>
            </w:r>
            <w:r>
              <w:rPr>
                <w:rFonts w:hint="eastAsia" w:ascii="仿宋" w:hAnsi="仿宋" w:eastAsia="仿宋" w:cs="仿宋"/>
                <w:b/>
                <w:bCs/>
                <w:sz w:val="24"/>
              </w:rPr>
              <w:t>普通□专用）发票,开票信息如下：</w:t>
            </w:r>
          </w:p>
          <w:p w14:paraId="1A1C7BE7">
            <w:pPr>
              <w:ind w:right="80" w:rightChars="38"/>
              <w:rPr>
                <w:rFonts w:ascii="仿宋" w:hAnsi="仿宋" w:eastAsia="仿宋" w:cs="仿宋"/>
                <w:b/>
                <w:bCs/>
                <w:sz w:val="24"/>
              </w:rPr>
            </w:pPr>
            <w:r>
              <w:rPr>
                <w:rFonts w:hint="eastAsia" w:ascii="仿宋" w:hAnsi="仿宋" w:eastAsia="仿宋" w:cs="仿宋"/>
                <w:b/>
                <w:bCs/>
                <w:sz w:val="24"/>
              </w:rPr>
              <w:t>单 位 名 称：</w:t>
            </w:r>
          </w:p>
          <w:p w14:paraId="28B6A8C6">
            <w:pPr>
              <w:ind w:right="80" w:rightChars="38"/>
              <w:rPr>
                <w:rFonts w:ascii="仿宋" w:hAnsi="仿宋" w:eastAsia="仿宋" w:cs="仿宋"/>
                <w:b/>
                <w:bCs/>
                <w:sz w:val="24"/>
              </w:rPr>
            </w:pPr>
            <w:r>
              <w:rPr>
                <w:rFonts w:hint="eastAsia" w:ascii="仿宋" w:hAnsi="仿宋" w:eastAsia="仿宋" w:cs="仿宋"/>
                <w:b/>
                <w:bCs/>
                <w:sz w:val="24"/>
              </w:rPr>
              <w:t>税       号：</w:t>
            </w:r>
          </w:p>
          <w:p w14:paraId="1491AA55">
            <w:pPr>
              <w:ind w:right="80" w:rightChars="38"/>
              <w:rPr>
                <w:rFonts w:ascii="仿宋" w:hAnsi="仿宋" w:eastAsia="仿宋" w:cs="仿宋"/>
                <w:b/>
                <w:bCs/>
                <w:sz w:val="24"/>
              </w:rPr>
            </w:pPr>
            <w:r>
              <w:rPr>
                <w:rFonts w:hint="eastAsia" w:ascii="仿宋" w:hAnsi="仿宋" w:eastAsia="仿宋" w:cs="仿宋"/>
                <w:b/>
                <w:bCs/>
                <w:sz w:val="24"/>
              </w:rPr>
              <w:t>地址、 电话：</w:t>
            </w:r>
          </w:p>
          <w:p w14:paraId="2FA270CB">
            <w:pPr>
              <w:ind w:right="80" w:rightChars="38"/>
              <w:rPr>
                <w:rFonts w:ascii="仿宋" w:hAnsi="仿宋" w:eastAsia="仿宋" w:cs="仿宋"/>
                <w:bCs/>
                <w:sz w:val="24"/>
              </w:rPr>
            </w:pPr>
            <w:r>
              <w:rPr>
                <w:rFonts w:hint="eastAsia" w:ascii="仿宋" w:hAnsi="仿宋" w:eastAsia="仿宋" w:cs="仿宋"/>
                <w:b/>
                <w:bCs/>
                <w:sz w:val="24"/>
              </w:rPr>
              <w:t>开户行、账号：</w:t>
            </w:r>
          </w:p>
        </w:tc>
      </w:tr>
      <w:tr w14:paraId="6F791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932" w:type="dxa"/>
            <w:noWrap/>
            <w:vAlign w:val="center"/>
          </w:tcPr>
          <w:p w14:paraId="135E4E14">
            <w:pPr>
              <w:spacing w:line="360" w:lineRule="exact"/>
              <w:ind w:right="80" w:rightChars="38"/>
              <w:rPr>
                <w:rFonts w:ascii="仿宋" w:hAnsi="仿宋" w:eastAsia="仿宋" w:cs="仿宋"/>
                <w:bCs/>
                <w:sz w:val="24"/>
                <w:lang w:val="zh-CN" w:bidi="zh-CN"/>
              </w:rPr>
            </w:pPr>
            <w:r>
              <w:rPr>
                <w:rFonts w:hint="eastAsia" w:ascii="仿宋" w:hAnsi="仿宋" w:eastAsia="仿宋" w:cs="仿宋"/>
                <w:bCs/>
                <w:sz w:val="24"/>
              </w:rPr>
              <w:t>指定收款账户</w:t>
            </w:r>
          </w:p>
        </w:tc>
        <w:tc>
          <w:tcPr>
            <w:tcW w:w="6994" w:type="dxa"/>
            <w:gridSpan w:val="7"/>
            <w:noWrap/>
            <w:vAlign w:val="center"/>
          </w:tcPr>
          <w:p w14:paraId="71B289C6">
            <w:pPr>
              <w:spacing w:line="340" w:lineRule="exact"/>
              <w:ind w:right="80" w:rightChars="38"/>
              <w:rPr>
                <w:rFonts w:ascii="仿宋" w:hAnsi="仿宋" w:eastAsia="仿宋" w:cs="仿宋"/>
                <w:bCs/>
                <w:sz w:val="24"/>
                <w:lang w:val="ru-RU"/>
              </w:rPr>
            </w:pPr>
            <w:r>
              <w:rPr>
                <w:rFonts w:hint="eastAsia" w:ascii="仿宋" w:hAnsi="仿宋" w:eastAsia="仿宋" w:cs="仿宋"/>
                <w:bCs/>
                <w:sz w:val="24"/>
                <w:lang w:val="ru-RU"/>
              </w:rPr>
              <w:t>户  名：北京建术信息科技研究院有限公司</w:t>
            </w:r>
          </w:p>
          <w:p w14:paraId="79081EA4">
            <w:pPr>
              <w:spacing w:line="340" w:lineRule="exact"/>
              <w:ind w:right="80" w:rightChars="38"/>
              <w:rPr>
                <w:rFonts w:ascii="仿宋" w:hAnsi="仿宋" w:eastAsia="仿宋" w:cs="仿宋"/>
                <w:bCs/>
                <w:sz w:val="24"/>
                <w:lang w:val="ru-RU"/>
              </w:rPr>
            </w:pPr>
            <w:r>
              <w:rPr>
                <w:rFonts w:hint="eastAsia" w:ascii="仿宋" w:hAnsi="仿宋" w:eastAsia="仿宋" w:cs="仿宋"/>
                <w:bCs/>
                <w:sz w:val="24"/>
                <w:lang w:val="ru-RU"/>
              </w:rPr>
              <w:t>开户行：中国建设银行股份有限公司北京昌平小汤山支行</w:t>
            </w:r>
          </w:p>
          <w:p w14:paraId="450ACE88">
            <w:pPr>
              <w:spacing w:line="340" w:lineRule="exact"/>
              <w:ind w:right="80" w:rightChars="38"/>
              <w:rPr>
                <w:rFonts w:ascii="仿宋" w:hAnsi="仿宋" w:eastAsia="仿宋" w:cs="仿宋"/>
                <w:bCs/>
                <w:sz w:val="24"/>
                <w:lang w:bidi="zh-CN"/>
              </w:rPr>
            </w:pPr>
            <w:r>
              <w:rPr>
                <w:rFonts w:hint="eastAsia" w:ascii="仿宋" w:hAnsi="仿宋" w:eastAsia="仿宋" w:cs="仿宋"/>
                <w:bCs/>
                <w:sz w:val="24"/>
                <w:lang w:val="ru-RU"/>
              </w:rPr>
              <w:t>账  号：1105 0110 2401 0900 0164</w:t>
            </w:r>
            <w:bookmarkStart w:id="0" w:name="_GoBack"/>
            <w:bookmarkEnd w:id="0"/>
          </w:p>
        </w:tc>
      </w:tr>
      <w:tr w14:paraId="3DBFC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932" w:type="dxa"/>
            <w:noWrap/>
            <w:vAlign w:val="center"/>
          </w:tcPr>
          <w:p w14:paraId="1ACC872C">
            <w:pPr>
              <w:spacing w:line="360" w:lineRule="exact"/>
              <w:ind w:right="80" w:rightChars="38"/>
              <w:rPr>
                <w:rFonts w:ascii="仿宋" w:hAnsi="仿宋" w:eastAsia="仿宋" w:cs="仿宋"/>
                <w:bCs/>
                <w:sz w:val="24"/>
              </w:rPr>
            </w:pPr>
            <w:r>
              <w:rPr>
                <w:rFonts w:hint="eastAsia" w:ascii="仿宋" w:hAnsi="仿宋" w:eastAsia="仿宋" w:cs="仿宋"/>
                <w:bCs/>
                <w:sz w:val="24"/>
              </w:rPr>
              <w:t>参会方式</w:t>
            </w:r>
          </w:p>
        </w:tc>
        <w:tc>
          <w:tcPr>
            <w:tcW w:w="6994" w:type="dxa"/>
            <w:gridSpan w:val="7"/>
            <w:noWrap/>
            <w:vAlign w:val="center"/>
          </w:tcPr>
          <w:p w14:paraId="1B070429">
            <w:pPr>
              <w:spacing w:line="360" w:lineRule="exact"/>
              <w:ind w:right="80" w:rightChars="38"/>
              <w:rPr>
                <w:rFonts w:ascii="仿宋" w:hAnsi="仿宋" w:eastAsia="仿宋" w:cs="仿宋"/>
                <w:bCs/>
                <w:sz w:val="24"/>
              </w:rPr>
            </w:pPr>
            <w:r>
              <w:rPr>
                <w:rFonts w:hint="eastAsia" w:ascii="仿宋" w:hAnsi="仿宋" w:eastAsia="仿宋" w:cs="仿宋"/>
                <w:bCs/>
                <w:sz w:val="24"/>
              </w:rPr>
              <w:t>请参会单位把参会回执回传至会务组，会务组确认后即发《参会凭证》，其中将详细注明报到时间、报到地点、食宿等具体安排事项。</w:t>
            </w:r>
          </w:p>
        </w:tc>
      </w:tr>
    </w:tbl>
    <w:p w14:paraId="0BC42611">
      <w:pPr>
        <w:spacing w:line="480" w:lineRule="exact"/>
        <w:ind w:right="80" w:rightChars="38"/>
        <w:rPr>
          <w:rStyle w:val="7"/>
          <w:rFonts w:ascii="黑体" w:hAnsi="黑体" w:eastAsia="黑体" w:cs="宋体"/>
          <w:color w:val="000000"/>
          <w:lang w:val="zh-CN"/>
        </w:rPr>
      </w:pPr>
      <w:r>
        <w:rPr>
          <w:rStyle w:val="7"/>
          <w:rFonts w:hint="eastAsia" w:ascii="黑体" w:hAnsi="黑体" w:eastAsia="黑体" w:cs="宋体"/>
          <w:color w:val="000000"/>
          <w:lang w:val="zh-CN"/>
        </w:rPr>
        <w:t>注：为保证培训质量，培训班名额有限，额满为止，请确定人员后及早报名。</w:t>
      </w:r>
    </w:p>
    <w:p w14:paraId="27FDB284">
      <w:pPr>
        <w:pStyle w:val="4"/>
        <w:ind w:left="0" w:leftChars="0" w:firstLine="0" w:firstLineChars="0"/>
        <w:rPr>
          <w:rFonts w:hint="eastAsia" w:ascii="仿宋" w:hAnsi="仿宋" w:eastAsia="仿宋" w:cs="仿宋"/>
          <w:bCs/>
        </w:rPr>
      </w:pPr>
      <w:r>
        <w:rPr>
          <w:rFonts w:hint="eastAsia" w:ascii="仿宋" w:hAnsi="仿宋" w:eastAsia="仿宋" w:cs="仿宋"/>
          <w:bCs/>
        </w:rPr>
        <w:t xml:space="preserve">  报名负责人：聂红军 主任18211071700（微信）   </w:t>
      </w:r>
    </w:p>
    <w:p w14:paraId="126D4361">
      <w:pPr>
        <w:pStyle w:val="4"/>
        <w:ind w:left="0" w:leftChars="0" w:firstLine="0" w:firstLineChars="0"/>
        <w:rPr>
          <w:rFonts w:hint="eastAsia" w:ascii="仿宋" w:hAnsi="仿宋" w:eastAsia="仿宋" w:cs="仿宋"/>
          <w:bCs/>
        </w:rPr>
      </w:pPr>
      <w:r>
        <w:rPr>
          <w:rFonts w:hint="eastAsia" w:ascii="仿宋" w:hAnsi="仿宋" w:eastAsia="仿宋" w:cs="仿宋"/>
          <w:bCs/>
        </w:rPr>
        <w:t xml:space="preserve">电    话：13141289128        邮    箱：zqgphwz@126.com  </w:t>
      </w:r>
    </w:p>
    <w:p w14:paraId="62AE1FE8">
      <w:pPr>
        <w:pStyle w:val="4"/>
        <w:ind w:left="0" w:leftChars="0" w:firstLine="0" w:firstLineChars="0"/>
        <w:rPr>
          <w:rFonts w:hint="eastAsia" w:ascii="仿宋" w:hAnsi="仿宋" w:eastAsia="仿宋" w:cs="仿宋"/>
          <w:bCs/>
          <w:lang w:val="en-US" w:eastAsia="zh-CN"/>
        </w:rPr>
      </w:pPr>
      <w:r>
        <w:rPr>
          <w:rFonts w:hint="eastAsia" w:ascii="仿宋" w:hAnsi="仿宋" w:eastAsia="仿宋" w:cs="仿宋"/>
          <w:bCs/>
        </w:rPr>
        <w:t>qq咨询：3177524020          网    址：http://www.zqgpchina.cn</w:t>
      </w:r>
    </w:p>
    <w:sectPr>
      <w:pgSz w:w="11906" w:h="16838"/>
      <w:pgMar w:top="1440" w:right="1349" w:bottom="1440"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C4E7CC"/>
    <w:multiLevelType w:val="singleLevel"/>
    <w:tmpl w:val="A2C4E7CC"/>
    <w:lvl w:ilvl="0" w:tentative="0">
      <w:start w:val="3"/>
      <w:numFmt w:val="chineseCounting"/>
      <w:suff w:val="nothing"/>
      <w:lvlText w:val="%1、"/>
      <w:lvlJc w:val="left"/>
      <w:rPr>
        <w:rFonts w:hint="eastAsia"/>
      </w:rPr>
    </w:lvl>
  </w:abstractNum>
  <w:abstractNum w:abstractNumId="1">
    <w:nsid w:val="EF461D9C"/>
    <w:multiLevelType w:val="singleLevel"/>
    <w:tmpl w:val="EF461D9C"/>
    <w:lvl w:ilvl="0" w:tentative="0">
      <w:start w:val="1"/>
      <w:numFmt w:val="decimal"/>
      <w:lvlText w:val="%1."/>
      <w:lvlJc w:val="left"/>
      <w:pPr>
        <w:ind w:left="425" w:hanging="425"/>
      </w:pPr>
      <w:rPr>
        <w:rFonts w:hint="default"/>
      </w:rPr>
    </w:lvl>
  </w:abstractNum>
  <w:abstractNum w:abstractNumId="2">
    <w:nsid w:val="2C2253DD"/>
    <w:multiLevelType w:val="multilevel"/>
    <w:tmpl w:val="2C2253D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1331026"/>
    <w:multiLevelType w:val="multilevel"/>
    <w:tmpl w:val="41331026"/>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B20578D"/>
    <w:multiLevelType w:val="multilevel"/>
    <w:tmpl w:val="4B20578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BE15C29"/>
    <w:multiLevelType w:val="multilevel"/>
    <w:tmpl w:val="6BE15C2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E811C9D"/>
    <w:multiLevelType w:val="multilevel"/>
    <w:tmpl w:val="6E811C9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DA85D46"/>
    <w:multiLevelType w:val="multilevel"/>
    <w:tmpl w:val="7DA85D4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2"/>
  </w:num>
  <w:num w:numId="4">
    <w:abstractNumId w:val="6"/>
  </w:num>
  <w:num w:numId="5">
    <w:abstractNumId w:val="4"/>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580F69"/>
    <w:rsid w:val="150D1A75"/>
    <w:rsid w:val="20580F69"/>
    <w:rsid w:val="57201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next w:val="1"/>
    <w:qFormat/>
    <w:uiPriority w:val="0"/>
    <w:pPr>
      <w:spacing w:after="120"/>
      <w:ind w:left="420" w:leftChars="200"/>
    </w:pPr>
    <w:rPr>
      <w:rFonts w:ascii="Times New Roman" w:hAnsi="Times New Roman" w:eastAsia="宋体" w:cs="Times New Roman"/>
    </w:rPr>
  </w:style>
  <w:style w:type="paragraph" w:styleId="3">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4">
    <w:name w:val="Body Text First Indent 2"/>
    <w:basedOn w:val="2"/>
    <w:qFormat/>
    <w:uiPriority w:val="99"/>
    <w:pPr>
      <w:ind w:firstLine="420" w:firstLineChars="200"/>
    </w:pPr>
    <w:rPr>
      <w:sz w:val="24"/>
    </w:rPr>
  </w:style>
  <w:style w:type="character" w:styleId="7">
    <w:name w:val="Strong"/>
    <w:basedOn w:val="6"/>
    <w:qFormat/>
    <w:uiPriority w:val="22"/>
    <w:rPr>
      <w:rFonts w:ascii="Times New Roman" w:hAnsi="Times New Roman" w:eastAsia="宋体" w:cs="Times New Roman"/>
      <w:b/>
      <w:bCs/>
    </w:rPr>
  </w:style>
  <w:style w:type="character" w:styleId="8">
    <w:name w:val="Hyperlink"/>
    <w:basedOn w:val="6"/>
    <w:qFormat/>
    <w:uiPriority w:val="0"/>
    <w:rPr>
      <w:color w:val="0000FF"/>
      <w:u w:val="single"/>
    </w:rPr>
  </w:style>
  <w:style w:type="paragraph" w:styleId="9">
    <w:name w:val="List Paragraph"/>
    <w:basedOn w:val="1"/>
    <w:qFormat/>
    <w:uiPriority w:val="34"/>
    <w:pPr>
      <w:widowControl/>
      <w:ind w:firstLine="420" w:firstLineChars="20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5213</Words>
  <Characters>5427</Characters>
  <Lines>0</Lines>
  <Paragraphs>0</Paragraphs>
  <TotalTime>1</TotalTime>
  <ScaleCrop>false</ScaleCrop>
  <LinksUpToDate>false</LinksUpToDate>
  <CharactersWithSpaces>5581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2024-12-31T00:10:00Z</dcterms:created>
  <dc:creator>姣 儿</dc:creator>
  <cp:lastModifiedBy>聂红军</cp:lastModifiedBy>
  <dcterms:modified xsi:type="dcterms:W3CDTF">2024-12-31T01:55:10Z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4ED7D19C04634AFDB316AB548E0EF02A_13</vt:lpwstr>
  </property>
  <property fmtid="{D5CDD505-2E9C-101B-9397-08002B2CF9AE}" pid="4" name="KSOTemplateDocerSaveRecord">
    <vt:lpwstr>eyJoZGlkIjoiZTUyMWM5NTU3NmQwMzYzZGY2NjUyMjZkNDUzMDVhNDkiLCJ1c2VySWQiOiI0OTM4MTE0ODQifQ==</vt:lpwstr>
  </property>
</Properties>
</file>