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20491">
      <w:pPr>
        <w:jc w:val="center"/>
        <w:rPr>
          <w:color w:val="FF0000"/>
          <w:spacing w:val="-57"/>
          <w:sz w:val="72"/>
          <w:szCs w:val="72"/>
        </w:rPr>
      </w:pPr>
      <w:r>
        <w:rPr>
          <w:b/>
          <w:bCs/>
          <w:color w:val="FF0000"/>
          <w:spacing w:val="-57"/>
          <w:sz w:val="72"/>
          <w:szCs w:val="72"/>
        </w:rPr>
        <w:t>北京建术信息科技研究院有限公司</w:t>
      </w:r>
    </w:p>
    <w:p w14:paraId="4177EC01"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 w:cs="仿宋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377190</wp:posOffset>
                </wp:positionV>
                <wp:extent cx="6061710" cy="0"/>
                <wp:effectExtent l="0" t="9525" r="889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21410" y="1794510"/>
                          <a:ext cx="606171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85pt;margin-top:29.7pt;height:0pt;width:477.3pt;z-index:251659264;mso-width-relative:page;mso-height-relative:page;" filled="f" stroked="t" coordsize="21600,21600" o:gfxdata="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aUqZ1gAAAAkBAAAPAAAAAAAAAAEAIAAAACIAAABkcnMvZG93bnJldi54bWxQSwEC&#10;FAAUAAAACACHTuJABB6YkfYBAADMAwAADgAAAAAAAAABACAAAAAlAQAAZHJzL2Uyb0RvYy54bWxQ&#10;SwUGAAAAAAYABgBZAQAAjQUAAAAA&#10;">
                <v:fill on="f" focussize="0,0"/>
                <v:stroke weight="1.5pt" color="#FF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建术信息202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8】号</w:t>
      </w:r>
    </w:p>
    <w:p w14:paraId="1315FD89"/>
    <w:p w14:paraId="0DEE5547"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关于举办《建设工程工程量清单计价标准》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GB/T50500-2024版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深度解读及实务指引专题培训班的通知</w:t>
      </w:r>
    </w:p>
    <w:p w14:paraId="48D7C28D">
      <w:pPr>
        <w:pStyle w:val="3"/>
        <w:widowControl/>
        <w:shd w:val="clear" w:color="auto" w:fill="FFFFFF"/>
        <w:spacing w:before="105" w:beforeAutospacing="0" w:after="105" w:afterAutospacing="0" w:line="360" w:lineRule="auto"/>
        <w:jc w:val="both"/>
        <w:rPr>
          <w:rFonts w:ascii="仿宋" w:hAnsi="仿宋" w:eastAsia="仿宋" w:cs="仿宋"/>
          <w:b/>
          <w:bCs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hd w:val="clear" w:color="auto" w:fill="FFFFFF"/>
        </w:rPr>
        <w:t>各有关单位：</w:t>
      </w:r>
    </w:p>
    <w:p w14:paraId="63564CB5">
      <w:pPr>
        <w:pStyle w:val="3"/>
        <w:widowControl/>
        <w:shd w:val="clear" w:color="auto" w:fill="FFFFFF"/>
        <w:spacing w:before="0" w:beforeAutospacing="0" w:after="0" w:afterAutospacing="0" w:line="360" w:lineRule="auto"/>
        <w:ind w:left="15" w:firstLine="405"/>
        <w:jc w:val="both"/>
        <w:rPr>
          <w:rFonts w:ascii="仿宋" w:hAnsi="仿宋" w:eastAsia="仿宋" w:cs="仿宋"/>
          <w:spacing w:val="8"/>
          <w:sz w:val="25"/>
          <w:szCs w:val="25"/>
        </w:rPr>
      </w:pP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</w:rPr>
        <w:t>为完善工程造价市场化形成机制，进一步统一工程计价规则，</w:t>
      </w:r>
      <w:r>
        <w:rPr>
          <w:rFonts w:hint="eastAsia" w:ascii="仿宋" w:hAnsi="仿宋" w:eastAsia="仿宋" w:cs="仿宋"/>
          <w:spacing w:val="8"/>
          <w:shd w:val="clear" w:color="auto" w:fill="FFFFFF"/>
        </w:rPr>
        <w:t>住房和城乡建设部即将</w:t>
      </w:r>
      <w:r>
        <w:rPr>
          <w:rFonts w:hint="eastAsia" w:ascii="仿宋" w:hAnsi="仿宋" w:eastAsia="仿宋" w:cs="仿宋"/>
          <w:spacing w:val="8"/>
          <w:shd w:val="clear" w:color="auto" w:fill="FFFFFF"/>
          <w:lang w:val="en-US" w:eastAsia="zh-CN"/>
        </w:rPr>
        <w:t>于</w:t>
      </w: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</w:rPr>
        <w:t>2024年底</w:t>
      </w:r>
      <w:r>
        <w:rPr>
          <w:rFonts w:hint="eastAsia" w:ascii="仿宋" w:hAnsi="仿宋" w:eastAsia="仿宋" w:cs="仿宋"/>
          <w:spacing w:val="8"/>
          <w:shd w:val="clear" w:color="auto" w:fill="FFFFFF"/>
        </w:rPr>
        <w:t>正式发布国家标准《建设工程工程量清单计价标准》GB/T 50500-2024（以下简称2024版工程量清单计价标准），《2024版工程量清单计价标准》相比2013版清单计价规范变化大、亮点多、更加贴近行业实际、实务指引强。同时，该标准由强制性标准变为推荐性标准，更突出造价的契约属性，这对有关市场主体造价管控能力提出了更高的要求。为准确、深刻把握《2024版工程量清单计价标准》内涵及实质，理清新时期造价管理变革的底层逻辑，解决新时期造价管理实践中的具体问题，灵活运用解决实践中的疑难点，积极能动应对未来造价市场变化，切实提高全过程造价管控水平，提高项目投资效益和企业利润率。为造价管理激活新质生产力、赋能企业高质量发展，本单位组织业内专家对国家标准《2024版工程量清单计价标准》进行全面、深度解读、实务关键点指引及典型案例解析，现将有关事项通知如下：</w:t>
      </w:r>
    </w:p>
    <w:p w14:paraId="51402E2F">
      <w:pPr>
        <w:pStyle w:val="3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="仿宋" w:hAnsi="仿宋" w:eastAsia="仿宋" w:cs="仿宋"/>
          <w:b/>
          <w:bCs/>
          <w:color w:val="333333"/>
          <w:spacing w:val="8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hd w:val="clear" w:color="auto" w:fill="FFFFFF"/>
        </w:rPr>
        <w:t>一、 </w:t>
      </w:r>
      <w:r>
        <w:rPr>
          <w:rStyle w:val="7"/>
          <w:rFonts w:hint="eastAsia" w:ascii="仿宋" w:hAnsi="仿宋" w:eastAsia="仿宋" w:cs="仿宋"/>
          <w:bCs/>
          <w:color w:val="333333"/>
          <w:spacing w:val="8"/>
          <w:shd w:val="clear" w:color="auto" w:fill="FFFFFF"/>
        </w:rPr>
        <w:t>培训内容</w:t>
      </w:r>
    </w:p>
    <w:p w14:paraId="43CA4272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4" w:firstLineChars="200"/>
        <w:jc w:val="both"/>
        <w:rPr>
          <w:rFonts w:ascii="仿宋" w:hAnsi="仿宋" w:eastAsia="仿宋" w:cs="仿宋"/>
          <w:b/>
          <w:bCs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hd w:val="clear" w:color="auto" w:fill="FFFFFF"/>
        </w:rPr>
        <w:t>（一）《2024版工程量清单计价标准》的主要变化及深层原因分析</w:t>
      </w:r>
    </w:p>
    <w:p w14:paraId="7B6C2865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2" w:firstLineChars="200"/>
        <w:jc w:val="both"/>
        <w:rPr>
          <w:rFonts w:ascii="仿宋" w:hAnsi="仿宋" w:eastAsia="仿宋" w:cs="仿宋"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</w:rPr>
        <w:t>1.《2024版工程量清单计价标准》的主要变化</w:t>
      </w:r>
    </w:p>
    <w:p w14:paraId="0E1BABAC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2" w:firstLineChars="200"/>
        <w:jc w:val="both"/>
        <w:rPr>
          <w:rFonts w:ascii="仿宋" w:hAnsi="仿宋" w:eastAsia="仿宋" w:cs="仿宋"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</w:rPr>
        <w:t>2.《2024版工程量清单计价标准》变化的深层原因分析及理论脉络</w:t>
      </w:r>
    </w:p>
    <w:p w14:paraId="09963D58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2" w:firstLineChars="200"/>
        <w:jc w:val="both"/>
        <w:rPr>
          <w:rFonts w:ascii="仿宋" w:hAnsi="仿宋" w:eastAsia="仿宋" w:cs="仿宋"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</w:rPr>
        <w:t>3.《2024版工程量清单计价标准》取消强制性条文的背景、对市场的重大影响</w:t>
      </w:r>
    </w:p>
    <w:p w14:paraId="54AC3622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2" w:firstLineChars="200"/>
        <w:jc w:val="both"/>
        <w:rPr>
          <w:rFonts w:ascii="仿宋" w:hAnsi="仿宋" w:eastAsia="仿宋" w:cs="仿宋"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</w:rPr>
        <w:t>4.发承包双方如何应对《2024版工程量清单计价标准》变为推荐性标准</w:t>
      </w:r>
    </w:p>
    <w:p w14:paraId="4B598885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4" w:firstLineChars="200"/>
        <w:jc w:val="both"/>
        <w:rPr>
          <w:rFonts w:ascii="仿宋" w:hAnsi="仿宋" w:eastAsia="仿宋" w:cs="仿宋"/>
          <w:b/>
          <w:bCs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hd w:val="clear" w:color="auto" w:fill="FFFFFF"/>
        </w:rPr>
        <w:t>（二）《2024版工程量清单计价标准》的十大亮点及实务指引</w:t>
      </w:r>
    </w:p>
    <w:p w14:paraId="72E4A31B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4" w:firstLineChars="200"/>
        <w:jc w:val="both"/>
        <w:rPr>
          <w:rFonts w:ascii="仿宋" w:hAnsi="仿宋" w:eastAsia="仿宋" w:cs="仿宋"/>
          <w:b/>
          <w:bCs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hd w:val="clear" w:color="auto" w:fill="FFFFFF"/>
        </w:rPr>
        <w:t>亮点一：明确计价活动应遵循“法定优先、有约从约”原则。</w:t>
      </w:r>
    </w:p>
    <w:p w14:paraId="42D1EE1D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2" w:firstLineChars="200"/>
        <w:jc w:val="both"/>
        <w:rPr>
          <w:rFonts w:ascii="仿宋" w:hAnsi="仿宋" w:eastAsia="仿宋" w:cs="仿宋"/>
          <w:b/>
          <w:bCs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</w:rPr>
        <w:t>实务指引：施工合同专用条款中有关造价条款拟定存在的问题、典型案例分析及实务指引</w:t>
      </w:r>
    </w:p>
    <w:p w14:paraId="4ADBCE04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4" w:firstLineChars="200"/>
        <w:jc w:val="both"/>
        <w:rPr>
          <w:rFonts w:ascii="仿宋" w:hAnsi="仿宋" w:eastAsia="仿宋" w:cs="仿宋"/>
          <w:b/>
          <w:bCs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hd w:val="clear" w:color="auto" w:fill="FFFFFF"/>
        </w:rPr>
        <w:t>亮点二：关于项目特征与综合单价的规定，物价变化合同价格调整方法变化。</w:t>
      </w:r>
    </w:p>
    <w:p w14:paraId="159460F8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2" w:firstLineChars="200"/>
        <w:jc w:val="both"/>
        <w:rPr>
          <w:rFonts w:ascii="仿宋" w:hAnsi="仿宋" w:eastAsia="仿宋" w:cs="仿宋"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</w:rPr>
        <w:t>实务指引：项目特征描述的原则，设计文件未明确项目特征时的处理；可调价材料范围的明确方法，可调价材料的风险幅度的确定，基准单价的确定，甲供材料消耗量的确定、甲供材转为乙供时的应对；物价变化合同价格调整方法的选择与适用（新增价格信息调差法）。</w:t>
      </w:r>
    </w:p>
    <w:p w14:paraId="2C3F18CD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4" w:firstLineChars="200"/>
        <w:jc w:val="both"/>
        <w:rPr>
          <w:rFonts w:ascii="仿宋" w:hAnsi="仿宋" w:eastAsia="仿宋" w:cs="仿宋"/>
          <w:b/>
          <w:bCs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hd w:val="clear" w:color="auto" w:fill="FFFFFF"/>
        </w:rPr>
        <w:t>亮点三：将单价合同与总价合同并行规定，更好的激发市场主体活力</w:t>
      </w:r>
    </w:p>
    <w:p w14:paraId="24BC18D1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2" w:firstLineChars="200"/>
        <w:jc w:val="both"/>
        <w:rPr>
          <w:rFonts w:ascii="仿宋" w:hAnsi="仿宋" w:eastAsia="仿宋" w:cs="仿宋"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</w:rPr>
        <w:t>实务指引：单价合同与总价合同的本质区别；对计量支付的影响；对合同价款调整的影响；合同解除时的处理。</w:t>
      </w:r>
    </w:p>
    <w:p w14:paraId="67168922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4" w:firstLineChars="200"/>
        <w:jc w:val="both"/>
        <w:rPr>
          <w:rFonts w:ascii="仿宋" w:hAnsi="仿宋" w:eastAsia="仿宋" w:cs="仿宋"/>
          <w:b/>
          <w:bCs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hd w:val="clear" w:color="auto" w:fill="FFFFFF"/>
        </w:rPr>
        <w:t>亮点四：细化计量计价风险的规定，计价方面考虑的因素更为全面，体现发承包双方合意</w:t>
      </w:r>
    </w:p>
    <w:p w14:paraId="03F63C38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2" w:firstLineChars="200"/>
        <w:jc w:val="both"/>
        <w:rPr>
          <w:rFonts w:ascii="仿宋" w:hAnsi="仿宋" w:eastAsia="仿宋" w:cs="仿宋"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</w:rPr>
        <w:t>实务指引：风险分担理论；单价计价、总价计价、费率计价三种计价方式，与造价细目的对应关系；风险在合同中如何约定及调整；发承包双方如何规避造价风险。</w:t>
      </w:r>
    </w:p>
    <w:p w14:paraId="2BF951E6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4" w:firstLineChars="200"/>
        <w:jc w:val="both"/>
        <w:rPr>
          <w:rFonts w:ascii="仿宋" w:hAnsi="仿宋" w:eastAsia="仿宋" w:cs="仿宋"/>
          <w:b/>
          <w:bCs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hd w:val="clear" w:color="auto" w:fill="FFFFFF"/>
        </w:rPr>
        <w:t>亮点五：新增加清标的规定，为提高招投标环节工作质量奠定基础</w:t>
      </w:r>
    </w:p>
    <w:p w14:paraId="265A8AD8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2" w:firstLineChars="200"/>
        <w:jc w:val="both"/>
        <w:rPr>
          <w:rFonts w:ascii="仿宋" w:hAnsi="仿宋" w:eastAsia="仿宋" w:cs="仿宋"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</w:rPr>
        <w:t>实务指引：招标工程进行清标的原则性规定（四项）；投标人的投标文件存在算术误差（七种情形）；投标报价存在细微偏差、报价合理性异议（四种情形）；投标人未按要求完整填写投标报价（三种情形）。</w:t>
      </w:r>
    </w:p>
    <w:p w14:paraId="0D49F4BB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4" w:firstLineChars="200"/>
        <w:jc w:val="both"/>
        <w:rPr>
          <w:rFonts w:ascii="仿宋" w:hAnsi="仿宋" w:eastAsia="仿宋" w:cs="仿宋"/>
          <w:b/>
          <w:bCs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hd w:val="clear" w:color="auto" w:fill="FFFFFF"/>
        </w:rPr>
        <w:t>亮点六：最高投标限价的编制依据发生本质变化、取消最高投标限价依据定额计价的规定，强化发包人责任</w:t>
      </w:r>
    </w:p>
    <w:p w14:paraId="64FC39FD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2" w:firstLineChars="200"/>
        <w:jc w:val="both"/>
        <w:rPr>
          <w:rFonts w:ascii="仿宋" w:hAnsi="仿宋" w:eastAsia="仿宋" w:cs="仿宋"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</w:rPr>
        <w:t>实务指引：最高投标限价与约定风险的衔接；市场询价；措施费用与施工方案；最高投标限价合理性的判定及异议处理；对发承包双方带来的风险及应对</w:t>
      </w:r>
    </w:p>
    <w:p w14:paraId="0522450F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4" w:firstLineChars="200"/>
        <w:jc w:val="both"/>
        <w:rPr>
          <w:rFonts w:ascii="仿宋" w:hAnsi="仿宋" w:eastAsia="仿宋" w:cs="仿宋"/>
          <w:b/>
          <w:bCs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hd w:val="clear" w:color="auto" w:fill="FFFFFF"/>
        </w:rPr>
        <w:t>亮点七：投标报价编制依据变化、强化承包人责任、充分体现市场化改革</w:t>
      </w:r>
    </w:p>
    <w:p w14:paraId="4CA6B9D6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2" w:firstLineChars="20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</w:rPr>
        <w:t>实务指引：投标人应在接收招标文件后（四项活动）；填写报价的四项原则及注意事项；发包人提供材料的材料费的处理；安全生产措施费的规定；投标报价的注意事项及技巧。</w:t>
      </w:r>
    </w:p>
    <w:p w14:paraId="0E1CD13F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4" w:firstLineChars="200"/>
        <w:jc w:val="both"/>
        <w:rPr>
          <w:rFonts w:ascii="仿宋" w:hAnsi="仿宋" w:eastAsia="仿宋" w:cs="仿宋"/>
          <w:b/>
          <w:bCs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hd w:val="clear" w:color="auto" w:fill="FFFFFF"/>
        </w:rPr>
        <w:t>亮点八：细化修改工程量清单缺陷、工程索赔、工程变更等影响合同价格调整的事项规定</w:t>
      </w:r>
    </w:p>
    <w:p w14:paraId="5AD76B20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2" w:firstLineChars="200"/>
        <w:jc w:val="both"/>
        <w:rPr>
          <w:rFonts w:ascii="仿宋" w:hAnsi="仿宋" w:eastAsia="仿宋" w:cs="仿宋"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</w:rPr>
        <w:t>实务指引：工程变更估价“五项原则”的理解及适用；新增工程；工程量清单缺陷；其他项目费（包括暂列金额、暂估价、总承包服务费、计日工）；法律法规及政策性变化；影响索赔成功的关键性因素；索赔报告编制及审核要点；合同价款调整典型案例。</w:t>
      </w:r>
    </w:p>
    <w:p w14:paraId="400310FB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4" w:firstLineChars="200"/>
        <w:jc w:val="both"/>
        <w:rPr>
          <w:rFonts w:ascii="仿宋" w:hAnsi="仿宋" w:eastAsia="仿宋" w:cs="仿宋"/>
          <w:b/>
          <w:bCs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hd w:val="clear" w:color="auto" w:fill="FFFFFF"/>
        </w:rPr>
        <w:t>亮点九：细化合同工程计量和合同价款期中支付的有关规定，严格施工合同履约管理</w:t>
      </w:r>
    </w:p>
    <w:p w14:paraId="05D54CCF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2" w:firstLineChars="200"/>
        <w:jc w:val="both"/>
        <w:rPr>
          <w:rFonts w:ascii="仿宋" w:hAnsi="仿宋" w:eastAsia="仿宋" w:cs="仿宋"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</w:rPr>
        <w:t>实务指引：计量的原则及程序；分部分项工程计量（总价合同与单价合同下的区别）；措施项目计量（总价合同与单价合同下的区别）；工程变更计量；计日工计量；返工工程计量；新增工程计量；安全生产措施费的支付；建筑工人工资费用的支付。</w:t>
      </w:r>
    </w:p>
    <w:p w14:paraId="1C30C9F2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4" w:firstLineChars="200"/>
        <w:jc w:val="both"/>
        <w:rPr>
          <w:rFonts w:ascii="仿宋" w:hAnsi="仿宋" w:eastAsia="仿宋" w:cs="仿宋"/>
          <w:b/>
          <w:bCs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hd w:val="clear" w:color="auto" w:fill="FFFFFF"/>
        </w:rPr>
        <w:t>亮点十：推行施工过程结算，及时化解结算风险、提高结算效率</w:t>
      </w:r>
    </w:p>
    <w:p w14:paraId="7E4AE885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2" w:firstLineChars="200"/>
        <w:jc w:val="both"/>
        <w:rPr>
          <w:rFonts w:ascii="仿宋" w:hAnsi="仿宋" w:eastAsia="仿宋" w:cs="仿宋"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</w:rPr>
        <w:t>实务指引：过程结算是事实行为还是法律行为；合同条款如何完善；结算节点划分的原则；发承包双方管理要点（融入《建设项目过程结算管理标准》细化讲解）；财政评审与政府审计的衔接及应对。</w:t>
      </w:r>
    </w:p>
    <w:p w14:paraId="2FBF46EA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4" w:firstLineChars="200"/>
        <w:jc w:val="both"/>
        <w:rPr>
          <w:rFonts w:ascii="仿宋" w:hAnsi="仿宋" w:eastAsia="仿宋" w:cs="仿宋"/>
          <w:b/>
          <w:bCs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hd w:val="clear" w:color="auto" w:fill="FFFFFF"/>
        </w:rPr>
        <w:t>（三）基于全过程造价管理的《2024版工程量清单计价标准》重要条文解读及实务指引</w:t>
      </w:r>
    </w:p>
    <w:p w14:paraId="0D044DC7">
      <w:pPr>
        <w:pStyle w:val="3"/>
        <w:widowControl/>
        <w:shd w:val="clear" w:color="auto" w:fill="FFFFFF"/>
        <w:spacing w:before="0" w:beforeAutospacing="0" w:after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hd w:val="clear" w:color="auto" w:fill="FFFFFF"/>
        </w:rPr>
        <w:t>1.发承包阶段对合同价款的规定、解读及运用</w:t>
      </w:r>
    </w:p>
    <w:p w14:paraId="6A9B02AE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2" w:firstLineChars="200"/>
        <w:jc w:val="both"/>
        <w:rPr>
          <w:rFonts w:ascii="仿宋" w:hAnsi="仿宋" w:eastAsia="仿宋" w:cs="仿宋"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</w:rPr>
        <w:t>主要包括：不同合同类型下，分部分项工程项目清单和措施项目清单的完整性及准确性的责任；发包人对工程量清单准确性的管理、对招标控制价编制的管理、对评标环节的管理、对物价波动引起调价的管理、对措施费调整的管理等；投标人对投标报价编制依据、风险考虑及管理等。</w:t>
      </w:r>
    </w:p>
    <w:p w14:paraId="6D046699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4" w:firstLineChars="200"/>
        <w:jc w:val="both"/>
        <w:rPr>
          <w:rFonts w:ascii="仿宋" w:hAnsi="仿宋" w:eastAsia="仿宋" w:cs="仿宋"/>
          <w:b/>
          <w:bCs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hd w:val="clear" w:color="auto" w:fill="FFFFFF"/>
        </w:rPr>
        <w:t>2.实施阶段对合同价款的规定、解读及运用</w:t>
      </w:r>
    </w:p>
    <w:p w14:paraId="5DB8F9BC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2" w:firstLineChars="200"/>
        <w:jc w:val="both"/>
        <w:rPr>
          <w:rFonts w:ascii="仿宋" w:hAnsi="仿宋" w:eastAsia="仿宋" w:cs="仿宋"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</w:rPr>
        <w:t>主要包括：综合单价内涵的丰富及实务应对；措施项目清单计价内涵的丰富及实务应对；总承包服务费内涵的变化及实务应对；计量计价风险的变化及实务应对；合同价款调整事项、工程变更、工程量清单缺陷、物价变化、暂估价、计日工等导致的价款调整；工程计量的程序、方法、责任；单价合同计量、总价合同计量；预付款支付、安全文明施工费支付、进度款支付等。</w:t>
      </w:r>
    </w:p>
    <w:p w14:paraId="22D91A7D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4" w:firstLineChars="200"/>
        <w:jc w:val="both"/>
        <w:rPr>
          <w:rFonts w:ascii="仿宋" w:hAnsi="仿宋" w:eastAsia="仿宋" w:cs="仿宋"/>
          <w:b/>
          <w:bCs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hd w:val="clear" w:color="auto" w:fill="FFFFFF"/>
        </w:rPr>
        <w:t>3.结算阶段对合同价款的规定、解读及运用</w:t>
      </w:r>
    </w:p>
    <w:p w14:paraId="1CECC85F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2" w:firstLineChars="200"/>
        <w:jc w:val="both"/>
        <w:rPr>
          <w:rFonts w:ascii="仿宋" w:hAnsi="仿宋" w:eastAsia="仿宋" w:cs="仿宋"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</w:rPr>
        <w:t>主要包括：施工过程结算、竣工结算、合同解除（中止）结算；工期延误对造价影响的典型案例；工程计价资料。</w:t>
      </w:r>
    </w:p>
    <w:p w14:paraId="1AFF29DA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4" w:firstLineChars="200"/>
        <w:jc w:val="both"/>
        <w:rPr>
          <w:rFonts w:ascii="仿宋" w:hAnsi="仿宋" w:eastAsia="仿宋" w:cs="仿宋"/>
          <w:b/>
          <w:bCs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hd w:val="clear" w:color="auto" w:fill="FFFFFF"/>
        </w:rPr>
        <w:t>（四）《2024版工程量清单计价标准》下工程结算风险防范</w:t>
      </w:r>
    </w:p>
    <w:p w14:paraId="1EEAA042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2" w:firstLineChars="200"/>
        <w:jc w:val="both"/>
        <w:rPr>
          <w:rFonts w:ascii="仿宋" w:hAnsi="仿宋" w:eastAsia="仿宋" w:cs="仿宋"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</w:rPr>
        <w:t>主要包括：常见结算风险分析；要点策划等。</w:t>
      </w:r>
    </w:p>
    <w:p w14:paraId="5931D713">
      <w:pPr>
        <w:spacing w:line="360" w:lineRule="auto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二、培训对象</w:t>
      </w:r>
    </w:p>
    <w:p w14:paraId="66605E04">
      <w:p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建设行政主管部门、工程建设企业（工程承包、建筑施工、勘察设计、房地产开发、工程项目管理、工程监理、工程咨询、招标办、公共资源交易中心、工程交易中心、投资项目评审中心、工程造价、招标代理等）总经理、总造价顾问、法务总监、总工程师、项目管理、市场开发、商务谈判、招标投标、合同管理、成本管理等中高级管理人员以及业务相关的直线经理人等。</w:t>
      </w:r>
    </w:p>
    <w:p w14:paraId="48AE9D9E"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时间、地点</w:t>
      </w:r>
    </w:p>
    <w:p w14:paraId="64E8CBA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2025年02月27日-03月01日 （27日全天报到）   北京市</w:t>
      </w:r>
    </w:p>
    <w:p w14:paraId="12DE2E6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2025年03月20日-03月22日 （20日全天报到）   上海市</w:t>
      </w:r>
    </w:p>
    <w:p w14:paraId="7657870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2025年03月27日-03月29日 （27日全天报到）   太原市</w:t>
      </w:r>
    </w:p>
    <w:p w14:paraId="3C1B9D4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2025年04月24日-04月26日 （24日全天报到）   昆明市</w:t>
      </w:r>
    </w:p>
    <w:p w14:paraId="41B20DF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2025年05月22日-05月24日 （22日全天报到）   贵阳市</w:t>
      </w:r>
    </w:p>
    <w:p w14:paraId="2973E497"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相关费用</w:t>
      </w:r>
    </w:p>
    <w:p w14:paraId="3498FCDF">
      <w:p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A.3280元/人（含专家费、资料费、电子课件、场地、会议期间午餐），住宿统一安排，费用自理。</w:t>
      </w:r>
    </w:p>
    <w:p w14:paraId="342D36C4"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B.5680元/人（含全过程工程咨询师(高级、中级)证书及网上学习3天专业课程、资料费、电子课件、会议期间午餐），住宿统一安排，费用自理。</w:t>
      </w:r>
    </w:p>
    <w:p w14:paraId="1D3C9073">
      <w:pPr>
        <w:spacing w:line="360" w:lineRule="auto"/>
        <w:ind w:firstLine="480" w:firstLineChars="200"/>
        <w:rPr>
          <w:rFonts w:hint="default" w:ascii="仿宋" w:hAnsi="仿宋" w:eastAsia="仿宋" w:cs="仿宋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C.50000元/单位，本课程培训期内50人次参加，可分批参加，并赠送全过程工程咨询师证书3本。（具体培训时间由主办方规定）</w:t>
      </w:r>
    </w:p>
    <w:p w14:paraId="094DB4E9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以上内容线上培训费用：19800元一个企业学习账号，单位投屏播放，统一观看。</w:t>
      </w:r>
    </w:p>
    <w:p w14:paraId="1119AA84">
      <w:pPr>
        <w:numPr>
          <w:ilvl w:val="0"/>
          <w:numId w:val="2"/>
        </w:num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4800元/人（含全过程工程咨询师(高级、中级)证书及网上学习3天课程）。</w:t>
      </w:r>
    </w:p>
    <w:p w14:paraId="23E87095">
      <w:p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备注：申报证书需提供报名表一份、2寸照电子照片（蓝底免冠彩照）、身份证复印件一份、学历证书复印件一份，在职单位证明（原件）一份，审核通过后出准考证，每个月最后一个周末为网上考试时间。</w:t>
      </w:r>
    </w:p>
    <w:p w14:paraId="7F238944">
      <w:p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颁证机构：</w:t>
      </w:r>
    </w:p>
    <w:p w14:paraId="2B3DC160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国家职业资格培训鉴定实验基地（http://www.nptb.org/）是人力资源和社会保障部在天津建立的综合性职业标准开发机构，主要承担国家新职业标准研发和推广任务，开展培训鉴定实验项目和课题研究，进行新职业教材和课程设计，建立新职业考核标准、考试题库。</w:t>
      </w:r>
    </w:p>
    <w:p w14:paraId="220EA1E2">
      <w:pPr>
        <w:spacing w:line="360" w:lineRule="auto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五、联系方式</w:t>
      </w:r>
    </w:p>
    <w:p w14:paraId="539D60B9"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3471545</wp:posOffset>
            </wp:positionH>
            <wp:positionV relativeFrom="paragraph">
              <wp:posOffset>233680</wp:posOffset>
            </wp:positionV>
            <wp:extent cx="2679700" cy="1905000"/>
            <wp:effectExtent l="0" t="0" r="0" b="0"/>
            <wp:wrapNone/>
            <wp:docPr id="3" name="图片 3" descr="建术公章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建术公章1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kern w:val="0"/>
          <w:sz w:val="24"/>
        </w:rPr>
        <w:t xml:space="preserve">报名负责人：聂红军 主任18211071700（微信）   </w:t>
      </w:r>
    </w:p>
    <w:p w14:paraId="43773353"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 xml:space="preserve">电    话：13141289128        邮    箱：zqgphwz@126.com  </w:t>
      </w:r>
    </w:p>
    <w:p w14:paraId="4C791331">
      <w:p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qq咨询：3177524020          网    址：http://www.zqgpchina.cn</w:t>
      </w:r>
    </w:p>
    <w:p w14:paraId="54074B7B">
      <w:pPr>
        <w:ind w:firstLine="480" w:firstLineChars="200"/>
        <w:rPr>
          <w:rFonts w:ascii="仿宋" w:hAnsi="仿宋" w:eastAsia="仿宋" w:cs="仿宋"/>
          <w:kern w:val="0"/>
          <w:sz w:val="24"/>
        </w:rPr>
      </w:pPr>
    </w:p>
    <w:p w14:paraId="77D0A53D">
      <w:pPr>
        <w:jc w:val="right"/>
      </w:pPr>
      <w:r>
        <w:rPr>
          <w:rFonts w:hint="eastAsia" w:ascii="仿宋" w:hAnsi="仿宋" w:eastAsia="仿宋" w:cs="仿宋"/>
          <w:kern w:val="0"/>
          <w:sz w:val="24"/>
        </w:rPr>
        <w:t>北京建术信息科技研究院有限公司</w:t>
      </w:r>
    </w:p>
    <w:p w14:paraId="58C8FD46">
      <w:pPr>
        <w:ind w:right="480"/>
        <w:jc w:val="center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202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24"/>
        </w:rPr>
        <w:t>年1月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4"/>
        </w:rPr>
        <w:t>日</w:t>
      </w:r>
    </w:p>
    <w:p w14:paraId="459F3185">
      <w:pPr>
        <w:spacing w:line="400" w:lineRule="exact"/>
        <w:ind w:right="80" w:rightChars="38"/>
        <w:rPr>
          <w:rStyle w:val="7"/>
          <w:rFonts w:hint="eastAsia" w:ascii="黑体" w:hAnsi="黑体" w:eastAsia="黑体" w:cs="宋体"/>
          <w:color w:val="000000"/>
          <w:sz w:val="28"/>
          <w:szCs w:val="28"/>
        </w:rPr>
      </w:pPr>
    </w:p>
    <w:p w14:paraId="6FE152E0">
      <w:pPr>
        <w:spacing w:line="400" w:lineRule="exact"/>
        <w:ind w:right="80" w:rightChars="38"/>
        <w:rPr>
          <w:rStyle w:val="7"/>
          <w:rFonts w:hint="eastAsia" w:ascii="黑体" w:hAnsi="黑体" w:eastAsia="黑体" w:cs="宋体"/>
          <w:color w:val="000000"/>
          <w:sz w:val="28"/>
          <w:szCs w:val="28"/>
        </w:rPr>
      </w:pPr>
    </w:p>
    <w:p w14:paraId="3B05370D">
      <w:pPr>
        <w:spacing w:line="400" w:lineRule="exact"/>
        <w:ind w:right="80" w:rightChars="38"/>
        <w:rPr>
          <w:rStyle w:val="7"/>
          <w:rFonts w:hint="eastAsia" w:ascii="黑体" w:hAnsi="黑体" w:eastAsia="黑体" w:cs="宋体"/>
          <w:color w:val="000000"/>
          <w:sz w:val="28"/>
          <w:szCs w:val="28"/>
        </w:rPr>
      </w:pPr>
    </w:p>
    <w:p w14:paraId="6CE19695">
      <w:pPr>
        <w:spacing w:line="400" w:lineRule="exact"/>
        <w:ind w:right="80" w:rightChars="38"/>
        <w:rPr>
          <w:rStyle w:val="7"/>
          <w:rFonts w:ascii="黑体" w:hAnsi="黑体" w:eastAsia="黑体" w:cs="宋体"/>
          <w:color w:val="000000"/>
          <w:sz w:val="28"/>
          <w:szCs w:val="28"/>
        </w:rPr>
      </w:pPr>
      <w:r>
        <w:rPr>
          <w:rStyle w:val="7"/>
          <w:rFonts w:hint="eastAsia" w:ascii="黑体" w:hAnsi="黑体" w:eastAsia="黑体" w:cs="宋体"/>
          <w:color w:val="000000"/>
          <w:sz w:val="28"/>
          <w:szCs w:val="28"/>
        </w:rPr>
        <w:t>附件</w:t>
      </w:r>
      <w:r>
        <w:rPr>
          <w:rStyle w:val="7"/>
          <w:rFonts w:ascii="黑体" w:hAnsi="黑体" w:eastAsia="黑体" w:cs="宋体"/>
          <w:color w:val="000000"/>
          <w:sz w:val="28"/>
          <w:szCs w:val="28"/>
        </w:rPr>
        <w:t>2</w:t>
      </w:r>
      <w:r>
        <w:rPr>
          <w:rStyle w:val="7"/>
          <w:rFonts w:hint="eastAsia" w:ascii="黑体" w:hAnsi="黑体" w:eastAsia="黑体" w:cs="宋体"/>
          <w:color w:val="000000"/>
          <w:sz w:val="28"/>
          <w:szCs w:val="28"/>
        </w:rPr>
        <w:t>：</w:t>
      </w:r>
      <w:r>
        <w:rPr>
          <w:rStyle w:val="7"/>
          <w:rFonts w:ascii="黑体" w:hAnsi="黑体" w:eastAsia="黑体" w:cs="宋体"/>
          <w:color w:val="000000"/>
          <w:sz w:val="28"/>
          <w:szCs w:val="28"/>
        </w:rPr>
        <w:t xml:space="preserve">                   </w:t>
      </w:r>
    </w:p>
    <w:p w14:paraId="77610C07">
      <w:pPr>
        <w:spacing w:line="400" w:lineRule="exact"/>
        <w:ind w:right="80" w:rightChars="38"/>
        <w:jc w:val="center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Style w:val="7"/>
          <w:rFonts w:hint="eastAsia" w:ascii="仿宋" w:hAnsi="仿宋" w:eastAsia="仿宋" w:cs="仿宋"/>
          <w:color w:val="000000"/>
          <w:sz w:val="28"/>
          <w:szCs w:val="28"/>
        </w:rPr>
        <w:t>《建设工程工程量清单计价标准》</w:t>
      </w:r>
      <w:r>
        <w:rPr>
          <w:rStyle w:val="7"/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GB/T50500-2024版</w:t>
      </w:r>
      <w:r>
        <w:rPr>
          <w:rStyle w:val="7"/>
          <w:rFonts w:hint="eastAsia" w:ascii="仿宋" w:hAnsi="仿宋" w:eastAsia="仿宋" w:cs="仿宋"/>
          <w:color w:val="000000"/>
          <w:sz w:val="28"/>
          <w:szCs w:val="28"/>
        </w:rPr>
        <w:t>深度解读及实务指引专题</w:t>
      </w:r>
      <w:r>
        <w:rPr>
          <w:rStyle w:val="7"/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培训班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报名回执表</w:t>
      </w:r>
    </w:p>
    <w:tbl>
      <w:tblPr>
        <w:tblStyle w:val="5"/>
        <w:tblpPr w:leftFromText="180" w:rightFromText="180" w:vertAnchor="text" w:horzAnchor="page" w:tblpXSpec="center" w:tblpY="187"/>
        <w:tblOverlap w:val="never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935"/>
        <w:gridCol w:w="1208"/>
        <w:gridCol w:w="1417"/>
        <w:gridCol w:w="986"/>
        <w:gridCol w:w="996"/>
        <w:gridCol w:w="504"/>
        <w:gridCol w:w="948"/>
      </w:tblGrid>
      <w:tr w14:paraId="18CAD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32" w:type="dxa"/>
            <w:noWrap/>
            <w:vAlign w:val="center"/>
          </w:tcPr>
          <w:p w14:paraId="201245D5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单位名称</w:t>
            </w:r>
          </w:p>
        </w:tc>
        <w:tc>
          <w:tcPr>
            <w:tcW w:w="4546" w:type="dxa"/>
            <w:gridSpan w:val="4"/>
            <w:noWrap/>
            <w:vAlign w:val="center"/>
          </w:tcPr>
          <w:p w14:paraId="30178628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96" w:type="dxa"/>
            <w:noWrap/>
            <w:vAlign w:val="center"/>
          </w:tcPr>
          <w:p w14:paraId="66143704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邮编</w:t>
            </w:r>
          </w:p>
        </w:tc>
        <w:tc>
          <w:tcPr>
            <w:tcW w:w="1452" w:type="dxa"/>
            <w:gridSpan w:val="2"/>
            <w:noWrap/>
            <w:vAlign w:val="center"/>
          </w:tcPr>
          <w:p w14:paraId="35C381DC">
            <w:pPr>
              <w:spacing w:line="360" w:lineRule="exact"/>
              <w:ind w:left="149" w:right="80" w:rightChars="38" w:hanging="148" w:hangingChars="62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271F4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32" w:type="dxa"/>
            <w:noWrap/>
            <w:vAlign w:val="center"/>
          </w:tcPr>
          <w:p w14:paraId="2B8BE479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详细地址</w:t>
            </w:r>
          </w:p>
        </w:tc>
        <w:tc>
          <w:tcPr>
            <w:tcW w:w="6994" w:type="dxa"/>
            <w:gridSpan w:val="7"/>
            <w:noWrap/>
            <w:vAlign w:val="center"/>
          </w:tcPr>
          <w:p w14:paraId="10E9588D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63443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932" w:type="dxa"/>
            <w:noWrap/>
            <w:vAlign w:val="center"/>
          </w:tcPr>
          <w:p w14:paraId="22E9E6C6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联系人</w:t>
            </w:r>
          </w:p>
        </w:tc>
        <w:tc>
          <w:tcPr>
            <w:tcW w:w="3560" w:type="dxa"/>
            <w:gridSpan w:val="3"/>
            <w:noWrap/>
            <w:vAlign w:val="center"/>
          </w:tcPr>
          <w:p w14:paraId="747F40C3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82" w:type="dxa"/>
            <w:gridSpan w:val="2"/>
            <w:noWrap/>
            <w:vAlign w:val="center"/>
          </w:tcPr>
          <w:p w14:paraId="60BB1F3B">
            <w:pPr>
              <w:keepNext/>
              <w:spacing w:line="360" w:lineRule="exact"/>
              <w:ind w:right="80" w:rightChars="38"/>
              <w:outlineLvl w:val="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E-mail</w:t>
            </w:r>
          </w:p>
        </w:tc>
        <w:tc>
          <w:tcPr>
            <w:tcW w:w="1452" w:type="dxa"/>
            <w:gridSpan w:val="2"/>
            <w:noWrap/>
            <w:vAlign w:val="center"/>
          </w:tcPr>
          <w:p w14:paraId="4BDFB4EE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2FD63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932" w:type="dxa"/>
            <w:noWrap/>
            <w:vAlign w:val="center"/>
          </w:tcPr>
          <w:p w14:paraId="035A78FC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电话（区号）</w:t>
            </w:r>
          </w:p>
        </w:tc>
        <w:tc>
          <w:tcPr>
            <w:tcW w:w="3560" w:type="dxa"/>
            <w:gridSpan w:val="3"/>
            <w:noWrap/>
            <w:vAlign w:val="center"/>
          </w:tcPr>
          <w:p w14:paraId="66B31D97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82" w:type="dxa"/>
            <w:gridSpan w:val="2"/>
            <w:noWrap/>
            <w:vAlign w:val="center"/>
          </w:tcPr>
          <w:p w14:paraId="5DD1C94E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传真</w:t>
            </w:r>
          </w:p>
        </w:tc>
        <w:tc>
          <w:tcPr>
            <w:tcW w:w="1452" w:type="dxa"/>
            <w:gridSpan w:val="2"/>
            <w:noWrap/>
            <w:vAlign w:val="center"/>
          </w:tcPr>
          <w:p w14:paraId="12D30D04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3862D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32" w:type="dxa"/>
            <w:noWrap/>
            <w:vAlign w:val="center"/>
          </w:tcPr>
          <w:p w14:paraId="67F6830D">
            <w:pPr>
              <w:spacing w:line="360" w:lineRule="exact"/>
              <w:ind w:right="80" w:rightChars="38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参班代表姓名</w:t>
            </w:r>
          </w:p>
        </w:tc>
        <w:tc>
          <w:tcPr>
            <w:tcW w:w="935" w:type="dxa"/>
            <w:noWrap/>
            <w:vAlign w:val="center"/>
          </w:tcPr>
          <w:p w14:paraId="0B3AA53E">
            <w:pPr>
              <w:spacing w:line="360" w:lineRule="exact"/>
              <w:ind w:right="80" w:rightChars="38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性别</w:t>
            </w:r>
          </w:p>
        </w:tc>
        <w:tc>
          <w:tcPr>
            <w:tcW w:w="1208" w:type="dxa"/>
            <w:noWrap/>
            <w:vAlign w:val="center"/>
          </w:tcPr>
          <w:p w14:paraId="7626F9C5">
            <w:pPr>
              <w:spacing w:line="360" w:lineRule="exact"/>
              <w:ind w:right="80" w:rightChars="38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部门</w:t>
            </w:r>
          </w:p>
        </w:tc>
        <w:tc>
          <w:tcPr>
            <w:tcW w:w="1417" w:type="dxa"/>
            <w:noWrap/>
            <w:vAlign w:val="center"/>
          </w:tcPr>
          <w:p w14:paraId="31A57FD3">
            <w:pPr>
              <w:spacing w:line="360" w:lineRule="exact"/>
              <w:ind w:right="80" w:rightChars="38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职务</w:t>
            </w:r>
          </w:p>
        </w:tc>
        <w:tc>
          <w:tcPr>
            <w:tcW w:w="1982" w:type="dxa"/>
            <w:gridSpan w:val="2"/>
            <w:noWrap/>
            <w:vAlign w:val="center"/>
          </w:tcPr>
          <w:p w14:paraId="49C4BD1D">
            <w:pPr>
              <w:spacing w:line="360" w:lineRule="exact"/>
              <w:ind w:right="80" w:rightChars="38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手机</w:t>
            </w:r>
          </w:p>
        </w:tc>
        <w:tc>
          <w:tcPr>
            <w:tcW w:w="1452" w:type="dxa"/>
            <w:gridSpan w:val="2"/>
            <w:noWrap/>
            <w:vAlign w:val="center"/>
          </w:tcPr>
          <w:p w14:paraId="4CE13FB8">
            <w:pPr>
              <w:spacing w:line="360" w:lineRule="exact"/>
              <w:ind w:right="80" w:rightChars="38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E-mail</w:t>
            </w:r>
          </w:p>
        </w:tc>
      </w:tr>
      <w:tr w14:paraId="320B7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32" w:type="dxa"/>
            <w:noWrap/>
            <w:vAlign w:val="center"/>
          </w:tcPr>
          <w:p w14:paraId="00499D88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35" w:type="dxa"/>
            <w:noWrap/>
            <w:vAlign w:val="center"/>
          </w:tcPr>
          <w:p w14:paraId="300B964C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08" w:type="dxa"/>
            <w:noWrap/>
            <w:vAlign w:val="center"/>
          </w:tcPr>
          <w:p w14:paraId="2329092C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0394D9A4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82" w:type="dxa"/>
            <w:gridSpan w:val="2"/>
            <w:noWrap/>
            <w:vAlign w:val="center"/>
          </w:tcPr>
          <w:p w14:paraId="553D42DA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52" w:type="dxa"/>
            <w:gridSpan w:val="2"/>
            <w:noWrap/>
            <w:vAlign w:val="center"/>
          </w:tcPr>
          <w:p w14:paraId="7B2899D5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724F7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32" w:type="dxa"/>
            <w:noWrap/>
            <w:vAlign w:val="center"/>
          </w:tcPr>
          <w:p w14:paraId="3699B5B4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35" w:type="dxa"/>
            <w:noWrap/>
            <w:vAlign w:val="center"/>
          </w:tcPr>
          <w:p w14:paraId="5962BA63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08" w:type="dxa"/>
            <w:noWrap/>
            <w:vAlign w:val="center"/>
          </w:tcPr>
          <w:p w14:paraId="466B386F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074869CF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82" w:type="dxa"/>
            <w:gridSpan w:val="2"/>
            <w:noWrap/>
            <w:vAlign w:val="center"/>
          </w:tcPr>
          <w:p w14:paraId="445730E7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52" w:type="dxa"/>
            <w:gridSpan w:val="2"/>
            <w:noWrap/>
            <w:vAlign w:val="center"/>
          </w:tcPr>
          <w:p w14:paraId="6F02D2C6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76776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32" w:type="dxa"/>
            <w:noWrap/>
            <w:vAlign w:val="center"/>
          </w:tcPr>
          <w:p w14:paraId="34DF3D62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35" w:type="dxa"/>
            <w:noWrap/>
            <w:vAlign w:val="center"/>
          </w:tcPr>
          <w:p w14:paraId="7F914385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08" w:type="dxa"/>
            <w:noWrap/>
            <w:vAlign w:val="center"/>
          </w:tcPr>
          <w:p w14:paraId="795D1E22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3BE4E02E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82" w:type="dxa"/>
            <w:gridSpan w:val="2"/>
            <w:noWrap/>
            <w:vAlign w:val="center"/>
          </w:tcPr>
          <w:p w14:paraId="3345AFAD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52" w:type="dxa"/>
            <w:gridSpan w:val="2"/>
            <w:noWrap/>
            <w:vAlign w:val="center"/>
          </w:tcPr>
          <w:p w14:paraId="64B220E8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08F4B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32" w:type="dxa"/>
            <w:noWrap/>
            <w:vAlign w:val="center"/>
          </w:tcPr>
          <w:p w14:paraId="303F09E3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35" w:type="dxa"/>
            <w:noWrap/>
            <w:vAlign w:val="center"/>
          </w:tcPr>
          <w:p w14:paraId="6E2E5AA8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08" w:type="dxa"/>
            <w:noWrap/>
            <w:vAlign w:val="center"/>
          </w:tcPr>
          <w:p w14:paraId="17C1E039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7BB74A30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82" w:type="dxa"/>
            <w:gridSpan w:val="2"/>
            <w:noWrap/>
            <w:vAlign w:val="center"/>
          </w:tcPr>
          <w:p w14:paraId="476238C2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52" w:type="dxa"/>
            <w:gridSpan w:val="2"/>
            <w:noWrap/>
            <w:vAlign w:val="center"/>
          </w:tcPr>
          <w:p w14:paraId="5D230543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443FD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32" w:type="dxa"/>
            <w:noWrap/>
            <w:vAlign w:val="center"/>
          </w:tcPr>
          <w:p w14:paraId="2EC7EEAD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35" w:type="dxa"/>
            <w:noWrap/>
            <w:vAlign w:val="center"/>
          </w:tcPr>
          <w:p w14:paraId="4DCDBF4E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08" w:type="dxa"/>
            <w:noWrap/>
            <w:vAlign w:val="center"/>
          </w:tcPr>
          <w:p w14:paraId="09CD1826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3AA4E647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82" w:type="dxa"/>
            <w:gridSpan w:val="2"/>
            <w:noWrap/>
            <w:vAlign w:val="center"/>
          </w:tcPr>
          <w:p w14:paraId="32837FD3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52" w:type="dxa"/>
            <w:gridSpan w:val="2"/>
            <w:noWrap/>
            <w:vAlign w:val="center"/>
          </w:tcPr>
          <w:p w14:paraId="0DFE1841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481AF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32" w:type="dxa"/>
            <w:noWrap/>
            <w:vAlign w:val="center"/>
          </w:tcPr>
          <w:p w14:paraId="025127B7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35" w:type="dxa"/>
            <w:noWrap/>
            <w:vAlign w:val="center"/>
          </w:tcPr>
          <w:p w14:paraId="466E2156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08" w:type="dxa"/>
            <w:noWrap/>
            <w:vAlign w:val="center"/>
          </w:tcPr>
          <w:p w14:paraId="05D687E4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7F4A25C8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82" w:type="dxa"/>
            <w:gridSpan w:val="2"/>
            <w:noWrap/>
            <w:vAlign w:val="center"/>
          </w:tcPr>
          <w:p w14:paraId="556640D3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52" w:type="dxa"/>
            <w:gridSpan w:val="2"/>
            <w:noWrap/>
            <w:vAlign w:val="center"/>
          </w:tcPr>
          <w:p w14:paraId="5279BD63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0A121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32" w:type="dxa"/>
            <w:noWrap/>
            <w:vAlign w:val="center"/>
          </w:tcPr>
          <w:p w14:paraId="2AE4229E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35" w:type="dxa"/>
            <w:noWrap/>
            <w:vAlign w:val="center"/>
          </w:tcPr>
          <w:p w14:paraId="74F6EA38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08" w:type="dxa"/>
            <w:noWrap/>
            <w:vAlign w:val="center"/>
          </w:tcPr>
          <w:p w14:paraId="0BA27950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7628A1F5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82" w:type="dxa"/>
            <w:gridSpan w:val="2"/>
            <w:noWrap/>
            <w:vAlign w:val="center"/>
          </w:tcPr>
          <w:p w14:paraId="20374B4B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52" w:type="dxa"/>
            <w:gridSpan w:val="2"/>
            <w:noWrap/>
            <w:vAlign w:val="center"/>
          </w:tcPr>
          <w:p w14:paraId="0A6DBEA0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27778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32" w:type="dxa"/>
            <w:noWrap/>
            <w:vAlign w:val="center"/>
          </w:tcPr>
          <w:p w14:paraId="6E0641B6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35" w:type="dxa"/>
            <w:noWrap/>
            <w:vAlign w:val="center"/>
          </w:tcPr>
          <w:p w14:paraId="123418C1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08" w:type="dxa"/>
            <w:noWrap/>
            <w:vAlign w:val="center"/>
          </w:tcPr>
          <w:p w14:paraId="647C1B42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3445C766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82" w:type="dxa"/>
            <w:gridSpan w:val="2"/>
            <w:noWrap/>
            <w:vAlign w:val="center"/>
          </w:tcPr>
          <w:p w14:paraId="1C141189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52" w:type="dxa"/>
            <w:gridSpan w:val="2"/>
            <w:noWrap/>
            <w:vAlign w:val="center"/>
          </w:tcPr>
          <w:p w14:paraId="23F9EC6D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186ED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32" w:type="dxa"/>
            <w:noWrap/>
            <w:vAlign w:val="center"/>
          </w:tcPr>
          <w:p w14:paraId="7E945AA5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住宿安排</w:t>
            </w:r>
          </w:p>
        </w:tc>
        <w:tc>
          <w:tcPr>
            <w:tcW w:w="6994" w:type="dxa"/>
            <w:gridSpan w:val="7"/>
            <w:noWrap/>
            <w:vAlign w:val="center"/>
          </w:tcPr>
          <w:p w14:paraId="0E40AF46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□单间    □标间   订房数量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间    □否    □自行安排</w:t>
            </w:r>
          </w:p>
        </w:tc>
      </w:tr>
      <w:tr w14:paraId="5DC73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932" w:type="dxa"/>
            <w:noWrap/>
            <w:vAlign w:val="center"/>
          </w:tcPr>
          <w:p w14:paraId="1541F276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参会地点</w:t>
            </w:r>
          </w:p>
        </w:tc>
        <w:tc>
          <w:tcPr>
            <w:tcW w:w="4546" w:type="dxa"/>
            <w:gridSpan w:val="4"/>
            <w:noWrap/>
            <w:vAlign w:val="center"/>
          </w:tcPr>
          <w:p w14:paraId="0CC7DBD2">
            <w:pPr>
              <w:spacing w:line="360" w:lineRule="exact"/>
              <w:ind w:left="240" w:right="80" w:rightChars="38" w:hanging="240" w:hangingChars="100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北京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上海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太原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昆明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贵阳</w:t>
            </w:r>
          </w:p>
        </w:tc>
        <w:tc>
          <w:tcPr>
            <w:tcW w:w="1500" w:type="dxa"/>
            <w:gridSpan w:val="2"/>
            <w:noWrap/>
            <w:vAlign w:val="center"/>
          </w:tcPr>
          <w:p w14:paraId="566695D2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培训费用</w:t>
            </w:r>
          </w:p>
        </w:tc>
        <w:tc>
          <w:tcPr>
            <w:tcW w:w="948" w:type="dxa"/>
            <w:noWrap/>
            <w:vAlign w:val="center"/>
          </w:tcPr>
          <w:p w14:paraId="28779881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11721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932" w:type="dxa"/>
            <w:noWrap/>
            <w:vAlign w:val="center"/>
          </w:tcPr>
          <w:p w14:paraId="49390838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付款方式</w:t>
            </w:r>
          </w:p>
        </w:tc>
        <w:tc>
          <w:tcPr>
            <w:tcW w:w="6994" w:type="dxa"/>
            <w:gridSpan w:val="7"/>
            <w:noWrap/>
            <w:vAlign w:val="center"/>
          </w:tcPr>
          <w:p w14:paraId="72FE739D">
            <w:pPr>
              <w:spacing w:line="360" w:lineRule="exact"/>
              <w:ind w:right="80" w:rightChars="38" w:firstLine="240" w:firstLineChars="1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□通过银行        □刷卡      □现金   □微信/支付宝</w:t>
            </w:r>
          </w:p>
        </w:tc>
      </w:tr>
      <w:tr w14:paraId="0E561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932" w:type="dxa"/>
            <w:noWrap/>
            <w:vAlign w:val="center"/>
          </w:tcPr>
          <w:p w14:paraId="1D38181B">
            <w:pPr>
              <w:ind w:right="80" w:rightChars="38"/>
              <w:rPr>
                <w:rFonts w:ascii="仿宋" w:hAnsi="仿宋" w:eastAsia="仿宋" w:cs="仿宋"/>
                <w:b/>
                <w:bCs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发票类别</w:t>
            </w:r>
          </w:p>
        </w:tc>
        <w:tc>
          <w:tcPr>
            <w:tcW w:w="6994" w:type="dxa"/>
            <w:gridSpan w:val="7"/>
            <w:noWrap/>
          </w:tcPr>
          <w:p w14:paraId="755154C9">
            <w:pPr>
              <w:ind w:right="80" w:rightChars="38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增值税（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普通□专用）发票,开票信息如下：</w:t>
            </w:r>
          </w:p>
          <w:p w14:paraId="1A1C7BE7">
            <w:pPr>
              <w:ind w:right="80" w:rightChars="38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 位 名 称：</w:t>
            </w:r>
          </w:p>
          <w:p w14:paraId="28B6A8C6">
            <w:pPr>
              <w:ind w:right="80" w:rightChars="38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税       号：</w:t>
            </w:r>
          </w:p>
          <w:p w14:paraId="1491AA55">
            <w:pPr>
              <w:ind w:right="80" w:rightChars="38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地址、 电话：</w:t>
            </w:r>
          </w:p>
          <w:p w14:paraId="2FA270CB">
            <w:pPr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开户行、账号：</w:t>
            </w:r>
          </w:p>
        </w:tc>
      </w:tr>
      <w:tr w14:paraId="6F791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932" w:type="dxa"/>
            <w:noWrap/>
            <w:vAlign w:val="center"/>
          </w:tcPr>
          <w:p w14:paraId="135E4E14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指定收款账户</w:t>
            </w:r>
          </w:p>
        </w:tc>
        <w:tc>
          <w:tcPr>
            <w:tcW w:w="6994" w:type="dxa"/>
            <w:gridSpan w:val="7"/>
            <w:noWrap/>
            <w:vAlign w:val="center"/>
          </w:tcPr>
          <w:p w14:paraId="71B289C6">
            <w:pPr>
              <w:spacing w:line="340" w:lineRule="exact"/>
              <w:ind w:right="80" w:rightChars="38"/>
              <w:rPr>
                <w:rFonts w:ascii="仿宋" w:hAnsi="仿宋" w:eastAsia="仿宋" w:cs="仿宋"/>
                <w:bCs/>
                <w:sz w:val="24"/>
                <w:lang w:val="ru-RU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ru-RU"/>
              </w:rPr>
              <w:t>户  名：北京建术信息科技研究院有限公司</w:t>
            </w:r>
          </w:p>
          <w:p w14:paraId="79081EA4">
            <w:pPr>
              <w:spacing w:line="340" w:lineRule="exact"/>
              <w:ind w:right="80" w:rightChars="38"/>
              <w:rPr>
                <w:rFonts w:ascii="仿宋" w:hAnsi="仿宋" w:eastAsia="仿宋" w:cs="仿宋"/>
                <w:bCs/>
                <w:sz w:val="24"/>
                <w:lang w:val="ru-RU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ru-RU"/>
              </w:rPr>
              <w:t>开户行：中国建设银行股份有限公司北京昌平小汤山支行</w:t>
            </w:r>
          </w:p>
          <w:p w14:paraId="450ACE88">
            <w:pPr>
              <w:spacing w:line="340" w:lineRule="exact"/>
              <w:ind w:right="80" w:rightChars="38"/>
              <w:rPr>
                <w:rFonts w:ascii="仿宋" w:hAnsi="仿宋" w:eastAsia="仿宋" w:cs="仿宋"/>
                <w:bCs/>
                <w:sz w:val="24"/>
                <w:lang w:bidi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ru-RU"/>
              </w:rPr>
              <w:t>账  号：1105 0110 2401 0900 0164</w:t>
            </w:r>
            <w:bookmarkStart w:id="0" w:name="_GoBack"/>
            <w:bookmarkEnd w:id="0"/>
          </w:p>
        </w:tc>
      </w:tr>
      <w:tr w14:paraId="3DBFC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32" w:type="dxa"/>
            <w:noWrap/>
            <w:vAlign w:val="center"/>
          </w:tcPr>
          <w:p w14:paraId="1ACC872C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参会方式</w:t>
            </w:r>
          </w:p>
        </w:tc>
        <w:tc>
          <w:tcPr>
            <w:tcW w:w="6994" w:type="dxa"/>
            <w:gridSpan w:val="7"/>
            <w:noWrap/>
            <w:vAlign w:val="center"/>
          </w:tcPr>
          <w:p w14:paraId="1B070429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请参会单位把参会回执回传至会务组，会务组确认后即发《参会凭证》，其中将详细注明报到时间、报到地点、食宿等具体安排事项。</w:t>
            </w:r>
          </w:p>
        </w:tc>
      </w:tr>
    </w:tbl>
    <w:p w14:paraId="0BC42611">
      <w:pPr>
        <w:spacing w:line="480" w:lineRule="exact"/>
        <w:ind w:right="80" w:rightChars="38"/>
        <w:rPr>
          <w:rStyle w:val="7"/>
          <w:rFonts w:ascii="黑体" w:hAnsi="黑体" w:eastAsia="黑体" w:cs="宋体"/>
          <w:color w:val="000000"/>
          <w:lang w:val="zh-CN"/>
        </w:rPr>
      </w:pPr>
      <w:r>
        <w:rPr>
          <w:rStyle w:val="7"/>
          <w:rFonts w:hint="eastAsia" w:ascii="黑体" w:hAnsi="黑体" w:eastAsia="黑体" w:cs="宋体"/>
          <w:color w:val="000000"/>
          <w:lang w:val="zh-CN"/>
        </w:rPr>
        <w:t>注：为保证培训质量，培训班名额有限，额满为止，请确定人员后及早报名。</w:t>
      </w:r>
    </w:p>
    <w:p w14:paraId="66A67B9F">
      <w:pPr>
        <w:pStyle w:val="4"/>
        <w:ind w:left="0" w:leftChars="0" w:firstLine="0" w:firstLineChars="0"/>
        <w:rPr>
          <w:rFonts w:hint="eastAsia"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 xml:space="preserve">  报名负责人：聂红军 主任18211071700（微信）   </w:t>
      </w:r>
    </w:p>
    <w:p w14:paraId="4463A795">
      <w:pPr>
        <w:pStyle w:val="4"/>
        <w:ind w:left="0" w:leftChars="0" w:firstLine="240" w:firstLineChars="100"/>
        <w:rPr>
          <w:rFonts w:hint="eastAsia"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 xml:space="preserve">电    话：13141289128        邮    箱：zqgphwz@126.com  </w:t>
      </w:r>
    </w:p>
    <w:p w14:paraId="4E7D051C">
      <w:pPr>
        <w:pStyle w:val="4"/>
        <w:ind w:left="0" w:leftChars="0" w:firstLine="240" w:firstLine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</w:rPr>
        <w:t>qq咨询：3177524020          网    址：http://www.zqgpchina.cn</w:t>
      </w:r>
    </w:p>
    <w:sectPr>
      <w:pgSz w:w="11906" w:h="16838"/>
      <w:pgMar w:top="986" w:right="1236" w:bottom="986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C4E7CC"/>
    <w:multiLevelType w:val="singleLevel"/>
    <w:tmpl w:val="A2C4E7C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436AF7"/>
    <w:multiLevelType w:val="singleLevel"/>
    <w:tmpl w:val="4B436AF7"/>
    <w:lvl w:ilvl="0" w:tentative="0">
      <w:start w:val="4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MWU4NjE2ZThjZWFmNTIyNjY1N2Y2MGM4NGU0YzgifQ=="/>
  </w:docVars>
  <w:rsids>
    <w:rsidRoot w:val="52BA4540"/>
    <w:rsid w:val="00735E6D"/>
    <w:rsid w:val="00D041F0"/>
    <w:rsid w:val="09BA4552"/>
    <w:rsid w:val="0E5B2E55"/>
    <w:rsid w:val="18603EFD"/>
    <w:rsid w:val="21CD1A9C"/>
    <w:rsid w:val="25905F90"/>
    <w:rsid w:val="3C0A134F"/>
    <w:rsid w:val="45483ABD"/>
    <w:rsid w:val="4A3D4856"/>
    <w:rsid w:val="52BA4540"/>
    <w:rsid w:val="5F103E8F"/>
    <w:rsid w:val="62B83791"/>
    <w:rsid w:val="6EA026DB"/>
    <w:rsid w:val="6EEB2A81"/>
    <w:rsid w:val="7017298F"/>
    <w:rsid w:val="7174582F"/>
    <w:rsid w:val="76911A66"/>
    <w:rsid w:val="77267C75"/>
    <w:rsid w:val="7D99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4">
    <w:name w:val="Body Text First Indent 2"/>
    <w:basedOn w:val="2"/>
    <w:qFormat/>
    <w:uiPriority w:val="99"/>
    <w:pPr>
      <w:ind w:firstLine="420" w:firstLineChars="200"/>
    </w:pPr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3429</Words>
  <Characters>3719</Characters>
  <Lines>27</Lines>
  <Paragraphs>7</Paragraphs>
  <TotalTime>309</TotalTime>
  <ScaleCrop>false</ScaleCrop>
  <LinksUpToDate>false</LinksUpToDate>
  <CharactersWithSpaces>3910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2024-05-13T06:46:00Z</dcterms:created>
  <dc:creator>姣 儿</dc:creator>
  <cp:lastModifiedBy>聂红军</cp:lastModifiedBy>
  <dcterms:modified xsi:type="dcterms:W3CDTF">2025-01-13T01:14:32Z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1793BD2989C147FCBB7F6DBB1E7C4FB8_13</vt:lpwstr>
  </property>
  <property fmtid="{D5CDD505-2E9C-101B-9397-08002B2CF9AE}" pid="4" name="KSOTemplateDocerSaveRecord">
    <vt:lpwstr>eyJoZGlkIjoiZTUyMWM5NTU3NmQwMzYzZGY2NjUyMjZkNDUzMDVhNDkiLCJ1c2VySWQiOiI0OTM4MTE0ODQifQ==</vt:lpwstr>
  </property>
</Properties>
</file>