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A8B96">
      <w:pPr>
        <w:spacing w:afterAutospacing="0"/>
        <w:jc w:val="distribute"/>
        <w:rPr>
          <w:rFonts w:ascii="宋体" w:hAnsi="宋体" w:eastAsia="宋体"/>
          <w:color w:val="000000"/>
          <w:sz w:val="30"/>
          <w:szCs w:val="30"/>
          <w:lang w:val="zh-TW" w:eastAsia="zh-TW" w:bidi="zh-TW"/>
        </w:rPr>
      </w:pPr>
      <w:r>
        <w:rPr>
          <w:rFonts w:ascii="宋体" w:hAnsi="宋体" w:eastAsia="宋体"/>
          <w:b/>
          <w:bCs/>
          <w:color w:val="FF0000"/>
          <w:sz w:val="84"/>
          <w:szCs w:val="84"/>
          <w:lang w:val="zh-TW" w:eastAsia="zh-TW" w:bidi="zh-TW"/>
        </w:rPr>
        <w:t>中国投资协会培训中心</w:t>
      </w:r>
    </w:p>
    <w:p w14:paraId="75AF3AA3">
      <w:pPr>
        <w:keepNext w:val="0"/>
        <w:keepLines w:val="0"/>
        <w:pageBreakBefore w:val="0"/>
        <w:widowControl w:val="0"/>
        <w:tabs>
          <w:tab w:val="left" w:pos="1390"/>
          <w:tab w:val="center" w:pos="5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center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  <w:lang w:val="zh-TW" w:eastAsia="zh-TW" w:bidi="zh-TW"/>
        </w:rPr>
        <w:t>中投协培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</w:rPr>
        <w:t>〔202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</w:rPr>
        <w:t>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</w:rPr>
        <w:t>号</w:t>
      </w:r>
    </w:p>
    <w:p w14:paraId="6D0BDB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2118995</wp:posOffset>
                </wp:positionV>
                <wp:extent cx="5838825" cy="0"/>
                <wp:effectExtent l="0" t="19050" r="9525" b="190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.75pt;margin-top:166.85pt;height:0pt;width:459.75pt;mso-position-vertical-relative:page;z-index:251659264;mso-width-relative:page;mso-height-relative:page;" filled="f" stroked="t" coordsize="21600,21600" o:gfxdata="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BS+qbYAAAACgEAAA8AAAAAAAAAAQAgAAAAIgAAAGRy&#10;cy9kb3ducmV2LnhtbFBLAQIUABQAAAAIAIdO4kBRymcsBQIAAPcDAAAOAAAAAAAAAAEAIAAAACcB&#10;AABkcnMvZTJvRG9jLnhtbFBLBQYAAAAABgAGAFkBAACe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317B09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关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于举办</w:t>
      </w: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“《2024清单</w:t>
      </w:r>
      <w:r>
        <w:rPr>
          <w:rFonts w:hint="eastAsia" w:cs="仿宋"/>
          <w:b/>
          <w:kern w:val="2"/>
          <w:sz w:val="32"/>
          <w:szCs w:val="32"/>
          <w:lang w:val="en-US" w:eastAsia="zh-CN" w:bidi="ar-SA"/>
        </w:rPr>
        <w:t>计价</w:t>
      </w: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标准》深度解读及全过程精细化结算管控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落地实操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专题培训班的通知</w:t>
      </w:r>
    </w:p>
    <w:p w14:paraId="013881D7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60815F0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baseline"/>
        <w:outlineLvl w:val="0"/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  <w:t>各有关单位：</w:t>
      </w:r>
    </w:p>
    <w:p w14:paraId="0EBF77B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baseline"/>
        <w:outlineLvl w:val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《建设工程工程量清单计价标准》(GB/T50500-2024)及《房屋建筑与装饰工程工程量计算标准》(GB/T50854-2024)等九本计算标准(以下简称《2024清单</w:t>
      </w:r>
      <w:r>
        <w:rPr>
          <w:rFonts w:hint="eastAsia" w:cs="仿宋"/>
          <w:kern w:val="2"/>
          <w:sz w:val="28"/>
          <w:szCs w:val="28"/>
          <w:highlight w:val="none"/>
          <w:lang w:val="en-US" w:eastAsia="zh-CN" w:bidi="ar-SA"/>
        </w:rPr>
        <w:t>计价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标准》)，自2025年9月1日起实施。标志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着中国工程造价改革又迈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进了一大步，《2024清单</w:t>
      </w:r>
      <w:r>
        <w:rPr>
          <w:rFonts w:hint="eastAsia" w:cs="仿宋"/>
          <w:kern w:val="2"/>
          <w:sz w:val="28"/>
          <w:szCs w:val="28"/>
          <w:highlight w:val="none"/>
          <w:lang w:val="en-US" w:eastAsia="zh-CN" w:bidi="ar-SA"/>
        </w:rPr>
        <w:t>计价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标准》与《2013清单规范》相比在计量计价方法、风险分担、工程量清单错误承担、合同价款调整、措施项目的计价规则、最高投标限价、投标报价的编制规定、不平衡报价处理、争议纠纷解决等方面发生较大改变。准确理解新版标准实质精髓、熟练掌握新标准应用操作是当务之急。</w:t>
      </w:r>
    </w:p>
    <w:p w14:paraId="69F11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如何将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《2024清单</w:t>
      </w:r>
      <w:r>
        <w:rPr>
          <w:rFonts w:hint="eastAsia" w:cs="仿宋"/>
          <w:kern w:val="2"/>
          <w:sz w:val="28"/>
          <w:szCs w:val="28"/>
          <w:highlight w:val="none"/>
          <w:lang w:val="en-US" w:eastAsia="zh-CN" w:bidi="ar-SA"/>
        </w:rPr>
        <w:t>计价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标准》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更好地应用到实务中，就需要从招投标阶段入手进行全过程的落实、全方位的筹划，在结算时才能减少争议。为帮助各单位熟悉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《2024清单</w:t>
      </w:r>
      <w:r>
        <w:rPr>
          <w:rFonts w:hint="eastAsia" w:cs="仿宋"/>
          <w:kern w:val="2"/>
          <w:sz w:val="28"/>
          <w:szCs w:val="28"/>
          <w:highlight w:val="none"/>
          <w:lang w:val="en-US" w:eastAsia="zh-CN" w:bidi="ar-SA"/>
        </w:rPr>
        <w:t>计价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标准》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的操作要领，学会合同风险管控、机会点挖掘策略，掌握全过程精细化结算的落地实操方法，解决结算难题，切实提高工程造价控制水平，实现结算创效的目标。中国投资协会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培训中心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决定举办“《2024清单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计价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标准》深度解读及全过程精细化结算管控”落地实操专题培训班。现将有关事项通知如下：</w:t>
      </w:r>
    </w:p>
    <w:p w14:paraId="18D732A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336"/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一、培训收获</w:t>
      </w:r>
    </w:p>
    <w:p w14:paraId="3AAD7D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336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  <w:t>权威解读：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参编《建设工程工程量清单计价标准》的专家亲临授课，权威解读。</w:t>
      </w:r>
    </w:p>
    <w:p w14:paraId="145255B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336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  <w:t>实战操练：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有30年实战经验老师讲授合同及结算要点现场练习掌握，并能灵活运用到自己的工作中</w:t>
      </w:r>
      <w:r>
        <w:rPr>
          <w:rFonts w:hint="eastAsia" w:cs="仿宋"/>
          <w:b w:val="0"/>
          <w:bCs/>
          <w:kern w:val="2"/>
          <w:sz w:val="28"/>
          <w:szCs w:val="28"/>
          <w:lang w:val="en-US" w:eastAsia="zh-CN" w:bidi="ar-SA"/>
        </w:rPr>
        <w:t>。</w:t>
      </w:r>
    </w:p>
    <w:p w14:paraId="535050C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336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  <w:t>案例分析：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优秀结算案例的核心要素解析，掌握结算全过程筹划的关键点，即学即用</w:t>
      </w:r>
      <w:r>
        <w:rPr>
          <w:rFonts w:hint="eastAsia" w:cs="仿宋"/>
          <w:b w:val="0"/>
          <w:bCs/>
          <w:kern w:val="2"/>
          <w:sz w:val="28"/>
          <w:szCs w:val="28"/>
          <w:lang w:val="en-US" w:eastAsia="zh-CN" w:bidi="ar-SA"/>
        </w:rPr>
        <w:t>。</w:t>
      </w:r>
    </w:p>
    <w:p w14:paraId="14794DF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336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  <w:t>个性咨询：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结合企业自身个性问题，享受专家现场咨询服务。</w:t>
      </w:r>
    </w:p>
    <w:p w14:paraId="4154CCF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</w:p>
    <w:p w14:paraId="2FADD8D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firstLine="396" w:firstLineChars="141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二、培训内容：</w:t>
      </w:r>
    </w:p>
    <w:p w14:paraId="3CBCE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第一部分</w:t>
      </w:r>
      <w:r>
        <w:rPr>
          <w:rFonts w:hint="eastAsia" w:cs="仿宋"/>
          <w:b/>
          <w:bCs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《2024</w:t>
      </w: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清单</w:t>
      </w:r>
      <w:r>
        <w:rPr>
          <w:rFonts w:hint="eastAsia" w:cs="仿宋"/>
          <w:b/>
          <w:kern w:val="2"/>
          <w:sz w:val="28"/>
          <w:szCs w:val="28"/>
          <w:highlight w:val="none"/>
          <w:lang w:val="en-US" w:eastAsia="zh-CN" w:bidi="ar-SA"/>
        </w:rPr>
        <w:t>计价</w:t>
      </w:r>
      <w:r>
        <w:rPr>
          <w:rFonts w:hint="eastAsia" w:ascii="仿宋" w:hAnsi="仿宋" w:eastAsia="仿宋" w:cs="仿宋"/>
          <w:b/>
          <w:kern w:val="2"/>
          <w:sz w:val="28"/>
          <w:szCs w:val="28"/>
          <w:highlight w:val="none"/>
          <w:lang w:val="en-US" w:eastAsia="zh-CN" w:bidi="ar-SA"/>
        </w:rPr>
        <w:t>标准》</w:t>
      </w:r>
      <w:r>
        <w:rPr>
          <w:rFonts w:hint="eastAsia" w:cs="仿宋"/>
          <w:b/>
          <w:kern w:val="2"/>
          <w:sz w:val="28"/>
          <w:szCs w:val="28"/>
          <w:highlight w:val="none"/>
          <w:lang w:val="en-US" w:eastAsia="zh-CN" w:bidi="ar-SA"/>
        </w:rPr>
        <w:t>内容介绍</w:t>
      </w:r>
    </w:p>
    <w:p w14:paraId="08050559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《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24清单</w:t>
      </w: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计价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标准》</w:t>
      </w: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修改的概述</w:t>
      </w:r>
    </w:p>
    <w:p w14:paraId="08962D22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cs="仿宋"/>
          <w:b w:val="0"/>
          <w:bCs w:val="0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24清单</w:t>
      </w:r>
      <w:r>
        <w:rPr>
          <w:rFonts w:hint="eastAsia" w:cs="仿宋"/>
          <w:b w:val="0"/>
          <w:bCs w:val="0"/>
          <w:color w:val="000000"/>
          <w:sz w:val="28"/>
          <w:szCs w:val="28"/>
          <w:lang w:val="en-US" w:eastAsia="zh-CN"/>
        </w:rPr>
        <w:t>计价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标准》</w:t>
      </w:r>
      <w:r>
        <w:rPr>
          <w:rFonts w:hint="eastAsia" w:cs="仿宋"/>
          <w:b w:val="0"/>
          <w:bCs w:val="0"/>
          <w:color w:val="000000"/>
          <w:sz w:val="28"/>
          <w:szCs w:val="28"/>
          <w:lang w:val="en-US" w:eastAsia="zh-CN"/>
        </w:rPr>
        <w:t>出台的形势、背景、原则及过程</w:t>
      </w:r>
    </w:p>
    <w:p w14:paraId="212018F6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 w:val="0"/>
          <w:bCs w:val="0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24清单</w:t>
      </w:r>
      <w:r>
        <w:rPr>
          <w:rFonts w:hint="eastAsia" w:cs="仿宋"/>
          <w:b w:val="0"/>
          <w:bCs w:val="0"/>
          <w:color w:val="000000"/>
          <w:sz w:val="28"/>
          <w:szCs w:val="28"/>
          <w:lang w:val="en-US" w:eastAsia="zh-CN"/>
        </w:rPr>
        <w:t>计价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标准》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修编</w:t>
      </w:r>
      <w:r>
        <w:rPr>
          <w:rFonts w:hint="eastAsia" w:cs="仿宋"/>
          <w:b w:val="0"/>
          <w:bCs w:val="0"/>
          <w:color w:val="000000"/>
          <w:sz w:val="28"/>
          <w:szCs w:val="28"/>
          <w:lang w:val="en-US" w:eastAsia="zh-CN"/>
        </w:rPr>
        <w:t>依据、总体变革、重大变化及意义</w:t>
      </w:r>
    </w:p>
    <w:p w14:paraId="646FB4F7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default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 w:val="0"/>
          <w:bCs w:val="0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24清单</w:t>
      </w:r>
      <w:r>
        <w:rPr>
          <w:rFonts w:hint="eastAsia" w:cs="仿宋"/>
          <w:b w:val="0"/>
          <w:bCs w:val="0"/>
          <w:color w:val="000000"/>
          <w:sz w:val="28"/>
          <w:szCs w:val="28"/>
          <w:lang w:val="en-US" w:eastAsia="zh-CN"/>
        </w:rPr>
        <w:t>计价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标准》</w:t>
      </w:r>
      <w:r>
        <w:rPr>
          <w:rFonts w:hint="eastAsia" w:cs="仿宋"/>
          <w:b w:val="0"/>
          <w:bCs w:val="0"/>
          <w:color w:val="000000"/>
          <w:sz w:val="28"/>
          <w:szCs w:val="28"/>
          <w:lang w:val="en-US" w:eastAsia="zh-CN"/>
        </w:rPr>
        <w:t>的法律定位和法律约束力</w:t>
      </w:r>
    </w:p>
    <w:p w14:paraId="1115F002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《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24清单</w:t>
      </w: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计价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标准》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与《2013清单规范》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关键性区别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与变化</w:t>
      </w:r>
    </w:p>
    <w:p w14:paraId="19A0B545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1.修订不同合同形式的风险范围及承担规则</w:t>
      </w:r>
    </w:p>
    <w:p w14:paraId="03420C95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2.增加投标报价澄清或说明</w:t>
      </w:r>
    </w:p>
    <w:p w14:paraId="19FF06B4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3.修订施工措施项目计价规则</w:t>
      </w:r>
    </w:p>
    <w:p w14:paraId="52C6028D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4.删除合同价款约定章节，增加合同选择与要求章节</w:t>
      </w:r>
    </w:p>
    <w:p w14:paraId="188140FE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5.修订合同工程计量与价款调整规则</w:t>
      </w:r>
    </w:p>
    <w:p w14:paraId="4D927A79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6.删除工程签证条款，增加新增工程计量与计价规则</w:t>
      </w:r>
    </w:p>
    <w:p w14:paraId="367FF86B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7.增加施工过程结算计价与支付规则</w:t>
      </w:r>
    </w:p>
    <w:p w14:paraId="5DD701CB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8.修订合同价款争议解决的办法</w:t>
      </w:r>
    </w:p>
    <w:p w14:paraId="24563C51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9.删除工程造价鉴定章节</w:t>
      </w:r>
    </w:p>
    <w:p w14:paraId="4E7CA8FF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《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4清单</w:t>
      </w: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计价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标准》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深度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解读</w:t>
      </w:r>
    </w:p>
    <w:p w14:paraId="1AC61CF6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（一）总则、术语、基本规定解读</w:t>
      </w:r>
    </w:p>
    <w:p w14:paraId="2474DF60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（二）招投标环节相关规定解读</w:t>
      </w:r>
    </w:p>
    <w:p w14:paraId="756440C6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1.工程量清单编制规则</w:t>
      </w:r>
    </w:p>
    <w:p w14:paraId="56B9D33F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（1）单价合同工程量清单编制规则</w:t>
      </w:r>
    </w:p>
    <w:p w14:paraId="2C639AD3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（2）总价合同工程量清单编制规则</w:t>
      </w:r>
    </w:p>
    <w:p w14:paraId="6D0714E6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2.最高投标限价编制规则</w:t>
      </w:r>
    </w:p>
    <w:p w14:paraId="2F99E568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（1）单价合同最高投标限价编制规则</w:t>
      </w:r>
    </w:p>
    <w:p w14:paraId="237C6F24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（2）总价合同最高投标限价编制规则</w:t>
      </w:r>
    </w:p>
    <w:p w14:paraId="154848CE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3.投标报价编制规则</w:t>
      </w:r>
    </w:p>
    <w:p w14:paraId="6466EDD7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（1）单价合同投标报价编制规则</w:t>
      </w:r>
    </w:p>
    <w:p w14:paraId="2A32864B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（2）总价合同投标报价编制规则</w:t>
      </w:r>
    </w:p>
    <w:p w14:paraId="39EE298F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4.投标报价澄清或说明</w:t>
      </w:r>
    </w:p>
    <w:p w14:paraId="5AA642CD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（三）项目实施环节相关规定解读</w:t>
      </w:r>
    </w:p>
    <w:p w14:paraId="3E1E4774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合同工程计量</w:t>
      </w:r>
    </w:p>
    <w:p w14:paraId="5547056F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（1）分部分项工程计量</w:t>
      </w:r>
    </w:p>
    <w:p w14:paraId="0B3E6658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（2）措施项目计量</w:t>
      </w:r>
    </w:p>
    <w:p w14:paraId="20CC9F1E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（3）工程变更计量</w:t>
      </w:r>
    </w:p>
    <w:p w14:paraId="7A079774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（4）计日工计量</w:t>
      </w:r>
    </w:p>
    <w:p w14:paraId="4C6C1957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（5）返工工程计量</w:t>
      </w:r>
    </w:p>
    <w:p w14:paraId="37473E65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（6）新增工程计量</w:t>
      </w:r>
    </w:p>
    <w:p w14:paraId="41682077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合同价款其中支付</w:t>
      </w:r>
    </w:p>
    <w:p w14:paraId="777A1FED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（1）预付款支付</w:t>
      </w:r>
    </w:p>
    <w:p w14:paraId="4023E9E4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（2）安全生产措施费支付</w:t>
      </w:r>
    </w:p>
    <w:p w14:paraId="3594D9F9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（3）进度款支付</w:t>
      </w:r>
    </w:p>
    <w:p w14:paraId="25FDA6B9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合同价款调整</w:t>
      </w:r>
    </w:p>
    <w:p w14:paraId="138C510A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（1）工程量清单缺陷</w:t>
      </w:r>
    </w:p>
    <w:p w14:paraId="57D5A395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（2）暂列金额</w:t>
      </w:r>
    </w:p>
    <w:p w14:paraId="1DF34F08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（3）暂估价</w:t>
      </w:r>
    </w:p>
    <w:p w14:paraId="6AEB3677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（4）总承包服务费</w:t>
      </w:r>
    </w:p>
    <w:p w14:paraId="51DCCB13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（5）计日工</w:t>
      </w:r>
    </w:p>
    <w:p w14:paraId="0FDED7C8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（6）物价变换</w:t>
      </w:r>
    </w:p>
    <w:p w14:paraId="0DF8EFC6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（7）法律法规及政策性调整</w:t>
      </w:r>
    </w:p>
    <w:p w14:paraId="285D9032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（8）工程变更</w:t>
      </w:r>
    </w:p>
    <w:p w14:paraId="2BBED38B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（9）新增工程</w:t>
      </w:r>
    </w:p>
    <w:p w14:paraId="1FE6E952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（10）工程索赔</w:t>
      </w:r>
    </w:p>
    <w:p w14:paraId="3EDDA4B3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6" w:firstLineChars="141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（四）项目竣工结算环节相关规定解读</w:t>
      </w:r>
    </w:p>
    <w:p w14:paraId="088D6663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工程结算与支付</w:t>
      </w:r>
    </w:p>
    <w:p w14:paraId="319F870F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（1）施工过程结算</w:t>
      </w:r>
    </w:p>
    <w:p w14:paraId="362D28B3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（2）竣工结算</w:t>
      </w:r>
    </w:p>
    <w:p w14:paraId="4FC759E6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（3）合同解除结算</w:t>
      </w:r>
    </w:p>
    <w:p w14:paraId="639BE29A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4" w:firstLineChars="141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（4）工程保修与结清</w:t>
      </w:r>
    </w:p>
    <w:p w14:paraId="1B55849B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合同价款争议的解决</w:t>
      </w:r>
    </w:p>
    <w:p w14:paraId="5FB99374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（1）争议评审</w:t>
      </w:r>
    </w:p>
    <w:p w14:paraId="6B385A05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（2）调解</w:t>
      </w:r>
    </w:p>
    <w:p w14:paraId="0D90CDA6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（3）仲裁或诉讼</w:t>
      </w:r>
    </w:p>
    <w:p w14:paraId="7139322A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工程计价成果与档案管理</w:t>
      </w:r>
    </w:p>
    <w:p w14:paraId="308D4BDA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（1）工程计价表格</w:t>
      </w:r>
    </w:p>
    <w:p w14:paraId="4C2B7328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（2）工程计价资料</w:t>
      </w:r>
    </w:p>
    <w:p w14:paraId="1E28DE87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（3）工程计价档案</w:t>
      </w:r>
    </w:p>
    <w:p w14:paraId="718EB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第二部分 项目结算的全过程筹划</w:t>
      </w:r>
    </w:p>
    <w:p w14:paraId="4F690FB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hAnsi="仿宋" w:cs="仿宋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全过程结算筹划应用策略</w:t>
      </w:r>
    </w:p>
    <w:p w14:paraId="16C270E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4" w:firstLineChars="141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1.投标阶段筹划</w:t>
      </w:r>
    </w:p>
    <w:p w14:paraId="3F3C950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4" w:firstLineChars="141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（1）以结算为导向的投标策略（结合成功、失败案例）</w:t>
      </w:r>
    </w:p>
    <w:p w14:paraId="0B21F83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4" w:firstLineChars="141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（2）快速做不平衡报价的方法</w:t>
      </w:r>
    </w:p>
    <w:p w14:paraId="434B130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4" w:firstLineChars="141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（3）提出澄清的策略方法</w:t>
      </w:r>
    </w:p>
    <w:p w14:paraId="26FE793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4" w:firstLineChars="141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（4）化解无效风险为有限风险的方法</w:t>
      </w:r>
    </w:p>
    <w:p w14:paraId="1B9E7BC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4" w:firstLineChars="141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（5）利用概率分析法提高中标率的方法</w:t>
      </w:r>
    </w:p>
    <w:p w14:paraId="6DC5E74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（6）调标的策略与方法</w:t>
      </w:r>
    </w:p>
    <w:p w14:paraId="624B7E2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（7）清标的方法及应用</w:t>
      </w:r>
    </w:p>
    <w:p w14:paraId="1C32668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2.实施阶段筹划</w:t>
      </w:r>
    </w:p>
    <w:p w14:paraId="459F568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（1）合同文件解读：</w:t>
      </w:r>
    </w:p>
    <w:p w14:paraId="1B31489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1）组成及优先顺序、基准日及法律效力位阶关系</w:t>
      </w:r>
    </w:p>
    <w:p w14:paraId="2C679DF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2）实质性条款履约、合同交底要点</w:t>
      </w:r>
    </w:p>
    <w:p w14:paraId="73B11EA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3）合同创效点分析</w:t>
      </w:r>
    </w:p>
    <w:p w14:paraId="70E065D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发包人的违约机会点</w:t>
      </w:r>
    </w:p>
    <w:p w14:paraId="3AABEE8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发包人的履职机会点</w:t>
      </w:r>
    </w:p>
    <w:p w14:paraId="023EF2E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设计变更签证机会点</w:t>
      </w:r>
    </w:p>
    <w:p w14:paraId="15E1DFB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索赔机会点</w:t>
      </w:r>
    </w:p>
    <w:p w14:paraId="5B32003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施工条件与施工方法的变化机会点</w:t>
      </w:r>
    </w:p>
    <w:p w14:paraId="769AE7D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基准日后的法律、规范变化机会点</w:t>
      </w:r>
    </w:p>
    <w:p w14:paraId="66414A8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不可抗力</w:t>
      </w:r>
    </w:p>
    <w:p w14:paraId="7AB0010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不可预见事件</w:t>
      </w:r>
    </w:p>
    <w:p w14:paraId="3D21208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甲指分包、甲方平行发包违约</w:t>
      </w:r>
    </w:p>
    <w:p w14:paraId="52A9360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合同文件的缺陷机会点</w:t>
      </w:r>
    </w:p>
    <w:p w14:paraId="2AEE026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已标价工程量清单机会点</w:t>
      </w:r>
    </w:p>
    <w:p w14:paraId="3FBF9FC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图纸会审机会点</w:t>
      </w:r>
    </w:p>
    <w:p w14:paraId="2268CC3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（2）落实调整结算策略：编写结算筹划方案；共赢的策略（减钱还赚钱案例、造价不增利润增（结合案例））；合同价款调整超概风险的管控</w:t>
      </w:r>
    </w:p>
    <w:p w14:paraId="7B966959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收集整理结算资料：收集结算资料的要点、分析遇到建设单位不进行签认情况的处理办法</w:t>
      </w:r>
    </w:p>
    <w:p w14:paraId="78395E4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3.结算阶段筹划</w:t>
      </w:r>
    </w:p>
    <w:p w14:paraId="32079AD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（1）结算资料的报审</w:t>
      </w:r>
    </w:p>
    <w:p w14:paraId="25F91B4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（2）争议问题的解决方法</w:t>
      </w:r>
    </w:p>
    <w:p w14:paraId="0B6B616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（3）明确底线：成本底线、政策底线</w:t>
      </w:r>
    </w:p>
    <w:p w14:paraId="436C70B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4" w:firstLineChars="14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hAnsi="仿宋" w:cs="仿宋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单价合同结算要点</w:t>
      </w:r>
    </w:p>
    <w:p w14:paraId="47E2392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1.重计量与过程结算（主要解决工程量清单缺陷的问题）</w:t>
      </w:r>
    </w:p>
    <w:p w14:paraId="538A620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（1）清单漏项</w:t>
      </w:r>
    </w:p>
    <w:p w14:paraId="2434A07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1）查找清单缺项</w:t>
      </w:r>
    </w:p>
    <w:p w14:paraId="50501F5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2）清单缺项组价（结合案例）</w:t>
      </w:r>
    </w:p>
    <w:p w14:paraId="34B54E5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（2）项目特征不符</w:t>
      </w:r>
    </w:p>
    <w:p w14:paraId="028C60D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【案例】项目特征不符如何调整综合单价</w:t>
      </w:r>
    </w:p>
    <w:p w14:paraId="578DF8A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（3）工程量偏差</w:t>
      </w:r>
    </w:p>
    <w:p w14:paraId="77BA9ED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【案例】工程量偏差调整综合单价的方法</w:t>
      </w:r>
    </w:p>
    <w:p w14:paraId="01F85BA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（4）过程结算注意的问题</w:t>
      </w:r>
    </w:p>
    <w:p w14:paraId="7FB462B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2.物价变化及暂估价调整</w:t>
      </w:r>
    </w:p>
    <w:p w14:paraId="74E908C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（1）价差调整方法（结合案例）</w:t>
      </w:r>
    </w:p>
    <w:p w14:paraId="2B34298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（2）物价上涨的应对（结合案例）</w:t>
      </w:r>
    </w:p>
    <w:p w14:paraId="38A066F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3.工程变更、签证</w:t>
      </w:r>
    </w:p>
    <w:p w14:paraId="5E92C21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（1）签证变更的定义</w:t>
      </w:r>
    </w:p>
    <w:p w14:paraId="5D5C9EC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（2）签证变更的编写方式（结合案例讲述编写一份签证变更）</w:t>
      </w:r>
    </w:p>
    <w:p w14:paraId="6BBF17E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（3）签证变更的费用列项（结合案例总结出签证变更列项的方法）</w:t>
      </w:r>
    </w:p>
    <w:p w14:paraId="18EC715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（4）可进行变更签证的情形</w:t>
      </w:r>
    </w:p>
    <w:p w14:paraId="50DF1BF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【案例】变更签证案例</w:t>
      </w:r>
    </w:p>
    <w:p w14:paraId="49EE573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4.总承包服务费</w:t>
      </w:r>
    </w:p>
    <w:p w14:paraId="20A77CD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（1）总包服务费的计取范围</w:t>
      </w:r>
    </w:p>
    <w:p w14:paraId="7DB30C6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（2）总包服务费计算方式</w:t>
      </w:r>
    </w:p>
    <w:p w14:paraId="58414EA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5.法律法规及政策性变化</w:t>
      </w:r>
    </w:p>
    <w:p w14:paraId="081EEAD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（1）法律法规及政策性变化的调整范围</w:t>
      </w:r>
    </w:p>
    <w:p w14:paraId="5703021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（2）法律法规及政策性变化的调整方法</w:t>
      </w:r>
    </w:p>
    <w:p w14:paraId="3387362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6.新增工程</w:t>
      </w:r>
    </w:p>
    <w:p w14:paraId="18C3E08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（1）新增工程的判定方法</w:t>
      </w:r>
    </w:p>
    <w:p w14:paraId="590C901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（2）新增工程的结算方式</w:t>
      </w:r>
    </w:p>
    <w:p w14:paraId="4DE412E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7.暂估价</w:t>
      </w:r>
    </w:p>
    <w:p w14:paraId="06244FC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（1）暂估价的确定方式选择</w:t>
      </w:r>
    </w:p>
    <w:p w14:paraId="1223014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（2）暂估价认价单签订注意的问题（结合案例）</w:t>
      </w:r>
    </w:p>
    <w:p w14:paraId="4270D7C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（3）暂估价的结算的调整方式</w:t>
      </w:r>
    </w:p>
    <w:p w14:paraId="0C3EB9B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8.工程索赔</w:t>
      </w:r>
    </w:p>
    <w:p w14:paraId="3FF0732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（1）索赔概念</w:t>
      </w:r>
    </w:p>
    <w:p w14:paraId="3CDC659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（2）合同中可以索赔的事件梳理</w:t>
      </w:r>
    </w:p>
    <w:p w14:paraId="37834E0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【案例】如何寻找索赔点？</w:t>
      </w:r>
    </w:p>
    <w:p w14:paraId="7C95FC1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（3）如何计算索赔费用及利润</w:t>
      </w:r>
    </w:p>
    <w:p w14:paraId="40278A7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【案例】成功索赔案例</w:t>
      </w:r>
    </w:p>
    <w:p w14:paraId="40EA62A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（4）工期索赔</w:t>
      </w:r>
    </w:p>
    <w:p w14:paraId="75759EA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工期延误责任的认定（发包人原因、承包人原因、不可归责原因）</w:t>
      </w:r>
    </w:p>
    <w:p w14:paraId="4A8C83C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工期延误损失的计算</w:t>
      </w:r>
    </w:p>
    <w:p w14:paraId="6C6A7B3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工期延误的时间计算</w:t>
      </w:r>
    </w:p>
    <w:p w14:paraId="2AABF42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开工时间、竣工时间争议的解决办法</w:t>
      </w:r>
    </w:p>
    <w:p w14:paraId="64F3578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（结合案例及判例）</w:t>
      </w:r>
    </w:p>
    <w:p w14:paraId="1819627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（5）异常恶劣气候条件索赔</w:t>
      </w:r>
    </w:p>
    <w:p w14:paraId="3D48066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（6）不可抗力索赔</w:t>
      </w:r>
    </w:p>
    <w:p w14:paraId="0773809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（7）索赔失权的风险</w:t>
      </w:r>
    </w:p>
    <w:p w14:paraId="47A9493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【案例】索赔逾期失权判例分析</w:t>
      </w:r>
    </w:p>
    <w:p w14:paraId="281FB71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（8）索赔关键点总结</w:t>
      </w:r>
    </w:p>
    <w:p w14:paraId="536681A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索赔事件成立；程序及时效性；索赔费用计算；证据收集整理</w:t>
      </w:r>
    </w:p>
    <w:p w14:paraId="1C8FC7C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4" w:firstLineChars="14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hAnsi="仿宋" w:cs="仿宋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总价合同的结算要点</w:t>
      </w:r>
    </w:p>
    <w:p w14:paraId="41F02AC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1.总价合同的概念</w:t>
      </w:r>
    </w:p>
    <w:p w14:paraId="1207491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2.总价合同的类型</w:t>
      </w:r>
    </w:p>
    <w:p w14:paraId="204CA55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3.总价合同结算可调整项</w:t>
      </w:r>
    </w:p>
    <w:p w14:paraId="3B36430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（1）变更签证</w:t>
      </w:r>
    </w:p>
    <w:p w14:paraId="526C643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（2）价差调整的方法</w:t>
      </w:r>
    </w:p>
    <w:p w14:paraId="1DF81A4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（3）索赔</w:t>
      </w:r>
    </w:p>
    <w:p w14:paraId="0B2F0E2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【案例】案例分析</w:t>
      </w:r>
    </w:p>
    <w:p w14:paraId="51D2714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4" w:firstLineChars="14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hAnsi="仿宋" w:cs="仿宋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商务谈判技巧分析</w:t>
      </w:r>
    </w:p>
    <w:p w14:paraId="4AE6787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1.谈判的概念</w:t>
      </w:r>
    </w:p>
    <w:p w14:paraId="7FD59A0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2.谈判的技巧</w:t>
      </w:r>
    </w:p>
    <w:p w14:paraId="61C13C6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3.谈判目标设定</w:t>
      </w:r>
    </w:p>
    <w:p w14:paraId="43C453F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4.合同谈判案例</w:t>
      </w:r>
    </w:p>
    <w:p w14:paraId="348CEA4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5.结算谈判案例</w:t>
      </w:r>
    </w:p>
    <w:p w14:paraId="04EBF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394" w:firstLineChars="14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项目后评价</w:t>
      </w:r>
    </w:p>
    <w:p w14:paraId="26D7C9CF">
      <w:pPr>
        <w:pStyle w:val="9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1.成功经验和失败教训总结</w:t>
      </w:r>
    </w:p>
    <w:p w14:paraId="6D1E1001">
      <w:pPr>
        <w:pStyle w:val="9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2.可推广管理经验总结</w:t>
      </w:r>
    </w:p>
    <w:p w14:paraId="5749CB13">
      <w:pPr>
        <w:pStyle w:val="9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3.增收节支的案例</w:t>
      </w:r>
    </w:p>
    <w:p w14:paraId="65ED6D0D">
      <w:pPr>
        <w:pStyle w:val="9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20" w:lineRule="exact"/>
        <w:ind w:left="0" w:leftChars="0" w:firstLine="392" w:firstLineChars="14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4.数据分析</w:t>
      </w:r>
    </w:p>
    <w:p w14:paraId="5375440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336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  <w:r>
        <w:rPr>
          <w:rFonts w:hint="eastAsia" w:cs="仿宋"/>
          <w:b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培训师资</w:t>
      </w: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：</w:t>
      </w:r>
    </w:p>
    <w:p w14:paraId="3FC0137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336"/>
        <w:rPr>
          <w:rFonts w:hint="eastAsia" w:cs="仿宋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仿宋"/>
          <w:b w:val="0"/>
          <w:bCs/>
          <w:kern w:val="2"/>
          <w:sz w:val="28"/>
          <w:szCs w:val="28"/>
          <w:lang w:val="en-US" w:eastAsia="zh-CN" w:bidi="ar-SA"/>
        </w:rPr>
        <w:t xml:space="preserve"> 拟邀请住建部、行业协会、知名律所等参与新标准编写及审查的有关专家现场授课，结合经典案例和实例分析，并进行现场答疑和互动交流。</w:t>
      </w:r>
    </w:p>
    <w:p w14:paraId="2A6A1B9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336"/>
        <w:rPr>
          <w:rFonts w:hint="eastAsia" w:cs="仿宋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仿宋"/>
          <w:b/>
          <w:bCs w:val="0"/>
          <w:kern w:val="2"/>
          <w:sz w:val="28"/>
          <w:szCs w:val="28"/>
          <w:lang w:val="en-US" w:eastAsia="zh-CN" w:bidi="ar-SA"/>
        </w:rPr>
        <w:t>四、培训对象</w:t>
      </w:r>
    </w:p>
    <w:p w14:paraId="5431BC0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336"/>
        <w:rPr>
          <w:rFonts w:hint="eastAsia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仿宋"/>
          <w:b w:val="0"/>
          <w:bCs/>
          <w:kern w:val="2"/>
          <w:sz w:val="28"/>
          <w:szCs w:val="28"/>
          <w:lang w:val="en-US" w:eastAsia="zh-CN" w:bidi="ar-SA"/>
        </w:rPr>
        <w:t>建设行政主管部门相关负责人；工程建设企业（工程承包、建筑施工、勘察设计、房地产开发、工程项目管理、工程监理、工程咨询、工程造价、招标代理等）总经理、总造价顾问、法务总监、总工程师，经营管理、项目管理、市场开发、商务谈判、招标投标、合同管理、成本管理、法律事务等中高级管理人员以及业务相关的直线经理人等；律师事务所律师；高等院校、科研机构有关人员等。</w:t>
      </w:r>
    </w:p>
    <w:p w14:paraId="02B480BA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336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时间及地点</w:t>
      </w:r>
    </w:p>
    <w:p w14:paraId="2421C3D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336" w:leftChars="0" w:right="0" w:rightChars="0"/>
        <w:rPr>
          <w:rFonts w:hint="eastAsia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202</w:t>
      </w:r>
      <w:r>
        <w:rPr>
          <w:rFonts w:hint="eastAsia" w:hAnsi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年</w:t>
      </w:r>
      <w:r>
        <w:rPr>
          <w:rFonts w:hint="eastAsia" w:cs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月</w:t>
      </w:r>
      <w:r>
        <w:rPr>
          <w:rFonts w:hint="eastAsia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日-</w:t>
      </w:r>
      <w:r>
        <w:rPr>
          <w:rFonts w:hint="eastAsia" w:cs="仿宋"/>
          <w:sz w:val="28"/>
          <w:szCs w:val="28"/>
          <w:lang w:val="en-US" w:eastAsia="zh-CN"/>
        </w:rPr>
        <w:t>03月02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日（</w:t>
      </w:r>
      <w:r>
        <w:rPr>
          <w:rFonts w:hint="eastAsia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日为报到日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）</w:t>
      </w:r>
      <w:r>
        <w:rPr>
          <w:rFonts w:hint="eastAsia" w:cs="仿宋"/>
          <w:sz w:val="28"/>
          <w:szCs w:val="28"/>
          <w:lang w:val="en-US" w:eastAsia="zh-CN"/>
        </w:rPr>
        <w:t>杭州</w:t>
      </w:r>
      <w:r>
        <w:rPr>
          <w:rFonts w:hint="eastAsia" w:hAnsi="仿宋" w:cs="仿宋"/>
          <w:sz w:val="28"/>
          <w:szCs w:val="28"/>
          <w:lang w:val="en-US" w:eastAsia="zh-CN"/>
        </w:rPr>
        <w:t>市</w:t>
      </w:r>
    </w:p>
    <w:p w14:paraId="66BC17B6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336" w:leftChars="0" w:right="0" w:rightChars="0"/>
        <w:rPr>
          <w:rFonts w:hint="eastAsia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202</w:t>
      </w:r>
      <w:r>
        <w:rPr>
          <w:rFonts w:hint="eastAsia" w:hAnsi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年</w:t>
      </w:r>
      <w:r>
        <w:rPr>
          <w:rFonts w:hint="eastAsia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月</w:t>
      </w:r>
      <w:r>
        <w:rPr>
          <w:rFonts w:hint="eastAsia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日-</w:t>
      </w:r>
      <w:r>
        <w:rPr>
          <w:rFonts w:hint="eastAsia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日（</w:t>
      </w:r>
      <w:r>
        <w:rPr>
          <w:rFonts w:hint="eastAsia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日为报到日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）</w:t>
      </w:r>
      <w:r>
        <w:rPr>
          <w:rFonts w:hint="eastAsia" w:cs="仿宋"/>
          <w:sz w:val="28"/>
          <w:szCs w:val="28"/>
          <w:lang w:val="en-US" w:eastAsia="zh-CN"/>
        </w:rPr>
        <w:t>重庆</w:t>
      </w:r>
      <w:r>
        <w:rPr>
          <w:rFonts w:hint="eastAsia" w:hAnsi="仿宋" w:cs="仿宋"/>
          <w:sz w:val="28"/>
          <w:szCs w:val="28"/>
          <w:lang w:val="en-US" w:eastAsia="zh-CN"/>
        </w:rPr>
        <w:t>市</w:t>
      </w:r>
    </w:p>
    <w:p w14:paraId="5EEDBDB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336" w:leftChars="0" w:right="0" w:rightChars="0"/>
        <w:rPr>
          <w:rFonts w:hint="default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202</w:t>
      </w:r>
      <w:r>
        <w:rPr>
          <w:rFonts w:hint="eastAsia" w:hAnsi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年</w:t>
      </w:r>
      <w:r>
        <w:rPr>
          <w:rFonts w:hint="eastAsia" w:cs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月</w:t>
      </w:r>
      <w:r>
        <w:rPr>
          <w:rFonts w:hint="eastAsia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日-</w:t>
      </w:r>
      <w:r>
        <w:rPr>
          <w:rFonts w:hint="eastAsia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日（</w:t>
      </w:r>
      <w:r>
        <w:rPr>
          <w:rFonts w:hint="eastAsia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日为报到日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）</w:t>
      </w:r>
      <w:r>
        <w:rPr>
          <w:rFonts w:hint="eastAsia" w:cs="仿宋"/>
          <w:sz w:val="28"/>
          <w:szCs w:val="28"/>
          <w:lang w:val="en-US" w:eastAsia="zh-CN"/>
        </w:rPr>
        <w:t>南京市</w:t>
      </w:r>
    </w:p>
    <w:p w14:paraId="66661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396" w:firstLineChars="141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lang w:val="en-US" w:eastAsia="zh-CN" w:bidi="ar-SA"/>
        </w:rPr>
        <w:t>培训费用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ab/>
      </w:r>
    </w:p>
    <w:p w14:paraId="5C618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培训费：</w:t>
      </w:r>
      <w:r>
        <w:rPr>
          <w:rFonts w:hint="eastAsia" w:cs="仿宋"/>
          <w:bCs/>
          <w:color w:val="auto"/>
          <w:kern w:val="2"/>
          <w:sz w:val="28"/>
          <w:szCs w:val="28"/>
          <w:lang w:val="en-US" w:eastAsia="zh-CN" w:bidi="ar-SA"/>
        </w:rPr>
        <w:t>3800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元/人（费用含会务费、资料费、午餐费）</w:t>
      </w:r>
    </w:p>
    <w:p w14:paraId="1602736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培训期满：</w:t>
      </w:r>
      <w:r>
        <w:rPr>
          <w:rFonts w:hint="eastAsia" w:cs="仿宋"/>
          <w:bCs/>
          <w:color w:val="auto"/>
          <w:kern w:val="2"/>
          <w:sz w:val="28"/>
          <w:szCs w:val="28"/>
          <w:lang w:val="en-US" w:eastAsia="zh-CN" w:bidi="ar-SA"/>
        </w:rPr>
        <w:t>由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中国投资协会培训中心颁发结业证书。</w:t>
      </w:r>
    </w:p>
    <w:p w14:paraId="7B18372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firstLine="394" w:firstLineChars="140"/>
        <w:textAlignment w:val="auto"/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hAnsi="仿宋" w:cs="仿宋"/>
          <w:b/>
          <w:bCs w:val="0"/>
          <w:color w:val="auto"/>
          <w:kern w:val="2"/>
          <w:sz w:val="28"/>
          <w:szCs w:val="28"/>
          <w:lang w:val="en-US" w:eastAsia="zh-CN" w:bidi="ar-SA"/>
        </w:rPr>
        <w:t>七、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lang w:val="en-US" w:eastAsia="zh-CN" w:bidi="ar-SA"/>
        </w:rPr>
        <w:t>报名办法及联系方式</w:t>
      </w:r>
    </w:p>
    <w:p w14:paraId="39D073A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请参加培训班同志认真填写报名回执表，通过传真或电子邮件发至会务组。</w:t>
      </w:r>
    </w:p>
    <w:p w14:paraId="1C64C78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firstLine="392" w:firstLineChars="140"/>
        <w:textAlignment w:val="auto"/>
        <w:rPr>
          <w:rFonts w:hint="default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permStart w:id="0" w:edGrp="everyone"/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联 系 人：</w:t>
      </w:r>
      <w:r>
        <w:rPr>
          <w:rFonts w:hint="eastAsia" w:hAnsi="仿宋" w:cs="仿宋"/>
          <w:bCs/>
          <w:color w:val="auto"/>
          <w:kern w:val="2"/>
          <w:sz w:val="28"/>
          <w:szCs w:val="28"/>
          <w:lang w:val="en-US" w:eastAsia="zh-CN" w:bidi="ar-SA"/>
        </w:rPr>
        <w:t>聂红军</w:t>
      </w:r>
    </w:p>
    <w:p w14:paraId="29F5BC4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firstLine="392" w:firstLineChars="140"/>
        <w:textAlignment w:val="auto"/>
        <w:rPr>
          <w:rFonts w:hint="default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联系电话：</w:t>
      </w:r>
      <w:r>
        <w:rPr>
          <w:rFonts w:hint="eastAsia" w:hAnsi="仿宋" w:cs="仿宋"/>
          <w:bCs/>
          <w:color w:val="auto"/>
          <w:kern w:val="2"/>
          <w:sz w:val="28"/>
          <w:szCs w:val="28"/>
          <w:lang w:val="en-US" w:eastAsia="zh-CN" w:bidi="ar-SA"/>
        </w:rPr>
        <w:t>18211071700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（微信）</w:t>
      </w:r>
      <w:r>
        <w:rPr>
          <w:rFonts w:hint="eastAsia" w:hAnsi="仿宋" w:cs="仿宋"/>
          <w:bCs/>
          <w:color w:val="auto"/>
          <w:kern w:val="2"/>
          <w:sz w:val="28"/>
          <w:szCs w:val="28"/>
          <w:lang w:val="en-US" w:eastAsia="zh-CN" w:bidi="ar-SA"/>
        </w:rPr>
        <w:t>13141289128</w:t>
      </w:r>
    </w:p>
    <w:p w14:paraId="233AE50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firstLine="392" w:firstLineChars="140"/>
        <w:textAlignment w:val="auto"/>
        <w:rPr>
          <w:rFonts w:hint="default" w:ascii="仿宋" w:hAnsi="仿宋" w:eastAsia="仿宋" w:cs="仿宋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邮    箱：</w:t>
      </w:r>
      <w:r>
        <w:rPr>
          <w:rFonts w:hint="eastAsia" w:hAnsi="仿宋" w:cs="仿宋"/>
          <w:bCs/>
          <w:color w:val="auto"/>
          <w:kern w:val="2"/>
          <w:sz w:val="28"/>
          <w:szCs w:val="28"/>
          <w:lang w:val="en-US" w:eastAsia="zh-CN" w:bidi="ar-SA"/>
        </w:rPr>
        <w:t>zqgphwz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@</w:t>
      </w:r>
      <w:r>
        <w:rPr>
          <w:rFonts w:hint="eastAsia" w:hAnsi="仿宋" w:cs="仿宋"/>
          <w:bCs/>
          <w:color w:val="auto"/>
          <w:kern w:val="2"/>
          <w:sz w:val="28"/>
          <w:szCs w:val="28"/>
          <w:lang w:val="en-US" w:eastAsia="zh-CN" w:bidi="ar-SA"/>
        </w:rPr>
        <w:t>126.com</w:t>
      </w:r>
    </w:p>
    <w:permEnd w:id="0"/>
    <w:p w14:paraId="17C05FE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培训中心监督电话：010-63361773     许桂荣</w:t>
      </w:r>
    </w:p>
    <w:p w14:paraId="4A5F326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通讯地址：北京市复兴路2号院A座</w:t>
      </w:r>
    </w:p>
    <w:p w14:paraId="16A298F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 xml:space="preserve">邮政编码：100038    </w:t>
      </w:r>
    </w:p>
    <w:p w14:paraId="64ED5B2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firstLine="392" w:firstLineChars="14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 xml:space="preserve">附件：报名回执表 </w:t>
      </w:r>
    </w:p>
    <w:p w14:paraId="2234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hint="eastAsia" w:cs="仿宋"/>
          <w:bCs/>
          <w:sz w:val="28"/>
          <w:szCs w:val="28"/>
          <w:lang w:val="en-US" w:eastAsia="zh-CN"/>
        </w:rPr>
      </w:pPr>
    </w:p>
    <w:p w14:paraId="4ACFD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left"/>
        <w:textAlignment w:val="auto"/>
        <w:rPr>
          <w:rFonts w:hint="eastAsia" w:cs="仿宋"/>
          <w:bCs/>
          <w:sz w:val="28"/>
          <w:szCs w:val="28"/>
          <w:lang w:val="en-US" w:eastAsia="zh-CN"/>
        </w:rPr>
      </w:pPr>
    </w:p>
    <w:p w14:paraId="14272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left"/>
        <w:textAlignment w:val="auto"/>
        <w:rPr>
          <w:rFonts w:hint="eastAsia" w:cs="仿宋"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49530</wp:posOffset>
            </wp:positionV>
            <wp:extent cx="1585595" cy="1556385"/>
            <wp:effectExtent l="0" t="0" r="1460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D2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left"/>
        <w:textAlignment w:val="auto"/>
        <w:rPr>
          <w:rFonts w:hint="eastAsia" w:cs="仿宋"/>
          <w:bCs/>
          <w:sz w:val="28"/>
          <w:szCs w:val="28"/>
          <w:lang w:val="en-US" w:eastAsia="zh-CN"/>
        </w:rPr>
      </w:pPr>
    </w:p>
    <w:p w14:paraId="64DBD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600" w:firstLineChars="2000"/>
        <w:jc w:val="left"/>
        <w:textAlignment w:val="auto"/>
        <w:rPr>
          <w:rFonts w:hint="eastAsia" w:cs="仿宋"/>
          <w:bCs/>
          <w:sz w:val="28"/>
          <w:szCs w:val="28"/>
          <w:lang w:val="en-US" w:eastAsia="zh-CN"/>
        </w:rPr>
      </w:pPr>
      <w:r>
        <w:rPr>
          <w:rFonts w:hint="eastAsia" w:cs="仿宋"/>
          <w:bCs/>
          <w:sz w:val="28"/>
          <w:szCs w:val="28"/>
          <w:lang w:val="en-US" w:eastAsia="zh-CN"/>
        </w:rPr>
        <w:t>中国投资协会培训中心</w:t>
      </w:r>
    </w:p>
    <w:p w14:paraId="5B7BF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leftChars="0" w:firstLine="5829" w:firstLineChars="2082"/>
        <w:jc w:val="left"/>
        <w:textAlignment w:val="auto"/>
        <w:rPr>
          <w:rFonts w:hint="eastAsia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bCs/>
          <w:sz w:val="28"/>
          <w:szCs w:val="28"/>
          <w:lang w:val="en-US" w:eastAsia="zh-CN"/>
        </w:rPr>
        <w:t>2025年01月06日</w:t>
      </w:r>
    </w:p>
    <w:p w14:paraId="4D9E9736">
      <w:pPr>
        <w:spacing w:line="400" w:lineRule="exact"/>
        <w:rPr>
          <w:rFonts w:hint="eastAsia" w:ascii="宋体" w:hAnsi="宋体" w:eastAsia="宋体" w:cs="宋体"/>
          <w:b/>
          <w:sz w:val="30"/>
          <w:szCs w:val="30"/>
        </w:rPr>
      </w:pPr>
    </w:p>
    <w:p w14:paraId="6265D942">
      <w:pPr>
        <w:spacing w:line="400" w:lineRule="exact"/>
        <w:rPr>
          <w:rFonts w:hint="eastAsia" w:ascii="宋体" w:hAnsi="宋体" w:eastAsia="宋体" w:cs="宋体"/>
          <w:b/>
          <w:sz w:val="30"/>
          <w:szCs w:val="30"/>
        </w:rPr>
      </w:pPr>
    </w:p>
    <w:p w14:paraId="0DFFEC27">
      <w:pPr>
        <w:keepNext w:val="0"/>
        <w:keepLines w:val="0"/>
        <w:pageBreakBefore w:val="0"/>
        <w:widowControl w:val="0"/>
        <w:tabs>
          <w:tab w:val="left" w:pos="-1440"/>
        </w:tabs>
        <w:kinsoku/>
        <w:wordWrap/>
        <w:overflowPunct/>
        <w:topLinePunct w:val="0"/>
        <w:autoSpaceDE/>
        <w:autoSpaceDN/>
        <w:bidi w:val="0"/>
        <w:adjustRightInd/>
        <w:spacing w:after="159" w:afterLines="50" w:afterAutospacing="0" w:line="360" w:lineRule="exact"/>
        <w:jc w:val="center"/>
        <w:rPr>
          <w:rFonts w:ascii="仿宋" w:hAnsi="Times New Roman" w:eastAsia="仿宋" w:cs="仿宋"/>
          <w:b/>
          <w:bCs/>
          <w:kern w:val="2"/>
          <w:sz w:val="32"/>
          <w:szCs w:val="32"/>
          <w:lang w:val="en-US" w:eastAsia="zh-CN" w:bidi="ar-SA"/>
        </w:rPr>
      </w:pPr>
      <w:permStart w:id="1" w:edGrp="everyone"/>
      <w:r>
        <w:rPr>
          <w:rFonts w:hint="eastAsia" w:cs="仿宋"/>
          <w:b/>
          <w:bCs/>
          <w:sz w:val="32"/>
          <w:szCs w:val="32"/>
          <w:lang w:val="en-US" w:eastAsia="zh-CN"/>
        </w:rPr>
        <w:t>“《2024清单计价标准》深度解读及全过程精细化结算管控”落地实操专题培训班</w:t>
      </w:r>
      <w:r>
        <w:rPr>
          <w:rFonts w:hint="eastAsia" w:ascii="仿宋" w:hAnsi="Times New Roman" w:eastAsia="仿宋" w:cs="仿宋"/>
          <w:b/>
          <w:bCs/>
          <w:kern w:val="2"/>
          <w:sz w:val="32"/>
          <w:szCs w:val="32"/>
          <w:lang w:val="en-US" w:eastAsia="zh-CN" w:bidi="ar-SA"/>
        </w:rPr>
        <w:t>回执表</w:t>
      </w:r>
    </w:p>
    <w:tbl>
      <w:tblPr>
        <w:tblStyle w:val="10"/>
        <w:tblW w:w="95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645"/>
        <w:gridCol w:w="330"/>
        <w:gridCol w:w="330"/>
        <w:gridCol w:w="840"/>
        <w:gridCol w:w="1200"/>
        <w:gridCol w:w="765"/>
        <w:gridCol w:w="870"/>
        <w:gridCol w:w="540"/>
        <w:gridCol w:w="555"/>
        <w:gridCol w:w="750"/>
        <w:gridCol w:w="1395"/>
      </w:tblGrid>
      <w:tr w14:paraId="6F880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85B2">
            <w:pPr>
              <w:widowControl/>
              <w:spacing w:beforeAutospacing="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5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E89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A1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行业类别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0258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4527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61B1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D3E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0F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邮编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6E9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F23C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6D54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228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3FA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211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73F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54B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7B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460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0B25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013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电话/区号</w:t>
            </w:r>
          </w:p>
        </w:tc>
        <w:tc>
          <w:tcPr>
            <w:tcW w:w="33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734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DB9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传真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ABE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88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E-mail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05A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9148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368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代表姓名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7F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8D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7A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2F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FE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7D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3EDAA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A63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B02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156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D0E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924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FEC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CF7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C1B8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ED8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3D9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2CD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E86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548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5E1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225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AA4C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0FB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D7A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539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A9E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29A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C3A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519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0BD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BC2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BA4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B79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B85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E24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9C7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E20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0ADD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3ED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035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B03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DA7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944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BEB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7B71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DAAD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B795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D8B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A60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504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707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8EB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829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628A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2DA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发票要求</w:t>
            </w:r>
          </w:p>
        </w:tc>
        <w:tc>
          <w:tcPr>
            <w:tcW w:w="8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BB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□增值税普通发票               □增值税专用发票</w:t>
            </w:r>
          </w:p>
        </w:tc>
      </w:tr>
      <w:tr w14:paraId="5EDC7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180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   点</w:t>
            </w:r>
          </w:p>
        </w:tc>
        <w:tc>
          <w:tcPr>
            <w:tcW w:w="8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DB3F">
            <w:pPr>
              <w:widowControl/>
              <w:tabs>
                <w:tab w:val="left" w:pos="5289"/>
              </w:tabs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杭州          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重庆          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南京</w:t>
            </w:r>
          </w:p>
        </w:tc>
      </w:tr>
      <w:tr w14:paraId="5B392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C3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发票信息</w:t>
            </w:r>
          </w:p>
        </w:tc>
        <w:tc>
          <w:tcPr>
            <w:tcW w:w="757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5AE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1.开票名称：</w:t>
            </w:r>
          </w:p>
          <w:p w14:paraId="6B31B68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2.纳税人识别号：</w:t>
            </w:r>
          </w:p>
          <w:p w14:paraId="2C80129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3.地址、电话：</w:t>
            </w:r>
          </w:p>
          <w:p w14:paraId="2305B9C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4.开户行及账号：</w:t>
            </w:r>
          </w:p>
        </w:tc>
      </w:tr>
      <w:tr w14:paraId="66D8A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F3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专票请填写</w:t>
            </w:r>
          </w:p>
          <w:p w14:paraId="6C78BD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1-4全部信息</w:t>
            </w:r>
          </w:p>
          <w:p w14:paraId="4EEB6D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普票请填写 </w:t>
            </w:r>
          </w:p>
          <w:p w14:paraId="5CB5A6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1-2全部信息</w:t>
            </w:r>
          </w:p>
        </w:tc>
        <w:tc>
          <w:tcPr>
            <w:tcW w:w="7575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29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974D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E34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住宿安排</w:t>
            </w:r>
          </w:p>
        </w:tc>
        <w:tc>
          <w:tcPr>
            <w:tcW w:w="8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1B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□单间  □标间      订房数量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间； □自行安排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其他说明：</w:t>
            </w:r>
          </w:p>
        </w:tc>
      </w:tr>
      <w:tr w14:paraId="4A31E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826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费用总额</w:t>
            </w:r>
          </w:p>
        </w:tc>
        <w:tc>
          <w:tcPr>
            <w:tcW w:w="60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E3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万     仟     佰    拾     元整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B5D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D0F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*:</w:t>
            </w:r>
          </w:p>
        </w:tc>
      </w:tr>
      <w:tr w14:paraId="7C106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5B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607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95D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请将《报名回执表》回传至会务组，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会务组即发《报到通知附带汇款账号》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并在报名3日内办理培训费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会务组确认到款后即发《日程安排》，详细说明培训安排具体事项。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D0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单位印章</w:t>
            </w:r>
          </w:p>
          <w:p w14:paraId="295C05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  <w:tr w14:paraId="079BE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A06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5BFC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4C1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24EC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5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62A0C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参加本次会议您想学习哪些内容？希望与专家交流的问题？</w:t>
            </w:r>
          </w:p>
        </w:tc>
      </w:tr>
      <w:tr w14:paraId="6868A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95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3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报名负责人：聂红军 主任18211071700（微信）   </w:t>
            </w:r>
          </w:p>
          <w:p w14:paraId="56F11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电    话：13141289128        邮    箱：zqgphwz@126.com  </w:t>
            </w:r>
          </w:p>
          <w:p w14:paraId="701F5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qq咨询：3177524020          网    址：http://www.zqgpchina.cn</w:t>
            </w:r>
            <w:bookmarkStart w:id="0" w:name="_GoBack"/>
            <w:bookmarkEnd w:id="0"/>
          </w:p>
        </w:tc>
      </w:tr>
    </w:tbl>
    <w:p w14:paraId="06652A01">
      <w:pPr>
        <w:spacing w:line="400" w:lineRule="exact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/>
          <w:b/>
          <w:bCs/>
          <w:snapToGrid w:val="0"/>
          <w:color w:val="000000"/>
          <w:spacing w:val="8"/>
          <w:kern w:val="0"/>
          <w:position w:val="1"/>
          <w:sz w:val="24"/>
          <w:szCs w:val="24"/>
        </w:rPr>
        <w:t>注</w:t>
      </w:r>
      <w:r>
        <w:rPr>
          <w:rFonts w:hint="eastAsia" w:eastAsia="仿宋"/>
          <w:b/>
          <w:bCs/>
          <w:snapToGrid w:val="0"/>
          <w:color w:val="000000"/>
          <w:spacing w:val="8"/>
          <w:kern w:val="0"/>
          <w:position w:val="1"/>
          <w:sz w:val="24"/>
          <w:szCs w:val="24"/>
          <w:lang w:eastAsia="zh-CN"/>
        </w:rPr>
        <w:t>：</w:t>
      </w:r>
      <w:r>
        <w:rPr>
          <w:rFonts w:hint="eastAsia"/>
          <w:b/>
          <w:bCs/>
          <w:snapToGrid w:val="0"/>
          <w:color w:val="000000"/>
          <w:spacing w:val="8"/>
          <w:kern w:val="0"/>
          <w:position w:val="1"/>
          <w:sz w:val="24"/>
          <w:szCs w:val="24"/>
        </w:rPr>
        <w:t>为保证培训质量，培训班名额有限，额满为止，请确定人员后及早报名；本次培训内容及建筑行业相关培训内容均可赴企业提供内训。</w:t>
      </w:r>
      <w:permEnd w:id="1"/>
    </w:p>
    <w:sectPr>
      <w:pgSz w:w="11906" w:h="16838"/>
      <w:pgMar w:top="1440" w:right="1026" w:bottom="1118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99DBE"/>
    <w:multiLevelType w:val="singleLevel"/>
    <w:tmpl w:val="BE599DB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C726F0"/>
    <w:multiLevelType w:val="singleLevel"/>
    <w:tmpl w:val="60C726F0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xlF7XKcVdV/2dT9YD9ui0g+ttWs=" w:salt="0H7FCBHmJ/k+FGrJA7GLZ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jNmVhM2Q1MWY5ZDhmMjZjODMxNDg1OTRjZGUzMmIifQ=="/>
    <w:docVar w:name="KSO_WPS_MARK_KEY" w:val="cfc8d9be-f504-412a-b420-b6d2173d19df"/>
  </w:docVars>
  <w:rsids>
    <w:rsidRoot w:val="00747D83"/>
    <w:rsid w:val="001950E3"/>
    <w:rsid w:val="00302A6A"/>
    <w:rsid w:val="003A5579"/>
    <w:rsid w:val="0048665F"/>
    <w:rsid w:val="004C3F0A"/>
    <w:rsid w:val="00507717"/>
    <w:rsid w:val="005523AD"/>
    <w:rsid w:val="006A63E0"/>
    <w:rsid w:val="00747D83"/>
    <w:rsid w:val="007B7250"/>
    <w:rsid w:val="007E3266"/>
    <w:rsid w:val="00A168D3"/>
    <w:rsid w:val="00A650BD"/>
    <w:rsid w:val="00CB30D9"/>
    <w:rsid w:val="00D11736"/>
    <w:rsid w:val="00DA626C"/>
    <w:rsid w:val="00E07A64"/>
    <w:rsid w:val="00F13738"/>
    <w:rsid w:val="014717F0"/>
    <w:rsid w:val="018541F5"/>
    <w:rsid w:val="02D84414"/>
    <w:rsid w:val="030F42DA"/>
    <w:rsid w:val="031028E9"/>
    <w:rsid w:val="03771E7F"/>
    <w:rsid w:val="04496B83"/>
    <w:rsid w:val="04943EDE"/>
    <w:rsid w:val="06746C57"/>
    <w:rsid w:val="06EF599D"/>
    <w:rsid w:val="081B727D"/>
    <w:rsid w:val="085B5A71"/>
    <w:rsid w:val="09260E9E"/>
    <w:rsid w:val="096A04BC"/>
    <w:rsid w:val="09B01C47"/>
    <w:rsid w:val="09B35FA1"/>
    <w:rsid w:val="09F1555A"/>
    <w:rsid w:val="09F15B6D"/>
    <w:rsid w:val="0A821835"/>
    <w:rsid w:val="0B1701D1"/>
    <w:rsid w:val="0B413304"/>
    <w:rsid w:val="0B6D4294"/>
    <w:rsid w:val="0B6E3BF0"/>
    <w:rsid w:val="0BE30309"/>
    <w:rsid w:val="0BED2CDE"/>
    <w:rsid w:val="0C3721AC"/>
    <w:rsid w:val="0CD25E17"/>
    <w:rsid w:val="0D0F0BA7"/>
    <w:rsid w:val="0D2503E7"/>
    <w:rsid w:val="0D9D0734"/>
    <w:rsid w:val="0DB53CD0"/>
    <w:rsid w:val="0E2F3323"/>
    <w:rsid w:val="0E506F75"/>
    <w:rsid w:val="0E8611C8"/>
    <w:rsid w:val="0F3D2D0C"/>
    <w:rsid w:val="0F5848BD"/>
    <w:rsid w:val="0F633E66"/>
    <w:rsid w:val="0FDA1FA5"/>
    <w:rsid w:val="0FE12B5A"/>
    <w:rsid w:val="11CE72AB"/>
    <w:rsid w:val="11E71C7F"/>
    <w:rsid w:val="130C7B21"/>
    <w:rsid w:val="131907D0"/>
    <w:rsid w:val="139323BD"/>
    <w:rsid w:val="140E7C96"/>
    <w:rsid w:val="145E301F"/>
    <w:rsid w:val="159879CD"/>
    <w:rsid w:val="18730A0F"/>
    <w:rsid w:val="196260D7"/>
    <w:rsid w:val="19C022A8"/>
    <w:rsid w:val="1A654E38"/>
    <w:rsid w:val="1A9A04D5"/>
    <w:rsid w:val="1AAA41EF"/>
    <w:rsid w:val="1DE33F41"/>
    <w:rsid w:val="1EDF44F4"/>
    <w:rsid w:val="1F1F79EA"/>
    <w:rsid w:val="1F8A6CA6"/>
    <w:rsid w:val="20CA4E6D"/>
    <w:rsid w:val="215E294D"/>
    <w:rsid w:val="22552F34"/>
    <w:rsid w:val="229C1912"/>
    <w:rsid w:val="230E1A60"/>
    <w:rsid w:val="23953C04"/>
    <w:rsid w:val="251C1CC4"/>
    <w:rsid w:val="25726D6F"/>
    <w:rsid w:val="25CA4F57"/>
    <w:rsid w:val="25D52D09"/>
    <w:rsid w:val="269C52F7"/>
    <w:rsid w:val="26ED7BDF"/>
    <w:rsid w:val="27976201"/>
    <w:rsid w:val="279A7D67"/>
    <w:rsid w:val="283755B5"/>
    <w:rsid w:val="29671359"/>
    <w:rsid w:val="29673C78"/>
    <w:rsid w:val="29986528"/>
    <w:rsid w:val="2A151926"/>
    <w:rsid w:val="2AAD7DB1"/>
    <w:rsid w:val="2C293F03"/>
    <w:rsid w:val="2D416019"/>
    <w:rsid w:val="2FF26266"/>
    <w:rsid w:val="30D13A18"/>
    <w:rsid w:val="3204001F"/>
    <w:rsid w:val="32665168"/>
    <w:rsid w:val="34637732"/>
    <w:rsid w:val="34E55522"/>
    <w:rsid w:val="35450939"/>
    <w:rsid w:val="356E72B8"/>
    <w:rsid w:val="36A93B22"/>
    <w:rsid w:val="36F744C4"/>
    <w:rsid w:val="37836F4B"/>
    <w:rsid w:val="37D26FE9"/>
    <w:rsid w:val="38AB0E15"/>
    <w:rsid w:val="3971469F"/>
    <w:rsid w:val="399F120C"/>
    <w:rsid w:val="3A0B0650"/>
    <w:rsid w:val="3A8108C5"/>
    <w:rsid w:val="3A992316"/>
    <w:rsid w:val="3B251BE5"/>
    <w:rsid w:val="3BFC64A2"/>
    <w:rsid w:val="3CAE0412"/>
    <w:rsid w:val="3D1E4B3E"/>
    <w:rsid w:val="3D63486F"/>
    <w:rsid w:val="3D946844"/>
    <w:rsid w:val="401B483B"/>
    <w:rsid w:val="40F759FA"/>
    <w:rsid w:val="42A05D7C"/>
    <w:rsid w:val="45266E75"/>
    <w:rsid w:val="45401AF6"/>
    <w:rsid w:val="458A2D71"/>
    <w:rsid w:val="45CA502C"/>
    <w:rsid w:val="45E074DB"/>
    <w:rsid w:val="47347438"/>
    <w:rsid w:val="475A3BA8"/>
    <w:rsid w:val="478E5F15"/>
    <w:rsid w:val="48F840F2"/>
    <w:rsid w:val="48F873C3"/>
    <w:rsid w:val="496B1EC3"/>
    <w:rsid w:val="49AA1C33"/>
    <w:rsid w:val="4BE36119"/>
    <w:rsid w:val="4C2260A9"/>
    <w:rsid w:val="4CF15A7B"/>
    <w:rsid w:val="4D2F37DC"/>
    <w:rsid w:val="4D41465D"/>
    <w:rsid w:val="4D846439"/>
    <w:rsid w:val="4DDA685F"/>
    <w:rsid w:val="4ECA68D4"/>
    <w:rsid w:val="4F221F6D"/>
    <w:rsid w:val="4FDB6712"/>
    <w:rsid w:val="508077C0"/>
    <w:rsid w:val="526861E8"/>
    <w:rsid w:val="534B6E60"/>
    <w:rsid w:val="5413586A"/>
    <w:rsid w:val="56703B74"/>
    <w:rsid w:val="571921A6"/>
    <w:rsid w:val="572F560E"/>
    <w:rsid w:val="5BEB0232"/>
    <w:rsid w:val="5C2F7D76"/>
    <w:rsid w:val="5C5C748C"/>
    <w:rsid w:val="5CC1517E"/>
    <w:rsid w:val="5D4D2822"/>
    <w:rsid w:val="5DF627A9"/>
    <w:rsid w:val="5E820631"/>
    <w:rsid w:val="60231D59"/>
    <w:rsid w:val="60310561"/>
    <w:rsid w:val="605129B1"/>
    <w:rsid w:val="605C73D5"/>
    <w:rsid w:val="60EF2978"/>
    <w:rsid w:val="6155202D"/>
    <w:rsid w:val="61CD6067"/>
    <w:rsid w:val="62860563"/>
    <w:rsid w:val="63491BBC"/>
    <w:rsid w:val="636E22E4"/>
    <w:rsid w:val="66065FEC"/>
    <w:rsid w:val="672A7AB8"/>
    <w:rsid w:val="67C43A69"/>
    <w:rsid w:val="67FC76A6"/>
    <w:rsid w:val="68260E9F"/>
    <w:rsid w:val="68AB69D7"/>
    <w:rsid w:val="6A004C03"/>
    <w:rsid w:val="6A884B0A"/>
    <w:rsid w:val="6AA560DB"/>
    <w:rsid w:val="6B854ACB"/>
    <w:rsid w:val="6C7D40F6"/>
    <w:rsid w:val="6DCF32FD"/>
    <w:rsid w:val="6E677844"/>
    <w:rsid w:val="6E71132E"/>
    <w:rsid w:val="6EC151A6"/>
    <w:rsid w:val="6ED60994"/>
    <w:rsid w:val="6FA86DD3"/>
    <w:rsid w:val="714D2D21"/>
    <w:rsid w:val="717402AD"/>
    <w:rsid w:val="72713894"/>
    <w:rsid w:val="72956902"/>
    <w:rsid w:val="74714F78"/>
    <w:rsid w:val="75F601D4"/>
    <w:rsid w:val="763338AB"/>
    <w:rsid w:val="771E05C9"/>
    <w:rsid w:val="7722015F"/>
    <w:rsid w:val="78E26444"/>
    <w:rsid w:val="79E66164"/>
    <w:rsid w:val="7A70724A"/>
    <w:rsid w:val="7B6A2721"/>
    <w:rsid w:val="7C0E7206"/>
    <w:rsid w:val="7C1C0011"/>
    <w:rsid w:val="7C6518DE"/>
    <w:rsid w:val="7CE908EA"/>
    <w:rsid w:val="7D8C76FF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snapToGrid w:val="0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qFormat/>
    <w:uiPriority w:val="0"/>
    <w:pPr>
      <w:tabs>
        <w:tab w:val="left" w:pos="-1440"/>
      </w:tabs>
      <w:spacing w:line="360" w:lineRule="auto"/>
      <w:ind w:left="176" w:firstLine="200" w:firstLineChars="200"/>
    </w:pPr>
    <w:rPr>
      <w:rFonts w:ascii="仿宋" w:hAnsi="Times New Roman" w:eastAsia="仿宋"/>
      <w:sz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99"/>
    <w:pPr>
      <w:ind w:firstLine="420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after="20" w:line="331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9">
    <w:name w:val="标题 1 Char"/>
    <w:link w:val="2"/>
    <w:qFormat/>
    <w:uiPriority w:val="9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3260</Words>
  <Characters>3476</Characters>
  <Lines>33</Lines>
  <Paragraphs>9</Paragraphs>
  <TotalTime>12</TotalTime>
  <ScaleCrop>false</ScaleCrop>
  <LinksUpToDate>false</LinksUpToDate>
  <CharactersWithSpaces>3496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2023-01-13T05:23:00Z</dcterms:created>
  <dc:creator>l l</dc:creator>
  <cp:lastModifiedBy>聂红军</cp:lastModifiedBy>
  <dcterms:modified xsi:type="dcterms:W3CDTF">2025-01-10T00:52:25Z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C39B142E63AD47718054B25070C1DB4B_13</vt:lpwstr>
  </property>
  <property fmtid="{D5CDD505-2E9C-101B-9397-08002B2CF9AE}" pid="4" name="KSOTemplateDocerSaveRecord">
    <vt:lpwstr>eyJoZGlkIjoiZTUyMWM5NTU3NmQwMzYzZGY2NjUyMjZkNDUzMDVhNDkiLCJ1c2VySWQiOiI0OTM4MTE0ODQifQ==</vt:lpwstr>
  </property>
</Properties>
</file>