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CC2D2">
      <w:pPr>
        <w:adjustRightInd w:val="0"/>
        <w:snapToGrid w:val="0"/>
        <w:ind w:right="122"/>
        <w:jc w:val="center"/>
        <w:rPr>
          <w:rFonts w:ascii="宋体" w:hAnsi="宋体" w:cs="宋体"/>
          <w:b/>
          <w:color w:val="FF0000"/>
          <w:spacing w:val="91"/>
          <w:sz w:val="72"/>
          <w:szCs w:val="72"/>
        </w:rPr>
      </w:pPr>
      <w:r>
        <w:rPr>
          <w:rFonts w:hint="eastAsia" w:ascii="宋体" w:hAnsi="宋体" w:cs="宋体"/>
          <w:b/>
          <w:color w:val="FF0000"/>
          <w:spacing w:val="96"/>
          <w:sz w:val="72"/>
          <w:szCs w:val="72"/>
        </w:rPr>
        <w:t>中国国际工程咨询协会</w:t>
      </w:r>
    </w:p>
    <w:p w14:paraId="617AEB1F">
      <w:pPr>
        <w:adjustRightInd w:val="0"/>
        <w:snapToGrid w:val="0"/>
        <w:spacing w:line="360" w:lineRule="auto"/>
        <w:ind w:right="122"/>
        <w:jc w:val="center"/>
      </w:pPr>
      <w:r>
        <w:rPr>
          <w:rFonts w:ascii="仿宋" w:hAnsi="仿宋" w:eastAsia="仿宋"/>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124460</wp:posOffset>
                </wp:positionV>
                <wp:extent cx="6219825" cy="1270"/>
                <wp:effectExtent l="0" t="12700" r="3175" b="24130"/>
                <wp:wrapNone/>
                <wp:docPr id="1" name="直接连接符 2"/>
                <wp:cNvGraphicFramePr/>
                <a:graphic xmlns:a="http://schemas.openxmlformats.org/drawingml/2006/main">
                  <a:graphicData uri="http://schemas.microsoft.com/office/word/2010/wordprocessingShape">
                    <wps:wsp>
                      <wps:cNvCnPr/>
                      <wps:spPr>
                        <a:xfrm>
                          <a:off x="0" y="0"/>
                          <a:ext cx="6219825" cy="127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直接连接符 2" o:spid="_x0000_s1026" o:spt="32" type="#_x0000_t32" style="position:absolute;left:0pt;margin-left:-2.55pt;margin-top:9.8pt;height:0.1pt;width:489.75pt;z-index:251660288;mso-width-relative:page;mso-height-relative:page;" filled="f" stroked="t" coordsize="21600,21600" o:gfxdata="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PmKsDXAAAACAEAAA8AAAAAAAAAAQAgAAAAIgAAAGRycy9kb3ducmV2&#10;LnhtbFBLAQIUABQAAAAIAIdO4kC0BWpF/QEAAOoDAAAOAAAAAAAAAAEAIAAAACYBAABkcnMvZTJv&#10;RG9jLnhtbFBLBQYAAAAABgAGAFkBAACVBQAAAAA=&#10;">
                <v:fill on="f" focussize="0,0"/>
                <v:stroke weight="2pt" color="#FF0000" joinstyle="round"/>
                <v:imagedata o:title=""/>
                <o:lock v:ext="edit" aspectratio="f"/>
              </v:shape>
            </w:pict>
          </mc:Fallback>
        </mc:AlternateContent>
      </w:r>
      <w:r>
        <w:rPr>
          <w:rFonts w:hint="eastAsia" w:ascii="仿宋" w:hAnsi="仿宋" w:eastAsia="仿宋"/>
          <w:b/>
          <w:sz w:val="30"/>
          <w:szCs w:val="30"/>
        </w:rPr>
        <w:t xml:space="preserve">    </w:t>
      </w:r>
    </w:p>
    <w:p w14:paraId="60B92993">
      <w:pPr>
        <w:keepNext w:val="0"/>
        <w:keepLines w:val="0"/>
        <w:pageBreakBefore w:val="0"/>
        <w:widowControl w:val="0"/>
        <w:kinsoku/>
        <w:wordWrap/>
        <w:overflowPunct/>
        <w:topLinePunct w:val="0"/>
        <w:autoSpaceDE/>
        <w:autoSpaceDN/>
        <w:bidi w:val="0"/>
        <w:adjustRightInd w:val="0"/>
        <w:snapToGrid w:val="0"/>
        <w:spacing w:line="480" w:lineRule="exact"/>
        <w:ind w:right="119"/>
        <w:jc w:val="center"/>
        <w:textAlignment w:val="auto"/>
        <w:rPr>
          <w:rFonts w:ascii="仿宋" w:hAnsi="仿宋" w:eastAsia="仿宋" w:cs="仿宋"/>
          <w:b/>
          <w:bCs/>
          <w:sz w:val="36"/>
          <w:szCs w:val="36"/>
        </w:rPr>
      </w:pPr>
      <w:r>
        <w:rPr>
          <w:rFonts w:hint="eastAsia"/>
        </w:rPr>
        <w:t xml:space="preserve">    </w:t>
      </w:r>
      <w:r>
        <w:rPr>
          <w:rFonts w:hint="eastAsia" w:ascii="仿宋" w:hAnsi="仿宋" w:eastAsia="仿宋" w:cs="仿宋"/>
          <w:b/>
          <w:bCs/>
          <w:sz w:val="36"/>
          <w:szCs w:val="36"/>
        </w:rPr>
        <w:t>关于举办“</w:t>
      </w:r>
      <w:bookmarkStart w:id="0" w:name="OLE_LINK2"/>
      <w:bookmarkStart w:id="1" w:name="OLE_LINK1"/>
      <w:r>
        <w:rPr>
          <w:rFonts w:hint="eastAsia" w:ascii="仿宋" w:hAnsi="仿宋" w:eastAsia="仿宋" w:cs="仿宋"/>
          <w:b/>
          <w:bCs/>
          <w:sz w:val="36"/>
          <w:szCs w:val="36"/>
        </w:rPr>
        <w:t>《建设工程工程量清单计价标准》</w:t>
      </w:r>
      <w:r>
        <w:rPr>
          <w:rFonts w:hint="eastAsia" w:ascii="仿宋" w:hAnsi="仿宋" w:eastAsia="仿宋" w:cs="仿宋"/>
          <w:b/>
          <w:bCs/>
          <w:sz w:val="36"/>
          <w:szCs w:val="36"/>
          <w:lang w:val="en-US" w:eastAsia="zh-CN"/>
        </w:rPr>
        <w:t>(</w:t>
      </w:r>
      <w:r>
        <w:rPr>
          <w:rFonts w:hint="eastAsia" w:ascii="仿宋" w:hAnsi="仿宋" w:eastAsia="仿宋" w:cs="仿宋"/>
          <w:b/>
          <w:bCs/>
          <w:sz w:val="36"/>
          <w:szCs w:val="36"/>
        </w:rPr>
        <w:t>GB/T50500-2024</w:t>
      </w:r>
      <w:r>
        <w:rPr>
          <w:rFonts w:hint="eastAsia" w:ascii="仿宋" w:hAnsi="仿宋" w:eastAsia="仿宋" w:cs="仿宋"/>
          <w:b/>
          <w:bCs/>
          <w:sz w:val="36"/>
          <w:szCs w:val="36"/>
          <w:lang w:val="en-US" w:eastAsia="zh-CN"/>
        </w:rPr>
        <w:t>)</w:t>
      </w:r>
      <w:r>
        <w:rPr>
          <w:rFonts w:hint="eastAsia" w:ascii="仿宋" w:hAnsi="仿宋" w:eastAsia="仿宋" w:cs="仿宋"/>
          <w:b/>
          <w:bCs/>
          <w:sz w:val="36"/>
          <w:szCs w:val="36"/>
        </w:rPr>
        <w:t>修订变化、释义运用以及对工程合同的影响与对策暨建设项目全过程造价管控、结算、审计、财评案例</w:t>
      </w:r>
    </w:p>
    <w:p w14:paraId="05184470">
      <w:pPr>
        <w:keepNext w:val="0"/>
        <w:keepLines w:val="0"/>
        <w:pageBreakBefore w:val="0"/>
        <w:widowControl w:val="0"/>
        <w:kinsoku/>
        <w:wordWrap/>
        <w:overflowPunct/>
        <w:topLinePunct w:val="0"/>
        <w:autoSpaceDE/>
        <w:autoSpaceDN/>
        <w:bidi w:val="0"/>
        <w:adjustRightInd w:val="0"/>
        <w:snapToGrid w:val="0"/>
        <w:spacing w:line="480" w:lineRule="exact"/>
        <w:ind w:right="119" w:firstLine="2530" w:firstLineChars="700"/>
        <w:textAlignment w:val="auto"/>
      </w:pPr>
      <w:r>
        <w:rPr>
          <w:rFonts w:hint="eastAsia" w:ascii="仿宋" w:hAnsi="仿宋" w:eastAsia="仿宋" w:cs="仿宋"/>
          <w:b/>
          <w:bCs/>
          <w:sz w:val="36"/>
          <w:szCs w:val="36"/>
        </w:rPr>
        <w:t>实操专题培训班</w:t>
      </w:r>
      <w:bookmarkEnd w:id="0"/>
      <w:bookmarkEnd w:id="1"/>
      <w:r>
        <w:rPr>
          <w:rFonts w:hint="eastAsia" w:ascii="仿宋" w:hAnsi="仿宋" w:eastAsia="仿宋" w:cs="仿宋"/>
          <w:b/>
          <w:bCs/>
          <w:sz w:val="36"/>
          <w:szCs w:val="36"/>
        </w:rPr>
        <w:t>”的通知</w:t>
      </w:r>
      <w:r>
        <w:rPr>
          <w:rFonts w:hint="eastAsia" w:ascii="仿宋" w:hAnsi="仿宋" w:eastAsia="仿宋" w:cs="FangSong_GB2312"/>
          <w:color w:val="000000"/>
          <w:spacing w:val="-12"/>
          <w:sz w:val="28"/>
          <w:szCs w:val="28"/>
        </w:rPr>
        <w:t xml:space="preserve">                                        </w:t>
      </w:r>
    </w:p>
    <w:p w14:paraId="5D0BC0F3">
      <w:pPr>
        <w:pStyle w:val="6"/>
        <w:shd w:val="clear" w:color="FFFFFF" w:fill="FFFFFF"/>
        <w:spacing w:before="0" w:beforeAutospacing="0" w:after="0" w:afterAutospacing="0" w:line="480" w:lineRule="exact"/>
        <w:ind w:right="122"/>
        <w:jc w:val="center"/>
        <w:rPr>
          <w:rStyle w:val="10"/>
          <w:rFonts w:ascii="仿宋" w:hAnsi="仿宋" w:eastAsia="仿宋" w:cs="仿宋"/>
          <w:color w:val="3E3E3E"/>
        </w:rPr>
      </w:pPr>
      <w:r>
        <w:rPr>
          <w:rFonts w:hint="eastAsia" w:ascii="仿宋" w:hAnsi="仿宋" w:eastAsia="仿宋" w:cs="FangSong_GB2312"/>
          <w:color w:val="000000"/>
          <w:spacing w:val="-12"/>
          <w:sz w:val="28"/>
          <w:szCs w:val="28"/>
        </w:rPr>
        <w:t xml:space="preserve">                                                                国咨协[2025] </w:t>
      </w:r>
      <w:r>
        <w:rPr>
          <w:rFonts w:hint="eastAsia" w:ascii="仿宋" w:hAnsi="仿宋" w:eastAsia="仿宋" w:cs="FangSong_GB2312"/>
          <w:color w:val="000000"/>
          <w:spacing w:val="-12"/>
          <w:sz w:val="28"/>
          <w:szCs w:val="28"/>
          <w:lang w:val="en-US" w:eastAsia="zh-CN"/>
        </w:rPr>
        <w:t>03</w:t>
      </w:r>
      <w:r>
        <w:rPr>
          <w:rFonts w:hint="eastAsia" w:ascii="仿宋" w:hAnsi="仿宋" w:eastAsia="仿宋" w:cs="FangSong_GB2312"/>
          <w:color w:val="000000"/>
          <w:spacing w:val="-12"/>
          <w:sz w:val="28"/>
          <w:szCs w:val="28"/>
        </w:rPr>
        <w:t>号</w:t>
      </w:r>
    </w:p>
    <w:p w14:paraId="3F0518E8">
      <w:pPr>
        <w:pStyle w:val="6"/>
        <w:keepNext w:val="0"/>
        <w:keepLines w:val="0"/>
        <w:pageBreakBefore w:val="0"/>
        <w:widowControl/>
        <w:shd w:val="clear" w:color="FFFFFF" w:fill="FFFFFF"/>
        <w:kinsoku/>
        <w:wordWrap/>
        <w:overflowPunct/>
        <w:topLinePunct w:val="0"/>
        <w:autoSpaceDE/>
        <w:autoSpaceDN/>
        <w:bidi w:val="0"/>
        <w:adjustRightInd/>
        <w:snapToGrid/>
        <w:spacing w:before="0" w:beforeAutospacing="0" w:after="0" w:afterAutospacing="0" w:line="480" w:lineRule="exact"/>
        <w:ind w:right="119"/>
        <w:textAlignment w:val="auto"/>
        <w:rPr>
          <w:rStyle w:val="10"/>
          <w:rFonts w:ascii="仿宋" w:hAnsi="仿宋" w:eastAsia="仿宋" w:cs="仿宋"/>
          <w:color w:val="3E3E3E"/>
          <w:sz w:val="28"/>
          <w:szCs w:val="28"/>
        </w:rPr>
      </w:pPr>
      <w:r>
        <w:rPr>
          <w:rStyle w:val="10"/>
          <w:rFonts w:hint="eastAsia" w:ascii="仿宋" w:hAnsi="仿宋" w:eastAsia="仿宋" w:cs="仿宋"/>
          <w:color w:val="3E3E3E"/>
          <w:sz w:val="28"/>
          <w:szCs w:val="28"/>
        </w:rPr>
        <w:t>各有关单位：</w:t>
      </w:r>
    </w:p>
    <w:p w14:paraId="1CCECD96">
      <w:pPr>
        <w:pStyle w:val="6"/>
        <w:keepNext w:val="0"/>
        <w:keepLines w:val="0"/>
        <w:pageBreakBefore w:val="0"/>
        <w:widowControl/>
        <w:shd w:val="clear" w:color="FFFFFF" w:fill="FFFFFF"/>
        <w:kinsoku/>
        <w:wordWrap/>
        <w:overflowPunct/>
        <w:topLinePunct w:val="0"/>
        <w:autoSpaceDE/>
        <w:autoSpaceDN/>
        <w:bidi w:val="0"/>
        <w:adjustRightInd/>
        <w:snapToGrid/>
        <w:spacing w:before="0" w:beforeAutospacing="0" w:after="0" w:afterAutospacing="0" w:line="480" w:lineRule="exact"/>
        <w:ind w:right="119" w:firstLine="560" w:firstLineChars="200"/>
        <w:textAlignment w:val="auto"/>
        <w:rPr>
          <w:rStyle w:val="10"/>
          <w:rFonts w:ascii="仿宋" w:hAnsi="仿宋" w:eastAsia="仿宋" w:cs="仿宋"/>
          <w:b w:val="0"/>
          <w:bCs w:val="0"/>
          <w:color w:val="3E3E3E"/>
          <w:sz w:val="28"/>
          <w:szCs w:val="28"/>
        </w:rPr>
      </w:pPr>
      <w:r>
        <w:rPr>
          <w:rStyle w:val="10"/>
          <w:rFonts w:hint="eastAsia" w:ascii="仿宋" w:hAnsi="仿宋" w:eastAsia="仿宋" w:cs="仿宋"/>
          <w:b w:val="0"/>
          <w:bCs w:val="0"/>
          <w:color w:val="3E3E3E"/>
          <w:sz w:val="28"/>
          <w:szCs w:val="28"/>
        </w:rPr>
        <w:t>《建设工程工程量清单计价标准》</w:t>
      </w:r>
      <w:r>
        <w:rPr>
          <w:rStyle w:val="10"/>
          <w:rFonts w:hint="eastAsia" w:ascii="仿宋" w:hAnsi="仿宋" w:eastAsia="仿宋" w:cs="仿宋"/>
          <w:b w:val="0"/>
          <w:bCs w:val="0"/>
          <w:color w:val="3E3E3E"/>
          <w:sz w:val="28"/>
          <w:szCs w:val="28"/>
          <w:lang w:val="en-US" w:eastAsia="zh-CN"/>
        </w:rPr>
        <w:t>(</w:t>
      </w:r>
      <w:r>
        <w:rPr>
          <w:rStyle w:val="10"/>
          <w:rFonts w:hint="eastAsia" w:ascii="仿宋" w:hAnsi="仿宋" w:eastAsia="仿宋" w:cs="仿宋"/>
          <w:b w:val="0"/>
          <w:bCs w:val="0"/>
          <w:color w:val="3E3E3E"/>
          <w:sz w:val="28"/>
          <w:szCs w:val="28"/>
        </w:rPr>
        <w:t>GB/T50500-2024</w:t>
      </w:r>
      <w:r>
        <w:rPr>
          <w:rStyle w:val="10"/>
          <w:rFonts w:hint="eastAsia" w:ascii="仿宋" w:hAnsi="仿宋" w:eastAsia="仿宋" w:cs="仿宋"/>
          <w:b w:val="0"/>
          <w:bCs w:val="0"/>
          <w:color w:val="3E3E3E"/>
          <w:sz w:val="28"/>
          <w:szCs w:val="28"/>
          <w:lang w:val="en-US" w:eastAsia="zh-CN"/>
        </w:rPr>
        <w:t>)</w:t>
      </w:r>
      <w:r>
        <w:rPr>
          <w:rStyle w:val="10"/>
          <w:rFonts w:hint="eastAsia" w:ascii="仿宋" w:hAnsi="仿宋" w:eastAsia="仿宋" w:cs="仿宋"/>
          <w:b w:val="0"/>
          <w:bCs w:val="0"/>
          <w:color w:val="3E3E3E"/>
          <w:sz w:val="28"/>
          <w:szCs w:val="28"/>
        </w:rPr>
        <w:t>全新发布，助力造价管理迈入新时代！住房和城乡建设部在2024年12月接连释放重大利好消息！不仅带来了9大工程量计算标准的更新，更于12月30日隆重推出2024版《建设工程工程量清单计价标准》，编号GB/T50500-2024，自2025年9月1日起实施！</w:t>
      </w:r>
    </w:p>
    <w:p w14:paraId="34AF171B">
      <w:pPr>
        <w:pStyle w:val="6"/>
        <w:keepNext w:val="0"/>
        <w:keepLines w:val="0"/>
        <w:pageBreakBefore w:val="0"/>
        <w:widowControl/>
        <w:shd w:val="clear" w:color="FFFFFF" w:fill="FFFFFF"/>
        <w:kinsoku/>
        <w:wordWrap/>
        <w:overflowPunct/>
        <w:topLinePunct w:val="0"/>
        <w:autoSpaceDE/>
        <w:autoSpaceDN/>
        <w:bidi w:val="0"/>
        <w:adjustRightInd/>
        <w:snapToGrid/>
        <w:spacing w:before="0" w:beforeAutospacing="0" w:after="0" w:afterAutospacing="0" w:line="480" w:lineRule="exact"/>
        <w:ind w:right="119" w:firstLine="560" w:firstLineChars="200"/>
        <w:textAlignment w:val="auto"/>
        <w:rPr>
          <w:rStyle w:val="10"/>
          <w:rFonts w:hint="eastAsia" w:ascii="仿宋" w:hAnsi="仿宋" w:eastAsia="仿宋" w:cs="仿宋"/>
          <w:b w:val="0"/>
          <w:bCs w:val="0"/>
          <w:color w:val="3E3E3E"/>
          <w:sz w:val="28"/>
          <w:szCs w:val="28"/>
        </w:rPr>
      </w:pPr>
      <w:r>
        <w:rPr>
          <w:rStyle w:val="10"/>
          <w:rFonts w:hint="eastAsia" w:ascii="仿宋" w:hAnsi="仿宋" w:eastAsia="仿宋" w:cs="仿宋"/>
          <w:b w:val="0"/>
          <w:bCs w:val="0"/>
          <w:color w:val="3E3E3E"/>
          <w:sz w:val="28"/>
          <w:szCs w:val="28"/>
        </w:rPr>
        <w:t>2024版《建设工程工程量清单计价标准》以习近平新时代中国特色社会主义思想为引领，深入贯彻党中央、国务院推动建筑业高质量发展的战略部署。它立足市场，发挥其在资源配置中的决定性作用，同时妥善处理政府与市场的关系。通过创新工程计量与计价规则、完善计价依据发布机制、强化造价数据积累、明确建设单位造价管控责任以及严格施工合同履约管理等多维度举措，全力推行清单计量、市场询价、自主报价、竞争定价的先进工程计价方式，进一步优化工程造价市场形成机制！</w:t>
      </w:r>
    </w:p>
    <w:p w14:paraId="3D0117EE">
      <w:pPr>
        <w:pStyle w:val="6"/>
        <w:keepNext w:val="0"/>
        <w:keepLines w:val="0"/>
        <w:pageBreakBefore w:val="0"/>
        <w:widowControl/>
        <w:shd w:val="clear" w:color="FFFFFF" w:fill="FFFFFF"/>
        <w:kinsoku/>
        <w:wordWrap/>
        <w:overflowPunct/>
        <w:topLinePunct w:val="0"/>
        <w:autoSpaceDE/>
        <w:autoSpaceDN/>
        <w:bidi w:val="0"/>
        <w:adjustRightInd/>
        <w:snapToGrid/>
        <w:spacing w:before="0" w:beforeAutospacing="0" w:after="0" w:afterAutospacing="0" w:line="480" w:lineRule="exact"/>
        <w:ind w:right="119" w:firstLine="560" w:firstLineChars="200"/>
        <w:textAlignment w:val="auto"/>
        <w:rPr>
          <w:rStyle w:val="10"/>
          <w:rFonts w:ascii="仿宋" w:hAnsi="仿宋" w:eastAsia="仿宋" w:cs="仿宋"/>
          <w:color w:val="3E3E3E"/>
          <w:sz w:val="28"/>
          <w:szCs w:val="28"/>
        </w:rPr>
      </w:pPr>
      <w:r>
        <w:rPr>
          <w:rStyle w:val="10"/>
          <w:rFonts w:hint="eastAsia" w:ascii="仿宋" w:hAnsi="仿宋" w:eastAsia="仿宋" w:cs="仿宋"/>
          <w:b w:val="0"/>
          <w:bCs w:val="0"/>
          <w:color w:val="3E3E3E"/>
          <w:sz w:val="28"/>
          <w:szCs w:val="28"/>
        </w:rPr>
        <w:t>当前，2024版《建设工程工程量清单计价标准》的实施已进入倒计时，各单位相关人员是否已做好准备？为帮助大家全面把握标准精髓，深入理解其内涵，准确把握市场化改革导向下的工程造价管理新思路，抓住造价管理的重点与难点，有效规范工程项目管理，防范风险，我会决定举办</w:t>
      </w:r>
      <w:r>
        <w:rPr>
          <w:rStyle w:val="10"/>
          <w:rFonts w:hint="eastAsia" w:ascii="仿宋" w:hAnsi="仿宋" w:eastAsia="仿宋" w:cs="仿宋"/>
          <w:color w:val="3E3E3E"/>
          <w:sz w:val="28"/>
          <w:szCs w:val="28"/>
        </w:rPr>
        <w:t>“《建设工程工程量清单计价标准》</w:t>
      </w:r>
      <w:r>
        <w:rPr>
          <w:rStyle w:val="10"/>
          <w:rFonts w:hint="eastAsia" w:ascii="仿宋" w:hAnsi="仿宋" w:eastAsia="仿宋" w:cs="仿宋"/>
          <w:color w:val="3E3E3E"/>
          <w:sz w:val="28"/>
          <w:szCs w:val="28"/>
          <w:lang w:val="en-US" w:eastAsia="zh-CN"/>
        </w:rPr>
        <w:t>(</w:t>
      </w:r>
      <w:r>
        <w:rPr>
          <w:rStyle w:val="10"/>
          <w:rFonts w:hint="eastAsia" w:ascii="仿宋" w:hAnsi="仿宋" w:eastAsia="仿宋" w:cs="仿宋"/>
          <w:color w:val="3E3E3E"/>
          <w:sz w:val="28"/>
          <w:szCs w:val="28"/>
        </w:rPr>
        <w:t>GB/T50500-2024</w:t>
      </w:r>
      <w:r>
        <w:rPr>
          <w:rStyle w:val="10"/>
          <w:rFonts w:hint="eastAsia" w:ascii="仿宋" w:hAnsi="仿宋" w:eastAsia="仿宋" w:cs="仿宋"/>
          <w:color w:val="3E3E3E"/>
          <w:sz w:val="28"/>
          <w:szCs w:val="28"/>
          <w:lang w:val="en-US" w:eastAsia="zh-CN"/>
        </w:rPr>
        <w:t>)</w:t>
      </w:r>
      <w:r>
        <w:rPr>
          <w:rStyle w:val="10"/>
          <w:rFonts w:hint="eastAsia" w:ascii="仿宋" w:hAnsi="仿宋" w:eastAsia="仿宋" w:cs="仿宋"/>
          <w:color w:val="3E3E3E"/>
          <w:sz w:val="28"/>
          <w:szCs w:val="28"/>
        </w:rPr>
        <w:t>修订变化、释义运用以及对工程合同的影响与对策暨建设项目全过程造价管控、结算、审计、财评案例实操专题培训班”</w:t>
      </w:r>
      <w:r>
        <w:rPr>
          <w:rStyle w:val="10"/>
          <w:rFonts w:hint="eastAsia" w:ascii="仿宋" w:hAnsi="仿宋" w:eastAsia="仿宋" w:cs="仿宋"/>
          <w:b w:val="0"/>
          <w:bCs w:val="0"/>
          <w:color w:val="3E3E3E"/>
          <w:sz w:val="28"/>
          <w:szCs w:val="28"/>
        </w:rPr>
        <w:t>。</w:t>
      </w:r>
    </w:p>
    <w:p w14:paraId="37E2BECF">
      <w:pPr>
        <w:snapToGrid w:val="0"/>
        <w:spacing w:line="480" w:lineRule="exact"/>
        <w:ind w:firstLine="560" w:firstLineChars="200"/>
        <w:jc w:val="both"/>
        <w:rPr>
          <w:rStyle w:val="10"/>
          <w:rFonts w:ascii="仿宋" w:hAnsi="仿宋" w:eastAsia="仿宋" w:cs="仿宋"/>
          <w:b w:val="0"/>
          <w:bCs w:val="0"/>
          <w:color w:val="3E3E3E"/>
          <w:sz w:val="28"/>
          <w:szCs w:val="28"/>
        </w:rPr>
      </w:pPr>
      <w:r>
        <w:rPr>
          <w:rStyle w:val="10"/>
          <w:rFonts w:hint="eastAsia" w:ascii="仿宋" w:hAnsi="仿宋" w:eastAsia="仿宋" w:cs="仿宋"/>
          <w:b w:val="0"/>
          <w:bCs w:val="0"/>
          <w:color w:val="3E3E3E"/>
          <w:sz w:val="28"/>
          <w:szCs w:val="28"/>
        </w:rPr>
        <w:t>本专题培训班由中国国际工程咨询协会主办，</w:t>
      </w:r>
      <w:r>
        <w:rPr>
          <w:rFonts w:hint="eastAsia" w:ascii="仿宋" w:hAnsi="仿宋" w:eastAsia="仿宋" w:cs="Times New Roman"/>
          <w:sz w:val="28"/>
          <w:szCs w:val="32"/>
          <w:lang w:val="en-US" w:eastAsia="zh-CN"/>
        </w:rPr>
        <w:t>北京众兴企培咨询有限公司</w:t>
      </w:r>
      <w:r>
        <w:rPr>
          <w:rStyle w:val="10"/>
          <w:rFonts w:hint="eastAsia" w:ascii="仿宋" w:hAnsi="仿宋" w:eastAsia="仿宋" w:cs="仿宋"/>
          <w:b w:val="0"/>
          <w:bCs w:val="0"/>
          <w:color w:val="3E3E3E"/>
          <w:sz w:val="28"/>
          <w:szCs w:val="28"/>
        </w:rPr>
        <w:t>具体承办，培训结束后颁发中国国际工程咨询协会培训结业证书，请各单位积极组织本单位及下属单位相关人员参加。</w:t>
      </w:r>
    </w:p>
    <w:p w14:paraId="65D39A5B">
      <w:pPr>
        <w:keepNext w:val="0"/>
        <w:keepLines w:val="0"/>
        <w:pageBreakBefore w:val="0"/>
        <w:widowControl w:val="0"/>
        <w:kinsoku/>
        <w:wordWrap/>
        <w:overflowPunct/>
        <w:topLinePunct w:val="0"/>
        <w:autoSpaceDE/>
        <w:autoSpaceDN/>
        <w:bidi w:val="0"/>
        <w:adjustRightInd/>
        <w:snapToGrid/>
        <w:spacing w:line="520" w:lineRule="exact"/>
        <w:ind w:right="122"/>
        <w:textAlignment w:val="auto"/>
        <w:rPr>
          <w:rFonts w:ascii="仿宋" w:hAnsi="仿宋" w:eastAsia="仿宋" w:cs="仿宋"/>
          <w:b/>
          <w:bCs/>
          <w:sz w:val="28"/>
          <w:szCs w:val="28"/>
        </w:rPr>
      </w:pPr>
      <w:r>
        <w:rPr>
          <w:rFonts w:hint="eastAsia" w:ascii="仿宋" w:hAnsi="仿宋" w:eastAsia="仿宋" w:cs="仿宋"/>
          <w:b/>
          <w:bCs/>
          <w:sz w:val="28"/>
          <w:szCs w:val="28"/>
        </w:rPr>
        <w:t>一、培训内容</w:t>
      </w:r>
    </w:p>
    <w:p w14:paraId="4AC0C423">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b/>
          <w:bCs/>
          <w:sz w:val="28"/>
          <w:szCs w:val="28"/>
        </w:rPr>
      </w:pPr>
      <w:r>
        <w:rPr>
          <w:rFonts w:hint="eastAsia" w:ascii="仿宋" w:hAnsi="仿宋" w:eastAsia="仿宋" w:cs="仿宋"/>
          <w:b/>
          <w:bCs/>
          <w:sz w:val="28"/>
          <w:szCs w:val="28"/>
        </w:rPr>
        <w:t>（一）2024版《建设工程工程量清单计价标准》政策解读</w:t>
      </w:r>
    </w:p>
    <w:p w14:paraId="3E8C1824">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1.《建设工程工程量清单计价标准》</w:t>
      </w:r>
      <w:r>
        <w:rPr>
          <w:rFonts w:hint="eastAsia" w:ascii="仿宋" w:hAnsi="仿宋" w:eastAsia="仿宋" w:cs="仿宋"/>
          <w:sz w:val="28"/>
          <w:szCs w:val="28"/>
          <w:lang w:val="en-US" w:eastAsia="zh-CN"/>
        </w:rPr>
        <w:t>(</w:t>
      </w:r>
      <w:r>
        <w:rPr>
          <w:rFonts w:hint="eastAsia" w:ascii="仿宋" w:hAnsi="仿宋" w:eastAsia="仿宋" w:cs="仿宋"/>
          <w:sz w:val="28"/>
          <w:szCs w:val="28"/>
        </w:rPr>
        <w:t>GB/T50500-2024</w:t>
      </w:r>
      <w:r>
        <w:rPr>
          <w:rFonts w:hint="eastAsia" w:ascii="仿宋" w:hAnsi="仿宋" w:eastAsia="仿宋" w:cs="仿宋"/>
          <w:sz w:val="28"/>
          <w:szCs w:val="28"/>
          <w:lang w:val="en-US" w:eastAsia="zh-CN"/>
        </w:rPr>
        <w:t>)</w:t>
      </w:r>
      <w:r>
        <w:rPr>
          <w:rFonts w:hint="eastAsia" w:ascii="仿宋" w:hAnsi="仿宋" w:eastAsia="仿宋" w:cs="仿宋"/>
          <w:sz w:val="28"/>
          <w:szCs w:val="28"/>
        </w:rPr>
        <w:t>与《建设工程工程量清单计价规范》</w:t>
      </w:r>
      <w:r>
        <w:rPr>
          <w:rFonts w:hint="eastAsia" w:ascii="仿宋" w:hAnsi="仿宋" w:eastAsia="仿宋" w:cs="仿宋"/>
          <w:sz w:val="28"/>
          <w:szCs w:val="28"/>
          <w:lang w:val="en-US" w:eastAsia="zh-CN"/>
        </w:rPr>
        <w:t>(</w:t>
      </w:r>
      <w:r>
        <w:rPr>
          <w:rFonts w:hint="eastAsia" w:ascii="仿宋" w:hAnsi="仿宋" w:eastAsia="仿宋" w:cs="仿宋"/>
          <w:sz w:val="28"/>
          <w:szCs w:val="28"/>
        </w:rPr>
        <w:t>GB50500-2013</w:t>
      </w:r>
      <w:r>
        <w:rPr>
          <w:rFonts w:hint="eastAsia" w:ascii="仿宋" w:hAnsi="仿宋" w:eastAsia="仿宋" w:cs="仿宋"/>
          <w:sz w:val="28"/>
          <w:szCs w:val="28"/>
          <w:lang w:val="en-US" w:eastAsia="zh-CN"/>
        </w:rPr>
        <w:t>)</w:t>
      </w:r>
      <w:r>
        <w:rPr>
          <w:rFonts w:hint="eastAsia" w:ascii="仿宋" w:hAnsi="仿宋" w:eastAsia="仿宋" w:cs="仿宋"/>
          <w:sz w:val="28"/>
          <w:szCs w:val="28"/>
        </w:rPr>
        <w:t>的区别；</w:t>
      </w:r>
    </w:p>
    <w:p w14:paraId="7E1EA06D">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2.《建设工程工程量清单计价标准》</w:t>
      </w:r>
      <w:r>
        <w:rPr>
          <w:rFonts w:hint="eastAsia" w:ascii="仿宋" w:hAnsi="仿宋" w:eastAsia="仿宋" w:cs="仿宋"/>
          <w:sz w:val="28"/>
          <w:szCs w:val="28"/>
          <w:lang w:val="en-US" w:eastAsia="zh-CN"/>
        </w:rPr>
        <w:t>(</w:t>
      </w:r>
      <w:r>
        <w:rPr>
          <w:rFonts w:hint="eastAsia" w:ascii="仿宋" w:hAnsi="仿宋" w:eastAsia="仿宋" w:cs="仿宋"/>
          <w:sz w:val="28"/>
          <w:szCs w:val="28"/>
        </w:rPr>
        <w:t>GB/T50500-2024</w:t>
      </w:r>
      <w:r>
        <w:rPr>
          <w:rFonts w:hint="eastAsia" w:ascii="仿宋" w:hAnsi="仿宋" w:eastAsia="仿宋" w:cs="仿宋"/>
          <w:sz w:val="28"/>
          <w:szCs w:val="28"/>
          <w:lang w:val="en-US" w:eastAsia="zh-CN"/>
        </w:rPr>
        <w:t>)</w:t>
      </w:r>
      <w:r>
        <w:rPr>
          <w:rFonts w:hint="eastAsia" w:ascii="仿宋" w:hAnsi="仿宋" w:eastAsia="仿宋" w:cs="仿宋"/>
          <w:sz w:val="28"/>
          <w:szCs w:val="28"/>
        </w:rPr>
        <w:t>出台的背景及意义；</w:t>
      </w:r>
    </w:p>
    <w:p w14:paraId="786256DF">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3.建设工程工程量清单计价标准》</w:t>
      </w:r>
      <w:r>
        <w:rPr>
          <w:rFonts w:hint="eastAsia" w:ascii="仿宋" w:hAnsi="仿宋" w:eastAsia="仿宋" w:cs="仿宋"/>
          <w:sz w:val="28"/>
          <w:szCs w:val="28"/>
          <w:lang w:val="en-US" w:eastAsia="zh-CN"/>
        </w:rPr>
        <w:t>(</w:t>
      </w:r>
      <w:r>
        <w:rPr>
          <w:rFonts w:hint="eastAsia" w:ascii="仿宋" w:hAnsi="仿宋" w:eastAsia="仿宋" w:cs="仿宋"/>
          <w:sz w:val="28"/>
          <w:szCs w:val="28"/>
        </w:rPr>
        <w:t>GB/T50500-2024</w:t>
      </w:r>
      <w:r>
        <w:rPr>
          <w:rFonts w:hint="eastAsia" w:ascii="仿宋" w:hAnsi="仿宋" w:eastAsia="仿宋" w:cs="仿宋"/>
          <w:sz w:val="28"/>
          <w:szCs w:val="28"/>
          <w:lang w:val="en-US" w:eastAsia="zh-CN"/>
        </w:rPr>
        <w:t>)</w:t>
      </w:r>
      <w:r>
        <w:rPr>
          <w:rFonts w:hint="eastAsia" w:ascii="仿宋" w:hAnsi="仿宋" w:eastAsia="仿宋" w:cs="仿宋"/>
          <w:sz w:val="28"/>
          <w:szCs w:val="28"/>
        </w:rPr>
        <w:t>修改起草过程中存在的主要问题与解决办法；</w:t>
      </w:r>
    </w:p>
    <w:p w14:paraId="2C301E35">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4.《建设工程工程量清单计价标准》</w:t>
      </w:r>
      <w:r>
        <w:rPr>
          <w:rFonts w:hint="eastAsia" w:ascii="仿宋" w:hAnsi="仿宋" w:eastAsia="仿宋" w:cs="仿宋"/>
          <w:sz w:val="28"/>
          <w:szCs w:val="28"/>
          <w:lang w:val="en-US" w:eastAsia="zh-CN"/>
        </w:rPr>
        <w:t>(</w:t>
      </w:r>
      <w:r>
        <w:rPr>
          <w:rFonts w:hint="eastAsia" w:ascii="仿宋" w:hAnsi="仿宋" w:eastAsia="仿宋" w:cs="仿宋"/>
          <w:sz w:val="28"/>
          <w:szCs w:val="28"/>
        </w:rPr>
        <w:t>GB/T50500-2024</w:t>
      </w:r>
      <w:r>
        <w:rPr>
          <w:rFonts w:hint="eastAsia" w:ascii="仿宋" w:hAnsi="仿宋" w:eastAsia="仿宋" w:cs="仿宋"/>
          <w:sz w:val="28"/>
          <w:szCs w:val="28"/>
          <w:lang w:val="en-US" w:eastAsia="zh-CN"/>
        </w:rPr>
        <w:t>)</w:t>
      </w:r>
      <w:r>
        <w:rPr>
          <w:rFonts w:hint="eastAsia" w:ascii="仿宋" w:hAnsi="仿宋" w:eastAsia="仿宋" w:cs="仿宋"/>
          <w:sz w:val="28"/>
          <w:szCs w:val="28"/>
        </w:rPr>
        <w:t>修改起草的重大调整和补充；</w:t>
      </w:r>
    </w:p>
    <w:p w14:paraId="21959173">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5.《建设工程工程量清单计价标准》</w:t>
      </w:r>
      <w:r>
        <w:rPr>
          <w:rFonts w:hint="eastAsia" w:ascii="仿宋" w:hAnsi="仿宋" w:eastAsia="仿宋" w:cs="仿宋"/>
          <w:sz w:val="28"/>
          <w:szCs w:val="28"/>
          <w:lang w:val="en-US" w:eastAsia="zh-CN"/>
        </w:rPr>
        <w:t>(</w:t>
      </w:r>
      <w:r>
        <w:rPr>
          <w:rFonts w:hint="eastAsia" w:ascii="仿宋" w:hAnsi="仿宋" w:eastAsia="仿宋" w:cs="仿宋"/>
          <w:sz w:val="28"/>
          <w:szCs w:val="28"/>
        </w:rPr>
        <w:t>GB/T50500-2024</w:t>
      </w:r>
      <w:r>
        <w:rPr>
          <w:rFonts w:hint="eastAsia" w:ascii="仿宋" w:hAnsi="仿宋" w:eastAsia="仿宋" w:cs="仿宋"/>
          <w:sz w:val="28"/>
          <w:szCs w:val="28"/>
          <w:lang w:val="en-US" w:eastAsia="zh-CN"/>
        </w:rPr>
        <w:t>)</w:t>
      </w:r>
      <w:r>
        <w:rPr>
          <w:rFonts w:hint="eastAsia" w:ascii="仿宋" w:hAnsi="仿宋" w:eastAsia="仿宋" w:cs="仿宋"/>
          <w:sz w:val="28"/>
          <w:szCs w:val="28"/>
        </w:rPr>
        <w:t>修改起草的主要内容和亮点；</w:t>
      </w:r>
    </w:p>
    <w:p w14:paraId="230A581E">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6.《建设工程工程量清单计价标准》</w:t>
      </w:r>
      <w:r>
        <w:rPr>
          <w:rFonts w:hint="eastAsia" w:ascii="仿宋" w:hAnsi="仿宋" w:eastAsia="仿宋" w:cs="仿宋"/>
          <w:sz w:val="28"/>
          <w:szCs w:val="28"/>
          <w:lang w:val="en-US" w:eastAsia="zh-CN"/>
        </w:rPr>
        <w:t>(</w:t>
      </w:r>
      <w:r>
        <w:rPr>
          <w:rFonts w:hint="eastAsia" w:ascii="仿宋" w:hAnsi="仿宋" w:eastAsia="仿宋" w:cs="仿宋"/>
          <w:sz w:val="28"/>
          <w:szCs w:val="28"/>
        </w:rPr>
        <w:t>GB/T50500-2024</w:t>
      </w:r>
      <w:r>
        <w:rPr>
          <w:rFonts w:hint="eastAsia" w:ascii="仿宋" w:hAnsi="仿宋" w:eastAsia="仿宋" w:cs="仿宋"/>
          <w:sz w:val="28"/>
          <w:szCs w:val="28"/>
          <w:lang w:val="en-US" w:eastAsia="zh-CN"/>
        </w:rPr>
        <w:t>)</w:t>
      </w:r>
      <w:r>
        <w:rPr>
          <w:rFonts w:hint="eastAsia" w:ascii="仿宋" w:hAnsi="仿宋" w:eastAsia="仿宋" w:cs="仿宋"/>
          <w:sz w:val="28"/>
          <w:szCs w:val="28"/>
        </w:rPr>
        <w:t>实施后造价行业的发展前景；</w:t>
      </w:r>
    </w:p>
    <w:p w14:paraId="1B66AAB5">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b/>
          <w:bCs/>
          <w:sz w:val="28"/>
          <w:szCs w:val="28"/>
        </w:rPr>
      </w:pPr>
      <w:r>
        <w:rPr>
          <w:rFonts w:hint="eastAsia" w:ascii="仿宋" w:hAnsi="仿宋" w:eastAsia="仿宋" w:cs="仿宋"/>
          <w:b/>
          <w:bCs/>
          <w:sz w:val="28"/>
          <w:szCs w:val="28"/>
        </w:rPr>
        <w:t>（二）2024版《建设工程工程量清单计价标准》内容介绍</w:t>
      </w:r>
    </w:p>
    <w:p w14:paraId="6D15FE03">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1.工程量清单编制与应用</w:t>
      </w:r>
    </w:p>
    <w:p w14:paraId="151A2BF2">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(1)分部分项工程项目清单编制与应用</w:t>
      </w:r>
    </w:p>
    <w:p w14:paraId="0A844334">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(2)措施项目清单编制与应用</w:t>
      </w:r>
    </w:p>
    <w:p w14:paraId="2F69A8AB">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(3)其他项目清单编制与应用</w:t>
      </w:r>
    </w:p>
    <w:p w14:paraId="32C87B9D">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2.招标工程量清单编制依据</w:t>
      </w:r>
    </w:p>
    <w:p w14:paraId="087F9156">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3.措施项目清单编制依据</w:t>
      </w:r>
    </w:p>
    <w:p w14:paraId="76796398">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4.其他项目清单列项内容</w:t>
      </w:r>
    </w:p>
    <w:p w14:paraId="5266913E">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(1)暂列金额；</w:t>
      </w:r>
    </w:p>
    <w:p w14:paraId="7991869C">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(2)暂估价：包括材料暂估单价、工程设备暂估单价、专业工程暂估价；</w:t>
      </w:r>
    </w:p>
    <w:p w14:paraId="069DC490">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(3)计日工；</w:t>
      </w:r>
    </w:p>
    <w:p w14:paraId="4B6C8700">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(4)总承包服务费。</w:t>
      </w:r>
    </w:p>
    <w:p w14:paraId="3201E71B">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 xml:space="preserve">5.最高投标限价的编制与应用    </w:t>
      </w:r>
    </w:p>
    <w:p w14:paraId="145A342A">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(1)最高投标限价的编制与复核</w:t>
      </w:r>
    </w:p>
    <w:p w14:paraId="42919770">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(2)最高投标限价编制与复核依据</w:t>
      </w:r>
    </w:p>
    <w:p w14:paraId="73E034EC">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(3)投诉与处理</w:t>
      </w:r>
    </w:p>
    <w:p w14:paraId="466F57EC">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6.综合单价的编制与应用</w:t>
      </w:r>
    </w:p>
    <w:p w14:paraId="7DE6AC15">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b/>
          <w:bCs/>
          <w:sz w:val="28"/>
          <w:szCs w:val="28"/>
        </w:rPr>
      </w:pPr>
      <w:r>
        <w:rPr>
          <w:rFonts w:hint="eastAsia" w:ascii="仿宋" w:hAnsi="仿宋" w:eastAsia="仿宋" w:cs="仿宋"/>
          <w:b/>
          <w:bCs/>
          <w:sz w:val="28"/>
          <w:szCs w:val="28"/>
        </w:rPr>
        <w:t>（三）2024版《建设工程工程量清单计价标准》</w:t>
      </w:r>
      <w:bookmarkStart w:id="2" w:name="OLE_LINK5"/>
      <w:bookmarkStart w:id="3" w:name="OLE_LINK6"/>
      <w:r>
        <w:rPr>
          <w:rFonts w:hint="eastAsia" w:ascii="仿宋" w:hAnsi="仿宋" w:eastAsia="仿宋" w:cs="仿宋"/>
          <w:b/>
          <w:bCs/>
          <w:sz w:val="28"/>
          <w:szCs w:val="28"/>
        </w:rPr>
        <w:t>修订变化对工程合同的影响与对策</w:t>
      </w:r>
    </w:p>
    <w:bookmarkEnd w:id="2"/>
    <w:bookmarkEnd w:id="3"/>
    <w:p w14:paraId="593D4322">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1.适用范围与清单法律性质</w:t>
      </w:r>
    </w:p>
    <w:p w14:paraId="0D88BECB">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2.术语的重要变化与影响</w:t>
      </w:r>
    </w:p>
    <w:p w14:paraId="5B671A3B">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3.计价方式与合同价格形式</w:t>
      </w:r>
    </w:p>
    <w:p w14:paraId="66733865">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4.计价风险与投标报价注意</w:t>
      </w:r>
    </w:p>
    <w:p w14:paraId="505E09EF">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5.清单漏错项风险与履约承担</w:t>
      </w:r>
    </w:p>
    <w:p w14:paraId="76749843">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6.变更估价与新增工程</w:t>
      </w:r>
    </w:p>
    <w:p w14:paraId="4D154833">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7.市场价格调整与法律变化</w:t>
      </w:r>
    </w:p>
    <w:p w14:paraId="25F7A50E">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8.期中付款与过程结算的约束力</w:t>
      </w:r>
    </w:p>
    <w:p w14:paraId="4260D684">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9.总包服务费的变化与应对</w:t>
      </w:r>
    </w:p>
    <w:p w14:paraId="76615131">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10.措施费的分类与变化应对</w:t>
      </w:r>
    </w:p>
    <w:p w14:paraId="7AB8F718">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11.再讲索赔的风险与应对</w:t>
      </w:r>
    </w:p>
    <w:p w14:paraId="03F9B609">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b/>
          <w:bCs/>
          <w:sz w:val="28"/>
          <w:szCs w:val="28"/>
        </w:rPr>
      </w:pPr>
      <w:r>
        <w:rPr>
          <w:rFonts w:hint="eastAsia" w:ascii="仿宋" w:hAnsi="仿宋" w:eastAsia="仿宋" w:cs="仿宋"/>
          <w:b/>
          <w:bCs/>
          <w:sz w:val="28"/>
          <w:szCs w:val="28"/>
        </w:rPr>
        <w:t xml:space="preserve">（四）2024版《建设工程工程量清单计价标准》模式全过程造价精细化管理 </w:t>
      </w:r>
    </w:p>
    <w:p w14:paraId="62A0B8DF">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1.招标中工程量清单编制常见错误及规避对策</w:t>
      </w:r>
    </w:p>
    <w:p w14:paraId="30AB80EE">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2.最高投标限价编制的原则及投标人投诉的对策</w:t>
      </w:r>
    </w:p>
    <w:p w14:paraId="1BDAAF5E">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3.招标文件与评标方法拟定技巧</w:t>
      </w:r>
    </w:p>
    <w:p w14:paraId="4D2EB4ED">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4.暂估材料单价和专业工程暂估价的招标建议</w:t>
      </w:r>
    </w:p>
    <w:p w14:paraId="41373FC4">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5.投标人投标报价策略及注意事项</w:t>
      </w:r>
    </w:p>
    <w:p w14:paraId="2E904F2D">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6.招投标阶段发包人注意事项</w:t>
      </w:r>
    </w:p>
    <w:p w14:paraId="62E5A2D3">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7.清单计价规范下招投标阶段评标流程及要点</w:t>
      </w:r>
    </w:p>
    <w:p w14:paraId="65BA69B4">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8.工程招标中标后的后续工作及合同交底要点</w:t>
      </w:r>
    </w:p>
    <w:p w14:paraId="500784C1">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9.合同约定环节造价精细化管控关键点操作</w:t>
      </w:r>
    </w:p>
    <w:p w14:paraId="68DD5FA4">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 xml:space="preserve">10.合同约定造价内容事项及发生争议的处理原则 </w:t>
      </w:r>
    </w:p>
    <w:p w14:paraId="6D55C690">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11.工程变更引发价款调整的计价技术</w:t>
      </w:r>
    </w:p>
    <w:p w14:paraId="1328A247">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12.索赔调整的计价技术</w:t>
      </w:r>
    </w:p>
    <w:p w14:paraId="3F8404BC">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13.现场签证调整计价</w:t>
      </w:r>
    </w:p>
    <w:p w14:paraId="6CD13E17">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14.导致措施项目费用调整的计价办法</w:t>
      </w:r>
    </w:p>
    <w:p w14:paraId="49598664">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15.工程结算管理</w:t>
      </w:r>
    </w:p>
    <w:p w14:paraId="2AA25B2A">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b/>
          <w:bCs/>
          <w:sz w:val="28"/>
          <w:szCs w:val="28"/>
        </w:rPr>
      </w:pPr>
      <w:r>
        <w:rPr>
          <w:rFonts w:hint="eastAsia" w:ascii="仿宋" w:hAnsi="仿宋" w:eastAsia="仿宋" w:cs="仿宋"/>
          <w:b/>
          <w:bCs/>
          <w:sz w:val="28"/>
          <w:szCs w:val="28"/>
        </w:rPr>
        <w:t>五、建设项目全过程造价管控与结算审计</w:t>
      </w:r>
    </w:p>
    <w:p w14:paraId="130FE55C">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1.招投标造价问题</w:t>
      </w:r>
    </w:p>
    <w:p w14:paraId="05CFB64C">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(1)固定单价合同，合同约定签证和一般变更不允许调整，投标单位应充分考虑在投标报价中，这条偏向于总价合同的条款，是否成立?</w:t>
      </w:r>
    </w:p>
    <w:p w14:paraId="4551B3E8">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(2)没有项目特征，没有单位，投标时只报一笔费用，如何结算？</w:t>
      </w:r>
    </w:p>
    <w:p w14:paraId="6A1C49BC">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(3)没有招投标手续的部分费用，如何结算？</w:t>
      </w:r>
    </w:p>
    <w:p w14:paraId="184DF8A0">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(4)如果增建合同签订约定为定额做依据，咨询方对于变更项单价的审核是否正确?如果可以采用原合同，单价又如何确定?</w:t>
      </w:r>
    </w:p>
    <w:p w14:paraId="44295A7C">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(5)投标存在不平衡报价，把不平衡报价部分重新调整计入是否合理?</w:t>
      </w:r>
    </w:p>
    <w:p w14:paraId="07A38CD1">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(6)图纸量少于招标量，如何结算？按总价合同结算还是按实际完成的图纸结算?</w:t>
      </w:r>
    </w:p>
    <w:p w14:paraId="3E3A5F7F">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(7)图纸没有，清单增列部分报高价了，如何处理？</w:t>
      </w:r>
    </w:p>
    <w:p w14:paraId="1DF331C8">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(8)图纸设计深度不够，在合同没有约定的情况下，新增的措施费应该按实计算还是按投标费率计取?</w:t>
      </w:r>
    </w:p>
    <w:p w14:paraId="445A7BC0">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(9)无投标的材料消耗量，如何调材料价差?</w:t>
      </w:r>
    </w:p>
    <w:p w14:paraId="3C5DDC07">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(10)招标材料无品牌要求，后甲方指定了品牌，如何调整？</w:t>
      </w:r>
    </w:p>
    <w:p w14:paraId="2F4E9867">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(11)招标策划有误，调减项目实施内容，如何处理？</w:t>
      </w:r>
    </w:p>
    <w:p w14:paraId="2B8EC609">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(12)招标控制价在评审过程中，遇到因业主或编制方原因造成清单漏项，但因时间紧迫业主不选择修改清单完善漏项清单的，在招标控制价和结算时该部分如何处理？需履行什么手续？</w:t>
      </w:r>
    </w:p>
    <w:p w14:paraId="0D2872BE">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(13)招标控制价早，工程一直迟迟未开工，各种原材料上涨，招标控制价又没有计取暂列金额，结算时应怎样解决？</w:t>
      </w:r>
    </w:p>
    <w:p w14:paraId="38897D75">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(14)招标清单漏项的专业工程暂估价费用，应该由哪一方来承担?</w:t>
      </w:r>
    </w:p>
    <w:p w14:paraId="16752CB1">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(15)招标文件规定，招标人不对限额清单准确性负责，限额清单的工程量为中标人必须完成的基本工程量，且总价包干,中标人承担除按合同约定进行调价外的一切风险，如何处理？</w:t>
      </w:r>
    </w:p>
    <w:p w14:paraId="53E66D99">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2.合同签订造价问题</w:t>
      </w:r>
    </w:p>
    <w:p w14:paraId="7256B14F">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(1)单价合同，合同约定变更组价采用清单单价，但相同项目特征，清单单价有高有低，如何处理？</w:t>
      </w:r>
    </w:p>
    <w:p w14:paraId="2563D5CB">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(2)单价合同，签合同时是否可以将报低的分部工程，单独约定为总价计价?</w:t>
      </w:r>
    </w:p>
    <w:p w14:paraId="191AFA4C">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(3)风险范围是否包括设计变更？</w:t>
      </w:r>
    </w:p>
    <w:p w14:paraId="109C504D">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(4)工程量清单存在错项、漏项，如何处理？</w:t>
      </w:r>
    </w:p>
    <w:p w14:paraId="420AAA48">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(5)工程量清单漏项与缺项有何不同？招标时措施项目清单漏项，结算时是否可以计取？</w:t>
      </w:r>
    </w:p>
    <w:p w14:paraId="73E8F3A2">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(6)甲方原因停工，乙方能获得什么赔偿？临建措施索赔依据？</w:t>
      </w:r>
    </w:p>
    <w:p w14:paraId="117D5C73">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(7)甲供材结算，投标报价的辅助材料费能否扣减？</w:t>
      </w:r>
    </w:p>
    <w:p w14:paraId="590ACFA7">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(8)甲供材扣除，是否算损耗量？</w:t>
      </w:r>
    </w:p>
    <w:p w14:paraId="3ED09A6A">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(9)为办理施工许可证，签署的空白施工合同，后期双方对于主要合同条款未达成共识，如何处理？</w:t>
      </w:r>
    </w:p>
    <w:p w14:paraId="5EC33509">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(10)为承包方入场施工创造条件，向承包方提供施工场地，清除障碍，与索赔？</w:t>
      </w:r>
    </w:p>
    <w:p w14:paraId="55860C86">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(11)增建工程尚未签订合同，双方口头约定计价依据暂参照原合同，如何处理？</w:t>
      </w:r>
    </w:p>
    <w:p w14:paraId="7814DD26">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(12)固定总价合同，后补充协议该为暂定价，金额与固定总价合同一致，结算审核能否全部按可调单价？</w:t>
      </w:r>
    </w:p>
    <w:p w14:paraId="0CFA4AC9">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(13)合同范围内，措施项目漏项，报价能否自行增加？</w:t>
      </w:r>
    </w:p>
    <w:p w14:paraId="6491CC5D">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(14)合同协议书、投标文件、合同专用条款等组成施工合同的文件内容不一致，如何处理？</w:t>
      </w:r>
    </w:p>
    <w:p w14:paraId="072E391D">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(15)清单特征描述为“见设计图纸”是否属于漏项？</w:t>
      </w:r>
    </w:p>
    <w:p w14:paraId="52D3BB8F">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3.履约造价问题</w:t>
      </w:r>
    </w:p>
    <w:p w14:paraId="2A47B059">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(1)措施费的计量单位为项，能否据实结算?</w:t>
      </w:r>
    </w:p>
    <w:p w14:paraId="6BEAB9D8">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(2)单方提出因工程质量问题，扣减工程量的做法是否合理？</w:t>
      </w:r>
    </w:p>
    <w:p w14:paraId="11D317B7">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(3)材料调价差，调差工程量，如何确定?</w:t>
      </w:r>
    </w:p>
    <w:p w14:paraId="30FDF4CE">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(4)材料调价差的风险范围？材料价差变化幅度的计算方式？调差材料的数量计算方式？价格调整方式？调差税金计取方式？</w:t>
      </w:r>
    </w:p>
    <w:p w14:paraId="6E1A9BB4">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(5)材料价格的认证一般采用的依据？当需要自行加工时，材料价格应如何认证？</w:t>
      </w:r>
    </w:p>
    <w:p w14:paraId="49D21AC7">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(6)二次深化设计费用，如何处理？</w:t>
      </w:r>
    </w:p>
    <w:p w14:paraId="48AEF8BD">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(7)不可抗力事件，如何补偿?</w:t>
      </w:r>
    </w:p>
    <w:p w14:paraId="36E2460A">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(8)不可预见的相关费用和风险，能否包干？</w:t>
      </w:r>
    </w:p>
    <w:p w14:paraId="2E92061F">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(9)解除协议后，产生的大量的租赁费及管理费，如何结算？能否可按竣工图结算?</w:t>
      </w:r>
    </w:p>
    <w:p w14:paraId="3BCF0BBA">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(10)进度款累计支付至合同额85%停止付款，是否包含变更签证？</w:t>
      </w:r>
    </w:p>
    <w:p w14:paraId="721C5ECB">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(11)经专家认证的高支模方案增加的费用是否可以按实计取?</w:t>
      </w:r>
    </w:p>
    <w:p w14:paraId="192669E0">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(12)如何主张甲方适用免责条款无效？</w:t>
      </w:r>
    </w:p>
    <w:p w14:paraId="377F59C8">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(13)为了抢工期，脚手架用量的增加，能否根据施工方案调整?怎样调整?</w:t>
      </w:r>
    </w:p>
    <w:p w14:paraId="7DA5D692">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(14)未按照国家现行计量规范强制性规定计量的费用，如何处理？</w:t>
      </w:r>
    </w:p>
    <w:p w14:paraId="5A584E11">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(15)未列入暂估价的专业工程，乙方会上报远高于市场价的价格，甲方对于价格是否有权干涉?</w:t>
      </w:r>
    </w:p>
    <w:p w14:paraId="2D74F9B8">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4.结算造价问题</w:t>
      </w:r>
    </w:p>
    <w:p w14:paraId="12A169DF">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(1)道路工程清表时，是否应考虑人机结合？</w:t>
      </w:r>
    </w:p>
    <w:p w14:paraId="2CBA428F">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(2)地勘报告出现错误时，清单项目特征如何调整？</w:t>
      </w:r>
    </w:p>
    <w:p w14:paraId="3BA2737C">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(3)低价中标部分，变更如何组价？</w:t>
      </w:r>
    </w:p>
    <w:p w14:paraId="3AB2688F">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(4)第三方清标后出的价格能否作为结算依据？</w:t>
      </w:r>
    </w:p>
    <w:p w14:paraId="1E080CB0">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 xml:space="preserve">(5)调整材料含量进行报价会不会导致废标? </w:t>
      </w:r>
    </w:p>
    <w:p w14:paraId="5EE50315">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(6)定额控制价，清单招标，电缆井中标包干价很低，变更后尺寸变小，项目特征改变，定额重新组价高，按中标价和尺寸比例扣减？</w:t>
      </w:r>
    </w:p>
    <w:p w14:paraId="48A541A8">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(7)对于管理费用的索赔，承包人应提供什么依据做费用核定的支撑?</w:t>
      </w:r>
    </w:p>
    <w:p w14:paraId="240BB5DA">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(8)对于价款增加部分工程，应如何处理才不违规?</w:t>
      </w:r>
    </w:p>
    <w:p w14:paraId="0FA8FA33">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(9)固定总价合同，招标图纸和竣工图纸之间的差异，是否调整或扣减工程造价？</w:t>
      </w:r>
    </w:p>
    <w:p w14:paraId="7BA2F6CA">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(10)合价包干的加固费，能否按实结算？</w:t>
      </w:r>
    </w:p>
    <w:p w14:paraId="7D72D348">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(11)合同解除，塔吊退场、劳务退场、分包退场、材料设备采购合同解约等，怎么处理?定制加工，但尚未交货的材料和钢结构，如何处理？</w:t>
      </w:r>
    </w:p>
    <w:p w14:paraId="05B4BA28">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(12)合同解除后，工程造价以固定总价为参照?还是可适用工程所在地定额计价?</w:t>
      </w:r>
    </w:p>
    <w:p w14:paraId="6AA64984">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(13)施工补充协议与备案的施工合同不一致，如何结算？</w:t>
      </w:r>
    </w:p>
    <w:p w14:paraId="1406F06E">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(14)施工合同与中标合同约定的工程价款不一致时是否构成黑白合同？</w:t>
      </w:r>
    </w:p>
    <w:p w14:paraId="1DBE3EBC">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(15)施工许可证未办理，施工方进场实施了少许前期工作，能否争取降效费？</w:t>
      </w:r>
    </w:p>
    <w:p w14:paraId="04C697EA">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5.结算审计与财政评审</w:t>
      </w:r>
    </w:p>
    <w:p w14:paraId="181BDA06">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(1)当对建设单位报送的招标控制价与结算进行评审时，发现报送单位报送的招标控制价与结算存在缺项、漏项及与清单描述与图纸不符时如何处理？</w:t>
      </w:r>
    </w:p>
    <w:p w14:paraId="223E6048">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(2)当结算金额超出百分之十时怎么解决，需要对建设单位出具什么手续？需要建设单位提供什么依据？</w:t>
      </w:r>
    </w:p>
    <w:p w14:paraId="07A5E18E">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(3)工程建设项目中的"建设工程其他费用"怎么进行评审，如：三通一平中土方工程？</w:t>
      </w:r>
    </w:p>
    <w:p w14:paraId="18335397">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(4)工程结算已提供竣工图纸、隐蔽验收记录，我方在评审时，这两项资料如果与现场相符，是否可以计取？</w:t>
      </w:r>
    </w:p>
    <w:p w14:paraId="02796561">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(5)合同约定以决算审核部门审核结果作为结算依据的，审核结果能否作为结算的依据？</w:t>
      </w:r>
    </w:p>
    <w:p w14:paraId="12662358">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(6)结算评审时，因施工单位报送清单工程量漏报，或项目单位工程漏报的，如何处理？如何鉴定漏项还是增加？是否有文件依据？</w:t>
      </w:r>
    </w:p>
    <w:p w14:paraId="7A14164D">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(7)结算审核，能否依据乙方提供的发票审减？</w:t>
      </w:r>
    </w:p>
    <w:p w14:paraId="3F252353">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(8)暂估价项目的“认价”性质分析:合同双方认定的价格审计可否再核减?</w:t>
      </w:r>
    </w:p>
    <w:p w14:paraId="27A6D364">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(9)合同价格中的竞争性费用不合理，审计能否“打开”合同进行核减?</w:t>
      </w:r>
    </w:p>
    <w:p w14:paraId="7FC574E9">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(10)“不平衡价格”下的结算争议与审计定性</w:t>
      </w:r>
    </w:p>
    <w:p w14:paraId="5B66200A">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(11)固定价格合同调价的审计风险与案例</w:t>
      </w:r>
    </w:p>
    <w:p w14:paraId="60332FA5">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(12)合同价格中的某些内容未发生，是“按实审计”还是“依约审计”?</w:t>
      </w:r>
    </w:p>
    <w:p w14:paraId="5A81CD55">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(13)合同中约定的“审计条款”，是“程序要求”还是“结论至上”？</w:t>
      </w:r>
    </w:p>
    <w:p w14:paraId="449A400C">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(14)合同价格中的某些内容未发生，是“按实审计”还是“依约审计”?</w:t>
      </w:r>
    </w:p>
    <w:p w14:paraId="7EE0854E">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sz w:val="28"/>
          <w:szCs w:val="28"/>
        </w:rPr>
      </w:pPr>
      <w:r>
        <w:rPr>
          <w:rFonts w:hint="eastAsia" w:ascii="仿宋" w:hAnsi="仿宋" w:eastAsia="仿宋" w:cs="仿宋"/>
          <w:sz w:val="28"/>
          <w:szCs w:val="28"/>
        </w:rPr>
        <w:t>(15)对承包人结算资料完整性的约束方法？承包人实际已施工，但首次报送结算资料不完整，过程多次提出补报要求？</w:t>
      </w:r>
    </w:p>
    <w:p w14:paraId="6C3DCD8E">
      <w:pPr>
        <w:keepNext w:val="0"/>
        <w:keepLines w:val="0"/>
        <w:pageBreakBefore w:val="0"/>
        <w:widowControl w:val="0"/>
        <w:kinsoku/>
        <w:wordWrap/>
        <w:overflowPunct/>
        <w:topLinePunct w:val="0"/>
        <w:autoSpaceDE/>
        <w:autoSpaceDN/>
        <w:bidi w:val="0"/>
        <w:adjustRightInd/>
        <w:snapToGrid/>
        <w:spacing w:line="520" w:lineRule="exact"/>
        <w:ind w:right="122"/>
        <w:textAlignment w:val="auto"/>
        <w:rPr>
          <w:rFonts w:ascii="仿宋" w:hAnsi="仿宋" w:eastAsia="仿宋" w:cs="仿宋"/>
          <w:b/>
          <w:bCs/>
          <w:sz w:val="28"/>
          <w:szCs w:val="28"/>
        </w:rPr>
      </w:pPr>
      <w:r>
        <w:rPr>
          <w:rFonts w:hint="eastAsia" w:ascii="仿宋" w:hAnsi="仿宋" w:eastAsia="仿宋" w:cs="仿宋"/>
          <w:b/>
          <w:bCs/>
          <w:sz w:val="28"/>
          <w:szCs w:val="28"/>
        </w:rPr>
        <w:t>二、培训对象</w:t>
      </w:r>
    </w:p>
    <w:p w14:paraId="776AFA00">
      <w:pPr>
        <w:keepNext w:val="0"/>
        <w:keepLines w:val="0"/>
        <w:pageBreakBefore w:val="0"/>
        <w:widowControl w:val="0"/>
        <w:kinsoku/>
        <w:wordWrap/>
        <w:overflowPunct/>
        <w:topLinePunct w:val="0"/>
        <w:autoSpaceDE/>
        <w:autoSpaceDN/>
        <w:bidi w:val="0"/>
        <w:adjustRightInd/>
        <w:snapToGrid/>
        <w:spacing w:line="520" w:lineRule="exact"/>
        <w:ind w:right="122" w:firstLine="560" w:firstLineChars="200"/>
        <w:textAlignment w:val="auto"/>
        <w:rPr>
          <w:rFonts w:ascii="仿宋" w:hAnsi="仿宋" w:eastAsia="仿宋" w:cs="仿宋"/>
          <w:sz w:val="28"/>
          <w:szCs w:val="28"/>
        </w:rPr>
      </w:pPr>
      <w:r>
        <w:rPr>
          <w:rFonts w:hint="eastAsia" w:ascii="仿宋" w:hAnsi="仿宋" w:eastAsia="仿宋" w:cs="仿宋"/>
          <w:sz w:val="28"/>
          <w:szCs w:val="28"/>
        </w:rPr>
        <w:t>建设行政主管部门、审计部门及建设工程相关行业协会负责人；建设业主单位及工程建设企业（工程承包、建筑施工、勘察设计、房地产开发、工程项目管理、工程监理、工程咨询、工程造价、招标代理等）总经理、总造价顾问、法务总监、总工程师，经营管理、项目管理、市场开发、商务谈判、招标投标、合同管理、成本管理、法律事务等中高级管理人员以及业务相关的直线经理人等；律师事务所律师；高等院校、科研机构有关人员等。</w:t>
      </w:r>
    </w:p>
    <w:p w14:paraId="02558CB2">
      <w:pPr>
        <w:keepNext w:val="0"/>
        <w:keepLines w:val="0"/>
        <w:pageBreakBefore w:val="0"/>
        <w:widowControl w:val="0"/>
        <w:kinsoku/>
        <w:wordWrap/>
        <w:overflowPunct/>
        <w:topLinePunct w:val="0"/>
        <w:autoSpaceDE/>
        <w:autoSpaceDN/>
        <w:bidi w:val="0"/>
        <w:adjustRightInd/>
        <w:snapToGrid/>
        <w:spacing w:line="520" w:lineRule="exact"/>
        <w:ind w:right="122"/>
        <w:textAlignment w:val="auto"/>
        <w:rPr>
          <w:rFonts w:ascii="仿宋" w:hAnsi="仿宋" w:eastAsia="仿宋" w:cs="仿宋"/>
          <w:b/>
          <w:bCs/>
          <w:kern w:val="0"/>
          <w:sz w:val="28"/>
          <w:szCs w:val="28"/>
        </w:rPr>
      </w:pPr>
      <w:r>
        <w:rPr>
          <w:rFonts w:hint="eastAsia" w:ascii="仿宋" w:hAnsi="仿宋" w:eastAsia="仿宋" w:cs="仿宋"/>
          <w:b/>
          <w:bCs/>
          <w:kern w:val="0"/>
          <w:sz w:val="28"/>
          <w:szCs w:val="28"/>
        </w:rPr>
        <w:t>三、邀请专家</w:t>
      </w:r>
    </w:p>
    <w:p w14:paraId="4693C7B2">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b/>
          <w:bCs/>
          <w:kern w:val="0"/>
          <w:sz w:val="28"/>
          <w:szCs w:val="28"/>
        </w:rPr>
      </w:pPr>
      <w:r>
        <w:rPr>
          <w:rFonts w:ascii="仿宋" w:hAnsi="仿宋" w:eastAsia="仿宋" w:cs="仿宋"/>
          <w:b/>
          <w:bCs/>
          <w:kern w:val="0"/>
          <w:sz w:val="28"/>
          <w:szCs w:val="28"/>
        </w:rPr>
        <w:t>贾宏俊</w:t>
      </w:r>
      <w:r>
        <w:rPr>
          <w:rFonts w:hint="eastAsia" w:ascii="仿宋" w:hAnsi="仿宋" w:eastAsia="仿宋" w:cs="仿宋"/>
          <w:b/>
          <w:bCs/>
          <w:kern w:val="0"/>
          <w:sz w:val="28"/>
          <w:szCs w:val="28"/>
        </w:rPr>
        <w:t>老师</w:t>
      </w:r>
    </w:p>
    <w:p w14:paraId="3F0A30EC">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kern w:val="0"/>
          <w:sz w:val="28"/>
          <w:szCs w:val="28"/>
        </w:rPr>
      </w:pPr>
      <w:r>
        <w:rPr>
          <w:rFonts w:hint="eastAsia" w:ascii="仿宋" w:hAnsi="仿宋" w:eastAsia="仿宋" w:cs="仿宋"/>
          <w:kern w:val="0"/>
          <w:sz w:val="28"/>
          <w:szCs w:val="28"/>
        </w:rPr>
        <w:t>贾老师，2024</w:t>
      </w:r>
      <w:r>
        <w:rPr>
          <w:rFonts w:ascii="仿宋" w:hAnsi="仿宋" w:eastAsia="仿宋" w:cs="仿宋"/>
          <w:kern w:val="0"/>
          <w:sz w:val="28"/>
          <w:szCs w:val="28"/>
        </w:rPr>
        <w:t>版《建设工程工程量清单计价标准》</w:t>
      </w:r>
      <w:r>
        <w:rPr>
          <w:rFonts w:hint="eastAsia" w:ascii="仿宋" w:hAnsi="仿宋" w:eastAsia="仿宋" w:cs="仿宋"/>
          <w:kern w:val="0"/>
          <w:sz w:val="28"/>
          <w:szCs w:val="28"/>
        </w:rPr>
        <w:t>审查</w:t>
      </w:r>
      <w:r>
        <w:rPr>
          <w:rFonts w:ascii="仿宋" w:hAnsi="仿宋" w:eastAsia="仿宋" w:cs="仿宋"/>
          <w:kern w:val="0"/>
          <w:sz w:val="28"/>
          <w:szCs w:val="28"/>
        </w:rPr>
        <w:t>专家组成员、中国工程项目管理委员会专家办公室副主任、住房和城乡建设部战略发展专家委员、中国建设工程造价管理协会专家委员</w:t>
      </w:r>
      <w:r>
        <w:rPr>
          <w:rFonts w:hint="eastAsia" w:ascii="仿宋" w:hAnsi="仿宋" w:eastAsia="仿宋" w:cs="仿宋"/>
          <w:kern w:val="0"/>
          <w:sz w:val="28"/>
          <w:szCs w:val="28"/>
        </w:rPr>
        <w:t>。</w:t>
      </w:r>
    </w:p>
    <w:p w14:paraId="04B9745F">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b/>
          <w:bCs/>
          <w:kern w:val="0"/>
          <w:sz w:val="28"/>
          <w:szCs w:val="28"/>
        </w:rPr>
      </w:pPr>
      <w:r>
        <w:rPr>
          <w:rFonts w:hint="eastAsia" w:ascii="仿宋" w:hAnsi="仿宋" w:eastAsia="仿宋" w:cs="仿宋"/>
          <w:b/>
          <w:bCs/>
          <w:kern w:val="0"/>
          <w:sz w:val="28"/>
          <w:szCs w:val="28"/>
        </w:rPr>
        <w:t>谭敬慧老师</w:t>
      </w:r>
    </w:p>
    <w:p w14:paraId="537CE53C">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kern w:val="0"/>
          <w:sz w:val="28"/>
          <w:szCs w:val="28"/>
        </w:rPr>
      </w:pPr>
      <w:r>
        <w:rPr>
          <w:rFonts w:hint="eastAsia" w:ascii="仿宋" w:hAnsi="仿宋" w:eastAsia="仿宋" w:cs="仿宋"/>
          <w:kern w:val="0"/>
          <w:sz w:val="28"/>
          <w:szCs w:val="28"/>
        </w:rPr>
        <w:t>谭老师，2024版《建设工程工程量清单计价标准》起草组专家成员；</w:t>
      </w:r>
      <w:r>
        <w:rPr>
          <w:rFonts w:ascii="仿宋" w:hAnsi="仿宋" w:eastAsia="仿宋" w:cs="仿宋"/>
          <w:kern w:val="0"/>
          <w:sz w:val="28"/>
          <w:szCs w:val="28"/>
        </w:rPr>
        <w:t>住房和城乡建设部</w:t>
      </w:r>
      <w:r>
        <w:rPr>
          <w:rFonts w:hint="eastAsia" w:ascii="仿宋" w:hAnsi="仿宋" w:eastAsia="仿宋" w:cs="仿宋"/>
          <w:kern w:val="0"/>
          <w:sz w:val="28"/>
          <w:szCs w:val="28"/>
        </w:rPr>
        <w:t>法律顾问、国家发改委和财政部PPP双库专家；《民法典》、《建筑法》、《招标投标法》立法专家；贸仲、北仲等全国多家机构仲裁员；北京市君都律师事务所主任。</w:t>
      </w:r>
    </w:p>
    <w:p w14:paraId="0D454D46">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b/>
          <w:bCs/>
          <w:kern w:val="0"/>
          <w:sz w:val="28"/>
          <w:szCs w:val="28"/>
        </w:rPr>
      </w:pPr>
      <w:r>
        <w:rPr>
          <w:rFonts w:hint="eastAsia" w:ascii="仿宋" w:hAnsi="仿宋" w:eastAsia="仿宋" w:cs="仿宋"/>
          <w:b/>
          <w:bCs/>
          <w:kern w:val="0"/>
          <w:sz w:val="28"/>
          <w:szCs w:val="28"/>
        </w:rPr>
        <w:t>刘雷老师</w:t>
      </w:r>
    </w:p>
    <w:p w14:paraId="4EB27841">
      <w:pPr>
        <w:keepNext w:val="0"/>
        <w:keepLines w:val="0"/>
        <w:pageBreakBefore w:val="0"/>
        <w:widowControl w:val="0"/>
        <w:kinsoku/>
        <w:wordWrap/>
        <w:overflowPunct/>
        <w:topLinePunct w:val="0"/>
        <w:autoSpaceDE/>
        <w:autoSpaceDN/>
        <w:bidi w:val="0"/>
        <w:adjustRightInd/>
        <w:snapToGrid/>
        <w:spacing w:line="520" w:lineRule="exact"/>
        <w:ind w:right="122" w:firstLine="560"/>
        <w:textAlignment w:val="auto"/>
        <w:rPr>
          <w:rFonts w:ascii="仿宋" w:hAnsi="仿宋" w:eastAsia="仿宋" w:cs="仿宋"/>
          <w:kern w:val="0"/>
          <w:sz w:val="28"/>
          <w:szCs w:val="28"/>
        </w:rPr>
      </w:pPr>
      <w:r>
        <w:rPr>
          <w:rFonts w:hint="eastAsia" w:ascii="仿宋" w:hAnsi="仿宋" w:eastAsia="仿宋" w:cs="仿宋"/>
          <w:kern w:val="0"/>
          <w:sz w:val="28"/>
          <w:szCs w:val="28"/>
        </w:rPr>
        <w:t>刘老师，南京审计大学工程管理学院造价管理系（江苏省公共工程审计重点实验室），副教授，博士。</w:t>
      </w:r>
      <w:r>
        <w:rPr>
          <w:rFonts w:ascii="仿宋" w:hAnsi="仿宋" w:eastAsia="仿宋" w:cs="仿宋"/>
          <w:kern w:val="0"/>
          <w:sz w:val="28"/>
          <w:szCs w:val="28"/>
        </w:rPr>
        <w:t>主要从事工程管理、EPC工程总承包、造价管理与审计等方面的研究，长期担任国家审计机关、政府机构、大型国有企业“工程总承包及EPC项目管理、建设工程招投标与合同管理、建设工程造价与审计课程”的主讲专家，授课内容详实，理论深厚，而且善于调动学员积极性，通过发问、启发、学生参与等多种形式互动，授课效果非常好，深受广大学员喜欢。</w:t>
      </w:r>
    </w:p>
    <w:p w14:paraId="43E820F9">
      <w:pPr>
        <w:keepNext w:val="0"/>
        <w:keepLines w:val="0"/>
        <w:pageBreakBefore w:val="0"/>
        <w:widowControl w:val="0"/>
        <w:kinsoku/>
        <w:wordWrap/>
        <w:overflowPunct/>
        <w:topLinePunct w:val="0"/>
        <w:autoSpaceDE/>
        <w:autoSpaceDN/>
        <w:bidi w:val="0"/>
        <w:adjustRightInd/>
        <w:snapToGrid/>
        <w:spacing w:line="520" w:lineRule="exact"/>
        <w:ind w:right="122"/>
        <w:textAlignment w:val="auto"/>
        <w:rPr>
          <w:rFonts w:ascii="仿宋" w:hAnsi="仿宋" w:eastAsia="仿宋" w:cs="仿宋"/>
          <w:b/>
          <w:bCs/>
          <w:kern w:val="0"/>
          <w:sz w:val="28"/>
          <w:szCs w:val="28"/>
        </w:rPr>
      </w:pPr>
      <w:r>
        <w:rPr>
          <w:rFonts w:hint="eastAsia" w:ascii="仿宋" w:hAnsi="仿宋" w:eastAsia="仿宋" w:cs="仿宋"/>
          <w:b/>
          <w:bCs/>
          <w:kern w:val="0"/>
          <w:sz w:val="28"/>
          <w:szCs w:val="28"/>
        </w:rPr>
        <w:t>四、时间地点</w:t>
      </w:r>
    </w:p>
    <w:p w14:paraId="0787A727">
      <w:pPr>
        <w:keepNext w:val="0"/>
        <w:keepLines w:val="0"/>
        <w:pageBreakBefore w:val="0"/>
        <w:widowControl w:val="0"/>
        <w:kinsoku/>
        <w:wordWrap/>
        <w:overflowPunct/>
        <w:topLinePunct w:val="0"/>
        <w:autoSpaceDE/>
        <w:autoSpaceDN/>
        <w:bidi w:val="0"/>
        <w:adjustRightInd/>
        <w:snapToGrid/>
        <w:spacing w:line="520" w:lineRule="exact"/>
        <w:ind w:right="122"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2025年2月27日-3月</w:t>
      </w:r>
      <w:r>
        <w:rPr>
          <w:rFonts w:hint="eastAsia" w:ascii="仿宋" w:hAnsi="仿宋" w:eastAsia="仿宋" w:cs="Times New Roman"/>
          <w:sz w:val="28"/>
          <w:szCs w:val="28"/>
          <w:lang w:val="en-US" w:eastAsia="zh-CN"/>
        </w:rPr>
        <w:t>0</w:t>
      </w:r>
      <w:r>
        <w:rPr>
          <w:rFonts w:hint="eastAsia" w:ascii="仿宋" w:hAnsi="仿宋" w:eastAsia="仿宋" w:cs="Times New Roman"/>
          <w:sz w:val="28"/>
          <w:szCs w:val="28"/>
        </w:rPr>
        <w:t xml:space="preserve">3日（27日全天报到） </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上海市</w:t>
      </w:r>
    </w:p>
    <w:p w14:paraId="25E4EB2D">
      <w:pPr>
        <w:keepNext w:val="0"/>
        <w:keepLines w:val="0"/>
        <w:pageBreakBefore w:val="0"/>
        <w:widowControl w:val="0"/>
        <w:kinsoku/>
        <w:wordWrap/>
        <w:overflowPunct/>
        <w:topLinePunct w:val="0"/>
        <w:autoSpaceDE/>
        <w:autoSpaceDN/>
        <w:bidi w:val="0"/>
        <w:adjustRightInd/>
        <w:snapToGrid/>
        <w:spacing w:line="520" w:lineRule="exact"/>
        <w:ind w:right="122"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2025年3月26日-3月30日（26日全天报到）  广州市</w:t>
      </w:r>
    </w:p>
    <w:p w14:paraId="0E79334B">
      <w:pPr>
        <w:keepNext w:val="0"/>
        <w:keepLines w:val="0"/>
        <w:pageBreakBefore w:val="0"/>
        <w:widowControl w:val="0"/>
        <w:kinsoku/>
        <w:wordWrap/>
        <w:overflowPunct/>
        <w:topLinePunct w:val="0"/>
        <w:autoSpaceDE/>
        <w:autoSpaceDN/>
        <w:bidi w:val="0"/>
        <w:adjustRightInd/>
        <w:snapToGrid/>
        <w:spacing w:line="520" w:lineRule="exact"/>
        <w:ind w:right="122"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2025年4月17日-4月21日（17日</w:t>
      </w:r>
      <w:r>
        <w:rPr>
          <w:rFonts w:hint="eastAsia" w:ascii="仿宋" w:hAnsi="仿宋" w:eastAsia="仿宋" w:cs="Times New Roman"/>
          <w:sz w:val="28"/>
          <w:szCs w:val="28"/>
          <w:lang w:val="en-US" w:eastAsia="zh-CN"/>
        </w:rPr>
        <w:t>全天报到</w:t>
      </w:r>
      <w:r>
        <w:rPr>
          <w:rFonts w:hint="eastAsia" w:ascii="仿宋" w:hAnsi="仿宋" w:eastAsia="仿宋" w:cs="Times New Roman"/>
          <w:sz w:val="28"/>
          <w:szCs w:val="28"/>
        </w:rPr>
        <w:t>）  成都市</w:t>
      </w:r>
    </w:p>
    <w:p w14:paraId="63FC7D45">
      <w:pPr>
        <w:keepNext w:val="0"/>
        <w:keepLines w:val="0"/>
        <w:pageBreakBefore w:val="0"/>
        <w:widowControl w:val="0"/>
        <w:kinsoku/>
        <w:wordWrap/>
        <w:overflowPunct/>
        <w:topLinePunct w:val="0"/>
        <w:autoSpaceDE/>
        <w:autoSpaceDN/>
        <w:bidi w:val="0"/>
        <w:adjustRightInd/>
        <w:snapToGrid/>
        <w:spacing w:line="520" w:lineRule="exact"/>
        <w:ind w:right="122"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2025年4月23日-4月27日（23日全天报到）  乌鲁木齐市</w:t>
      </w:r>
    </w:p>
    <w:p w14:paraId="06FD70F0">
      <w:pPr>
        <w:keepNext w:val="0"/>
        <w:keepLines w:val="0"/>
        <w:pageBreakBefore w:val="0"/>
        <w:widowControl w:val="0"/>
        <w:kinsoku/>
        <w:wordWrap/>
        <w:overflowPunct/>
        <w:topLinePunct w:val="0"/>
        <w:autoSpaceDE/>
        <w:autoSpaceDN/>
        <w:bidi w:val="0"/>
        <w:adjustRightInd/>
        <w:snapToGrid/>
        <w:spacing w:line="520" w:lineRule="exact"/>
        <w:ind w:right="122"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2025年5月14日-5月18日（14日全天报到）  厦门市</w:t>
      </w:r>
    </w:p>
    <w:p w14:paraId="2C974017">
      <w:pPr>
        <w:keepNext w:val="0"/>
        <w:keepLines w:val="0"/>
        <w:pageBreakBefore w:val="0"/>
        <w:widowControl w:val="0"/>
        <w:kinsoku/>
        <w:wordWrap/>
        <w:overflowPunct/>
        <w:topLinePunct w:val="0"/>
        <w:autoSpaceDE/>
        <w:autoSpaceDN/>
        <w:bidi w:val="0"/>
        <w:adjustRightInd/>
        <w:snapToGrid/>
        <w:spacing w:line="520" w:lineRule="exact"/>
        <w:ind w:right="122"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2025年5月22日-5月26日（22日全天报到）  昆明市</w:t>
      </w:r>
    </w:p>
    <w:p w14:paraId="0D361290">
      <w:pPr>
        <w:keepNext w:val="0"/>
        <w:keepLines w:val="0"/>
        <w:pageBreakBefore w:val="0"/>
        <w:widowControl w:val="0"/>
        <w:kinsoku/>
        <w:wordWrap/>
        <w:overflowPunct/>
        <w:topLinePunct w:val="0"/>
        <w:autoSpaceDE/>
        <w:autoSpaceDN/>
        <w:bidi w:val="0"/>
        <w:adjustRightInd/>
        <w:snapToGrid/>
        <w:spacing w:line="520" w:lineRule="exact"/>
        <w:ind w:right="122"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2025年6月25日-6月29日（25日全天报到）  贵阳市</w:t>
      </w:r>
    </w:p>
    <w:p w14:paraId="3D55997A">
      <w:pPr>
        <w:keepNext w:val="0"/>
        <w:keepLines w:val="0"/>
        <w:pageBreakBefore w:val="0"/>
        <w:widowControl w:val="0"/>
        <w:kinsoku/>
        <w:wordWrap/>
        <w:overflowPunct/>
        <w:topLinePunct w:val="0"/>
        <w:autoSpaceDE/>
        <w:autoSpaceDN/>
        <w:bidi w:val="0"/>
        <w:adjustRightInd/>
        <w:snapToGrid/>
        <w:spacing w:line="520" w:lineRule="exact"/>
        <w:ind w:right="122"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2025年7月23日-7月27日（23日全天报到）  拉萨市</w:t>
      </w:r>
    </w:p>
    <w:p w14:paraId="58216B9C">
      <w:pPr>
        <w:keepNext w:val="0"/>
        <w:keepLines w:val="0"/>
        <w:pageBreakBefore w:val="0"/>
        <w:widowControl w:val="0"/>
        <w:kinsoku/>
        <w:wordWrap/>
        <w:overflowPunct/>
        <w:topLinePunct w:val="0"/>
        <w:autoSpaceDE/>
        <w:autoSpaceDN/>
        <w:bidi w:val="0"/>
        <w:adjustRightInd/>
        <w:snapToGrid/>
        <w:spacing w:line="520" w:lineRule="exact"/>
        <w:ind w:right="122"/>
        <w:textAlignment w:val="auto"/>
        <w:rPr>
          <w:rFonts w:ascii="仿宋" w:hAnsi="仿宋" w:eastAsia="仿宋" w:cs="仿宋"/>
          <w:b/>
          <w:bCs/>
          <w:kern w:val="0"/>
          <w:sz w:val="28"/>
          <w:szCs w:val="28"/>
        </w:rPr>
      </w:pPr>
      <w:r>
        <w:rPr>
          <w:rFonts w:hint="eastAsia" w:ascii="仿宋" w:hAnsi="仿宋" w:eastAsia="仿宋" w:cs="仿宋"/>
          <w:b/>
          <w:bCs/>
          <w:kern w:val="0"/>
          <w:sz w:val="28"/>
          <w:szCs w:val="28"/>
        </w:rPr>
        <w:t>五、相关费用</w:t>
      </w:r>
    </w:p>
    <w:p w14:paraId="5E8A81CB">
      <w:pPr>
        <w:keepNext w:val="0"/>
        <w:keepLines w:val="0"/>
        <w:pageBreakBefore w:val="0"/>
        <w:widowControl w:val="0"/>
        <w:kinsoku/>
        <w:wordWrap/>
        <w:overflowPunct/>
        <w:topLinePunct w:val="0"/>
        <w:autoSpaceDE/>
        <w:autoSpaceDN/>
        <w:bidi w:val="0"/>
        <w:adjustRightInd/>
        <w:snapToGrid/>
        <w:spacing w:line="520" w:lineRule="exact"/>
        <w:ind w:right="122"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A</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3600元/人（含培训费、场地费、资料费、专家、结业证书、会议期间午餐等），住宿统一安排，费用自理。</w:t>
      </w:r>
    </w:p>
    <w:p w14:paraId="7683EA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22" w:rightChars="0" w:firstLine="560" w:firstLineChars="200"/>
        <w:textAlignment w:val="auto"/>
        <w:rPr>
          <w:rFonts w:hint="eastAsia" w:ascii="仿宋" w:hAnsi="仿宋" w:eastAsia="仿宋" w:cs="仿宋"/>
          <w:b/>
          <w:bCs/>
          <w:color w:val="0000FF"/>
          <w:kern w:val="0"/>
          <w:sz w:val="28"/>
          <w:szCs w:val="28"/>
        </w:rPr>
      </w:pPr>
      <w:r>
        <w:rPr>
          <w:rFonts w:hint="eastAsia" w:ascii="仿宋" w:hAnsi="仿宋" w:eastAsia="仿宋" w:cs="仿宋"/>
          <w:kern w:val="0"/>
          <w:sz w:val="28"/>
          <w:szCs w:val="28"/>
          <w:lang w:val="en-US" w:eastAsia="zh-CN"/>
        </w:rPr>
        <w:t>B.</w:t>
      </w:r>
      <w:r>
        <w:rPr>
          <w:rFonts w:hint="eastAsia" w:ascii="仿宋" w:hAnsi="仿宋" w:eastAsia="仿宋" w:cs="仿宋"/>
          <w:kern w:val="0"/>
          <w:sz w:val="28"/>
          <w:szCs w:val="28"/>
        </w:rPr>
        <w:t>以上内容线下参会，不限人数：50000元/单位</w:t>
      </w:r>
      <w:r>
        <w:rPr>
          <w:rFonts w:hint="eastAsia" w:ascii="仿宋" w:hAnsi="仿宋" w:eastAsia="仿宋" w:cs="仿宋"/>
          <w:kern w:val="0"/>
          <w:sz w:val="28"/>
          <w:szCs w:val="28"/>
          <w:lang w:eastAsia="zh-CN"/>
        </w:rPr>
        <w:t>。</w:t>
      </w:r>
    </w:p>
    <w:p w14:paraId="5B99E543">
      <w:pPr>
        <w:keepNext w:val="0"/>
        <w:keepLines w:val="0"/>
        <w:pageBreakBefore w:val="0"/>
        <w:widowControl w:val="0"/>
        <w:kinsoku/>
        <w:wordWrap/>
        <w:overflowPunct/>
        <w:topLinePunct w:val="0"/>
        <w:autoSpaceDE/>
        <w:autoSpaceDN/>
        <w:bidi w:val="0"/>
        <w:adjustRightInd/>
        <w:snapToGrid/>
        <w:spacing w:line="520" w:lineRule="exact"/>
        <w:ind w:right="122"/>
        <w:textAlignment w:val="auto"/>
        <w:rPr>
          <w:rFonts w:ascii="仿宋" w:hAnsi="仿宋" w:eastAsia="仿宋" w:cs="仿宋"/>
          <w:b/>
          <w:bCs/>
          <w:kern w:val="0"/>
          <w:sz w:val="28"/>
          <w:szCs w:val="28"/>
        </w:rPr>
      </w:pPr>
      <w:r>
        <w:rPr>
          <w:rFonts w:hint="eastAsia" w:ascii="宋体" w:hAnsi="宋体" w:eastAsia="宋体" w:cs="仿宋"/>
          <w:sz w:val="24"/>
          <w:szCs w:val="24"/>
          <w:lang w:eastAsia="zh-CN"/>
        </w:rPr>
        <w:drawing>
          <wp:anchor distT="0" distB="0" distL="114300" distR="114300" simplePos="0" relativeHeight="251661312" behindDoc="1" locked="0" layoutInCell="1" allowOverlap="1">
            <wp:simplePos x="0" y="0"/>
            <wp:positionH relativeFrom="column">
              <wp:posOffset>4015740</wp:posOffset>
            </wp:positionH>
            <wp:positionV relativeFrom="paragraph">
              <wp:posOffset>193040</wp:posOffset>
            </wp:positionV>
            <wp:extent cx="1537970" cy="1529715"/>
            <wp:effectExtent l="0" t="0" r="5080" b="13335"/>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tretch>
                      <a:fillRect/>
                    </a:stretch>
                  </pic:blipFill>
                  <pic:spPr>
                    <a:xfrm>
                      <a:off x="0" y="0"/>
                      <a:ext cx="1537970" cy="1529715"/>
                    </a:xfrm>
                    <a:prstGeom prst="rect">
                      <a:avLst/>
                    </a:prstGeom>
                    <a:noFill/>
                    <a:ln>
                      <a:noFill/>
                    </a:ln>
                  </pic:spPr>
                </pic:pic>
              </a:graphicData>
            </a:graphic>
          </wp:anchor>
        </w:drawing>
      </w:r>
      <w:r>
        <w:rPr>
          <w:rFonts w:hint="eastAsia" w:ascii="仿宋" w:hAnsi="仿宋" w:eastAsia="仿宋" w:cs="仿宋"/>
          <w:b/>
          <w:bCs/>
          <w:kern w:val="0"/>
          <w:sz w:val="28"/>
          <w:szCs w:val="28"/>
        </w:rPr>
        <w:t>六、报名办法</w:t>
      </w:r>
    </w:p>
    <w:p w14:paraId="7C373098">
      <w:pPr>
        <w:keepNext w:val="0"/>
        <w:keepLines w:val="0"/>
        <w:pageBreakBefore w:val="0"/>
        <w:widowControl w:val="0"/>
        <w:kinsoku/>
        <w:wordWrap/>
        <w:overflowPunct/>
        <w:topLinePunct w:val="0"/>
        <w:autoSpaceDE/>
        <w:autoSpaceDN/>
        <w:bidi w:val="0"/>
        <w:adjustRightInd/>
        <w:snapToGrid/>
        <w:spacing w:line="520" w:lineRule="exact"/>
        <w:ind w:right="122"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报名负责人：聂红军 主任18211071700（微信）   </w:t>
      </w:r>
    </w:p>
    <w:p w14:paraId="3AA900E3">
      <w:pPr>
        <w:keepNext w:val="0"/>
        <w:keepLines w:val="0"/>
        <w:pageBreakBefore w:val="0"/>
        <w:widowControl w:val="0"/>
        <w:kinsoku/>
        <w:wordWrap/>
        <w:overflowPunct/>
        <w:topLinePunct w:val="0"/>
        <w:autoSpaceDE/>
        <w:autoSpaceDN/>
        <w:bidi w:val="0"/>
        <w:adjustRightInd/>
        <w:snapToGrid/>
        <w:spacing w:line="520" w:lineRule="exact"/>
        <w:ind w:right="122"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电    话：13141289128        邮    箱：zqgphwz@126.com  </w:t>
      </w:r>
    </w:p>
    <w:p w14:paraId="1385FAB4">
      <w:pPr>
        <w:keepNext w:val="0"/>
        <w:keepLines w:val="0"/>
        <w:pageBreakBefore w:val="0"/>
        <w:widowControl w:val="0"/>
        <w:kinsoku/>
        <w:wordWrap/>
        <w:overflowPunct/>
        <w:topLinePunct w:val="0"/>
        <w:autoSpaceDE/>
        <w:autoSpaceDN/>
        <w:bidi w:val="0"/>
        <w:adjustRightInd/>
        <w:snapToGrid/>
        <w:spacing w:line="520" w:lineRule="exact"/>
        <w:ind w:right="122" w:firstLine="560" w:firstLineChars="200"/>
        <w:textAlignment w:val="auto"/>
        <w:rPr>
          <w:rFonts w:ascii="仿宋" w:hAnsi="仿宋" w:eastAsia="仿宋" w:cs="仿宋"/>
          <w:b/>
          <w:bCs/>
          <w:kern w:val="0"/>
          <w:sz w:val="28"/>
          <w:szCs w:val="28"/>
        </w:rPr>
      </w:pPr>
      <w:r>
        <w:rPr>
          <w:rFonts w:hint="eastAsia" w:ascii="仿宋" w:hAnsi="仿宋" w:eastAsia="仿宋" w:cs="仿宋"/>
          <w:kern w:val="0"/>
          <w:sz w:val="28"/>
          <w:szCs w:val="28"/>
        </w:rPr>
        <w:t>qq咨询：3177524020          网    址：http://www.zqgpchina.cn</w:t>
      </w:r>
      <w:r>
        <w:rPr>
          <w:rFonts w:hint="eastAsia" w:ascii="仿宋" w:hAnsi="仿宋" w:eastAsia="仿宋" w:cs="仿宋"/>
          <w:b/>
          <w:bCs/>
          <w:kern w:val="0"/>
          <w:sz w:val="28"/>
          <w:szCs w:val="28"/>
        </w:rPr>
        <w:t xml:space="preserve">    </w:t>
      </w:r>
    </w:p>
    <w:p w14:paraId="4C0A18CF">
      <w:pPr>
        <w:keepNext w:val="0"/>
        <w:keepLines w:val="0"/>
        <w:pageBreakBefore w:val="0"/>
        <w:widowControl w:val="0"/>
        <w:kinsoku/>
        <w:wordWrap/>
        <w:overflowPunct/>
        <w:topLinePunct w:val="0"/>
        <w:autoSpaceDE/>
        <w:autoSpaceDN/>
        <w:bidi w:val="0"/>
        <w:adjustRightInd/>
        <w:snapToGrid/>
        <w:spacing w:line="520" w:lineRule="exact"/>
        <w:ind w:right="122" w:firstLine="562" w:firstLineChars="200"/>
        <w:jc w:val="center"/>
        <w:textAlignment w:val="auto"/>
        <w:rPr>
          <w:rFonts w:ascii="仿宋" w:hAnsi="仿宋" w:eastAsia="仿宋" w:cs="仿宋"/>
          <w:kern w:val="0"/>
          <w:sz w:val="28"/>
          <w:szCs w:val="28"/>
        </w:rPr>
      </w:pPr>
      <w:r>
        <w:rPr>
          <w:rFonts w:hint="eastAsia" w:ascii="仿宋" w:hAnsi="仿宋" w:eastAsia="仿宋" w:cs="仿宋"/>
          <w:b/>
          <w:bCs/>
          <w:kern w:val="0"/>
          <w:sz w:val="28"/>
          <w:szCs w:val="28"/>
        </w:rPr>
        <w:t xml:space="preserve">           </w:t>
      </w:r>
      <w:r>
        <w:rPr>
          <w:rFonts w:hint="eastAsia" w:ascii="仿宋" w:hAnsi="仿宋" w:eastAsia="仿宋" w:cs="仿宋"/>
          <w:b/>
          <w:bCs/>
          <w:kern w:val="0"/>
          <w:sz w:val="28"/>
          <w:szCs w:val="28"/>
          <w:lang w:val="en-US" w:eastAsia="zh-CN"/>
        </w:rPr>
        <w:t xml:space="preserve">                        </w:t>
      </w:r>
      <w:r>
        <w:rPr>
          <w:rFonts w:hint="eastAsia" w:ascii="仿宋" w:hAnsi="仿宋" w:eastAsia="仿宋" w:cs="仿宋"/>
          <w:kern w:val="0"/>
          <w:sz w:val="28"/>
          <w:szCs w:val="28"/>
        </w:rPr>
        <w:t>中国国际工程咨询协会</w:t>
      </w:r>
    </w:p>
    <w:p w14:paraId="0AE7EE64">
      <w:pPr>
        <w:keepNext w:val="0"/>
        <w:keepLines w:val="0"/>
        <w:pageBreakBefore w:val="0"/>
        <w:widowControl w:val="0"/>
        <w:kinsoku/>
        <w:wordWrap/>
        <w:overflowPunct/>
        <w:topLinePunct w:val="0"/>
        <w:autoSpaceDE/>
        <w:autoSpaceDN/>
        <w:bidi w:val="0"/>
        <w:adjustRightInd/>
        <w:snapToGrid/>
        <w:spacing w:line="520" w:lineRule="exact"/>
        <w:ind w:right="122" w:firstLine="562" w:firstLineChars="200"/>
        <w:jc w:val="center"/>
        <w:textAlignment w:val="auto"/>
        <w:rPr>
          <w:rFonts w:ascii="仿宋" w:hAnsi="仿宋" w:eastAsia="仿宋" w:cs="仿宋"/>
          <w:kern w:val="0"/>
          <w:sz w:val="28"/>
          <w:szCs w:val="28"/>
        </w:rPr>
      </w:pPr>
      <w:r>
        <w:rPr>
          <w:rFonts w:hint="eastAsia" w:ascii="仿宋" w:hAnsi="仿宋" w:eastAsia="仿宋" w:cs="仿宋"/>
          <w:b/>
          <w:bCs/>
          <w:kern w:val="0"/>
          <w:sz w:val="28"/>
          <w:szCs w:val="28"/>
        </w:rPr>
        <w:t xml:space="preserve">   </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二零二五年一月十五</w:t>
      </w:r>
      <w:r>
        <w:rPr>
          <w:rFonts w:hint="eastAsia" w:ascii="仿宋" w:hAnsi="仿宋" w:eastAsia="仿宋" w:cs="仿宋"/>
          <w:kern w:val="0"/>
          <w:sz w:val="28"/>
          <w:szCs w:val="28"/>
          <w:lang w:val="en-US" w:eastAsia="zh-CN"/>
        </w:rPr>
        <w:t>日</w:t>
      </w:r>
      <w:r>
        <w:rPr>
          <w:rFonts w:hint="eastAsia" w:ascii="仿宋" w:hAnsi="仿宋" w:eastAsia="仿宋" w:cs="仿宋"/>
          <w:b/>
          <w:bCs/>
          <w:kern w:val="0"/>
          <w:sz w:val="28"/>
          <w:szCs w:val="28"/>
        </w:rPr>
        <w:t xml:space="preserve">                      </w:t>
      </w:r>
    </w:p>
    <w:p w14:paraId="1A553F25">
      <w:pPr>
        <w:spacing w:line="400" w:lineRule="exact"/>
        <w:ind w:right="80" w:rightChars="38"/>
        <w:rPr>
          <w:rFonts w:ascii="黑体" w:hAnsi="黑体" w:eastAsia="黑体" w:cs="Arial"/>
          <w:color w:val="000000"/>
          <w:sz w:val="32"/>
          <w:szCs w:val="32"/>
        </w:rPr>
      </w:pPr>
      <w:r>
        <w:rPr>
          <w:rFonts w:hint="eastAsia" w:ascii="黑体" w:hAnsi="黑体" w:eastAsia="黑体" w:cs="Arial"/>
          <w:color w:val="000000"/>
          <w:sz w:val="32"/>
          <w:szCs w:val="32"/>
        </w:rPr>
        <w:t>附件：</w:t>
      </w:r>
    </w:p>
    <w:p w14:paraId="3884D59B">
      <w:pPr>
        <w:keepNext w:val="0"/>
        <w:keepLines w:val="0"/>
        <w:pageBreakBefore w:val="0"/>
        <w:widowControl w:val="0"/>
        <w:kinsoku/>
        <w:wordWrap/>
        <w:overflowPunct/>
        <w:topLinePunct w:val="0"/>
        <w:autoSpaceDE/>
        <w:autoSpaceDN/>
        <w:bidi w:val="0"/>
        <w:adjustRightInd/>
        <w:snapToGrid/>
        <w:spacing w:line="520" w:lineRule="exact"/>
        <w:ind w:left="638" w:leftChars="304" w:right="122" w:firstLine="0" w:firstLineChars="0"/>
        <w:jc w:val="center"/>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rPr>
        <w:t>《建设工程工程量清单计价标准》</w:t>
      </w:r>
      <w:r>
        <w:rPr>
          <w:rFonts w:hint="eastAsia" w:ascii="仿宋" w:hAnsi="仿宋" w:eastAsia="仿宋" w:cs="仿宋"/>
          <w:b/>
          <w:bCs/>
          <w:kern w:val="0"/>
          <w:sz w:val="32"/>
          <w:szCs w:val="32"/>
          <w:lang w:val="en-US" w:eastAsia="zh-CN"/>
        </w:rPr>
        <w:t>(</w:t>
      </w:r>
      <w:r>
        <w:rPr>
          <w:rFonts w:hint="eastAsia" w:ascii="仿宋" w:hAnsi="仿宋" w:eastAsia="仿宋" w:cs="仿宋"/>
          <w:b/>
          <w:bCs/>
          <w:kern w:val="0"/>
          <w:sz w:val="32"/>
          <w:szCs w:val="32"/>
        </w:rPr>
        <w:t>GB/T50500-2024</w:t>
      </w:r>
      <w:r>
        <w:rPr>
          <w:rFonts w:hint="eastAsia" w:ascii="仿宋" w:hAnsi="仿宋" w:eastAsia="仿宋" w:cs="仿宋"/>
          <w:b/>
          <w:bCs/>
          <w:kern w:val="0"/>
          <w:sz w:val="32"/>
          <w:szCs w:val="32"/>
          <w:lang w:val="en-US" w:eastAsia="zh-CN"/>
        </w:rPr>
        <w:t>)</w:t>
      </w:r>
    </w:p>
    <w:p w14:paraId="649E39FC">
      <w:pPr>
        <w:keepNext w:val="0"/>
        <w:keepLines w:val="0"/>
        <w:pageBreakBefore w:val="0"/>
        <w:widowControl w:val="0"/>
        <w:kinsoku/>
        <w:wordWrap/>
        <w:overflowPunct/>
        <w:topLinePunct w:val="0"/>
        <w:autoSpaceDE/>
        <w:autoSpaceDN/>
        <w:bidi w:val="0"/>
        <w:adjustRightInd/>
        <w:snapToGrid/>
        <w:spacing w:line="520" w:lineRule="exact"/>
        <w:ind w:left="638" w:leftChars="304" w:right="122" w:firstLine="0" w:firstLineChars="0"/>
        <w:jc w:val="center"/>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修订变化</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释义运用以及对工程合同的影响与对策暨建设项目</w:t>
      </w:r>
    </w:p>
    <w:p w14:paraId="3AB02143">
      <w:pPr>
        <w:keepNext w:val="0"/>
        <w:keepLines w:val="0"/>
        <w:pageBreakBefore w:val="0"/>
        <w:widowControl w:val="0"/>
        <w:kinsoku/>
        <w:wordWrap/>
        <w:overflowPunct/>
        <w:topLinePunct w:val="0"/>
        <w:autoSpaceDE/>
        <w:autoSpaceDN/>
        <w:bidi w:val="0"/>
        <w:adjustRightInd/>
        <w:snapToGrid/>
        <w:spacing w:line="520" w:lineRule="exact"/>
        <w:ind w:left="638" w:leftChars="304" w:right="122" w:firstLine="0" w:firstLineChars="0"/>
        <w:jc w:val="center"/>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全过程造价管控、结算、审计、财评案例实操专题培训班报名表</w:t>
      </w:r>
    </w:p>
    <w:tbl>
      <w:tblPr>
        <w:tblStyle w:val="8"/>
        <w:tblpPr w:leftFromText="180" w:rightFromText="180" w:vertAnchor="text" w:horzAnchor="page" w:tblpXSpec="center" w:tblpY="187"/>
        <w:tblOverlap w:val="never"/>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114"/>
        <w:gridCol w:w="1257"/>
        <w:gridCol w:w="1843"/>
        <w:gridCol w:w="477"/>
        <w:gridCol w:w="1327"/>
        <w:gridCol w:w="2014"/>
      </w:tblGrid>
      <w:tr w14:paraId="32CC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278" w:type="dxa"/>
            <w:noWrap/>
            <w:vAlign w:val="center"/>
          </w:tcPr>
          <w:p w14:paraId="4AC5E94A">
            <w:pPr>
              <w:spacing w:line="360" w:lineRule="exact"/>
              <w:ind w:right="80" w:rightChars="38"/>
              <w:rPr>
                <w:rFonts w:ascii="仿宋" w:hAnsi="仿宋" w:eastAsia="仿宋" w:cs="仿宋"/>
                <w:b/>
                <w:sz w:val="24"/>
                <w:szCs w:val="24"/>
              </w:rPr>
            </w:pPr>
            <w:r>
              <w:rPr>
                <w:rFonts w:hint="eastAsia" w:ascii="仿宋" w:hAnsi="仿宋" w:eastAsia="仿宋" w:cs="仿宋"/>
                <w:b/>
                <w:sz w:val="24"/>
                <w:szCs w:val="24"/>
              </w:rPr>
              <w:t>单位名称</w:t>
            </w:r>
          </w:p>
        </w:tc>
        <w:tc>
          <w:tcPr>
            <w:tcW w:w="4691" w:type="dxa"/>
            <w:gridSpan w:val="4"/>
            <w:noWrap/>
            <w:vAlign w:val="center"/>
          </w:tcPr>
          <w:p w14:paraId="6A09DEED">
            <w:pPr>
              <w:spacing w:line="360" w:lineRule="exact"/>
              <w:ind w:right="80" w:rightChars="38"/>
              <w:rPr>
                <w:rFonts w:ascii="仿宋" w:hAnsi="仿宋" w:eastAsia="仿宋" w:cs="仿宋"/>
                <w:bCs/>
                <w:sz w:val="24"/>
                <w:szCs w:val="24"/>
              </w:rPr>
            </w:pPr>
          </w:p>
        </w:tc>
        <w:tc>
          <w:tcPr>
            <w:tcW w:w="1327" w:type="dxa"/>
            <w:noWrap/>
            <w:vAlign w:val="center"/>
          </w:tcPr>
          <w:p w14:paraId="6BD6D0F8">
            <w:pPr>
              <w:spacing w:line="360" w:lineRule="exact"/>
              <w:ind w:right="80" w:rightChars="38"/>
              <w:rPr>
                <w:rFonts w:ascii="仿宋" w:hAnsi="仿宋" w:eastAsia="仿宋" w:cs="仿宋"/>
                <w:bCs/>
                <w:sz w:val="24"/>
                <w:szCs w:val="24"/>
              </w:rPr>
            </w:pPr>
            <w:r>
              <w:rPr>
                <w:rFonts w:hint="eastAsia" w:ascii="仿宋" w:hAnsi="仿宋" w:eastAsia="仿宋" w:cs="仿宋"/>
                <w:b/>
                <w:sz w:val="24"/>
                <w:szCs w:val="24"/>
              </w:rPr>
              <w:t>邮    编</w:t>
            </w:r>
          </w:p>
        </w:tc>
        <w:tc>
          <w:tcPr>
            <w:tcW w:w="2014" w:type="dxa"/>
            <w:noWrap/>
            <w:vAlign w:val="center"/>
          </w:tcPr>
          <w:p w14:paraId="2F026465">
            <w:pPr>
              <w:spacing w:line="360" w:lineRule="exact"/>
              <w:ind w:left="149" w:right="80" w:rightChars="38" w:hanging="148" w:hangingChars="62"/>
              <w:rPr>
                <w:rFonts w:ascii="仿宋" w:hAnsi="仿宋" w:eastAsia="仿宋" w:cs="仿宋"/>
                <w:bCs/>
                <w:sz w:val="24"/>
                <w:szCs w:val="24"/>
              </w:rPr>
            </w:pPr>
          </w:p>
        </w:tc>
      </w:tr>
      <w:tr w14:paraId="12A9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278" w:type="dxa"/>
            <w:noWrap/>
            <w:vAlign w:val="center"/>
          </w:tcPr>
          <w:p w14:paraId="6881D699">
            <w:pPr>
              <w:spacing w:line="360" w:lineRule="exact"/>
              <w:ind w:right="80" w:rightChars="38"/>
              <w:rPr>
                <w:rFonts w:ascii="仿宋" w:hAnsi="仿宋" w:eastAsia="仿宋" w:cs="仿宋"/>
                <w:b/>
                <w:sz w:val="24"/>
                <w:szCs w:val="24"/>
              </w:rPr>
            </w:pPr>
            <w:r>
              <w:rPr>
                <w:rFonts w:hint="eastAsia" w:ascii="仿宋" w:hAnsi="仿宋" w:eastAsia="仿宋" w:cs="仿宋"/>
                <w:b/>
                <w:sz w:val="24"/>
                <w:szCs w:val="24"/>
              </w:rPr>
              <w:t>详细地址</w:t>
            </w:r>
          </w:p>
        </w:tc>
        <w:tc>
          <w:tcPr>
            <w:tcW w:w="8032" w:type="dxa"/>
            <w:gridSpan w:val="6"/>
            <w:noWrap/>
            <w:vAlign w:val="center"/>
          </w:tcPr>
          <w:p w14:paraId="785FFC29">
            <w:pPr>
              <w:spacing w:line="360" w:lineRule="exact"/>
              <w:ind w:right="80" w:rightChars="38"/>
              <w:rPr>
                <w:rFonts w:ascii="仿宋" w:hAnsi="仿宋" w:eastAsia="仿宋" w:cs="仿宋"/>
                <w:bCs/>
                <w:sz w:val="24"/>
                <w:szCs w:val="24"/>
              </w:rPr>
            </w:pPr>
          </w:p>
        </w:tc>
      </w:tr>
      <w:tr w14:paraId="7BCC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78" w:type="dxa"/>
            <w:noWrap/>
            <w:vAlign w:val="center"/>
          </w:tcPr>
          <w:p w14:paraId="2B0083A4">
            <w:pPr>
              <w:spacing w:line="360" w:lineRule="exact"/>
              <w:ind w:right="80" w:rightChars="38"/>
              <w:rPr>
                <w:rFonts w:ascii="仿宋" w:hAnsi="仿宋" w:eastAsia="仿宋" w:cs="仿宋"/>
                <w:b/>
                <w:sz w:val="24"/>
                <w:szCs w:val="24"/>
              </w:rPr>
            </w:pPr>
            <w:r>
              <w:rPr>
                <w:rFonts w:hint="eastAsia" w:ascii="仿宋" w:hAnsi="仿宋" w:eastAsia="仿宋" w:cs="仿宋"/>
                <w:b/>
                <w:sz w:val="24"/>
                <w:szCs w:val="24"/>
              </w:rPr>
              <w:t>联系人</w:t>
            </w:r>
          </w:p>
        </w:tc>
        <w:tc>
          <w:tcPr>
            <w:tcW w:w="4214" w:type="dxa"/>
            <w:gridSpan w:val="3"/>
            <w:noWrap/>
            <w:vAlign w:val="center"/>
          </w:tcPr>
          <w:p w14:paraId="22B031F7">
            <w:pPr>
              <w:spacing w:line="360" w:lineRule="exact"/>
              <w:ind w:right="80" w:rightChars="38"/>
              <w:rPr>
                <w:rFonts w:ascii="仿宋" w:hAnsi="仿宋" w:eastAsia="仿宋" w:cs="仿宋"/>
                <w:bCs/>
                <w:sz w:val="24"/>
                <w:szCs w:val="24"/>
              </w:rPr>
            </w:pPr>
          </w:p>
        </w:tc>
        <w:tc>
          <w:tcPr>
            <w:tcW w:w="1804" w:type="dxa"/>
            <w:gridSpan w:val="2"/>
            <w:noWrap/>
            <w:vAlign w:val="center"/>
          </w:tcPr>
          <w:p w14:paraId="058FC614">
            <w:pPr>
              <w:keepNext/>
              <w:spacing w:line="360" w:lineRule="exact"/>
              <w:ind w:right="80" w:rightChars="38"/>
              <w:jc w:val="center"/>
              <w:outlineLvl w:val="0"/>
              <w:rPr>
                <w:rFonts w:ascii="仿宋" w:hAnsi="仿宋" w:eastAsia="仿宋" w:cs="仿宋"/>
                <w:b/>
                <w:sz w:val="24"/>
                <w:szCs w:val="24"/>
              </w:rPr>
            </w:pPr>
            <w:r>
              <w:rPr>
                <w:rFonts w:hint="eastAsia" w:ascii="仿宋" w:hAnsi="仿宋" w:eastAsia="仿宋" w:cs="仿宋"/>
                <w:b/>
                <w:sz w:val="24"/>
                <w:szCs w:val="24"/>
              </w:rPr>
              <w:t>E-mail</w:t>
            </w:r>
          </w:p>
        </w:tc>
        <w:tc>
          <w:tcPr>
            <w:tcW w:w="2014" w:type="dxa"/>
            <w:noWrap/>
            <w:vAlign w:val="center"/>
          </w:tcPr>
          <w:p w14:paraId="20AAB95D">
            <w:pPr>
              <w:spacing w:line="360" w:lineRule="exact"/>
              <w:ind w:right="80" w:rightChars="38"/>
              <w:rPr>
                <w:rFonts w:ascii="仿宋" w:hAnsi="仿宋" w:eastAsia="仿宋" w:cs="仿宋"/>
                <w:bCs/>
                <w:sz w:val="24"/>
                <w:szCs w:val="24"/>
              </w:rPr>
            </w:pPr>
          </w:p>
        </w:tc>
      </w:tr>
      <w:tr w14:paraId="182D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78" w:type="dxa"/>
            <w:noWrap/>
            <w:vAlign w:val="center"/>
          </w:tcPr>
          <w:p w14:paraId="5ED9CB67">
            <w:pPr>
              <w:spacing w:line="360" w:lineRule="exact"/>
              <w:ind w:right="80" w:rightChars="38"/>
              <w:rPr>
                <w:rFonts w:ascii="仿宋" w:hAnsi="仿宋" w:eastAsia="仿宋" w:cs="仿宋"/>
                <w:b/>
                <w:sz w:val="24"/>
                <w:szCs w:val="24"/>
              </w:rPr>
            </w:pPr>
            <w:r>
              <w:rPr>
                <w:rFonts w:hint="eastAsia" w:ascii="仿宋" w:hAnsi="仿宋" w:eastAsia="仿宋" w:cs="仿宋"/>
                <w:b/>
                <w:sz w:val="24"/>
                <w:szCs w:val="24"/>
              </w:rPr>
              <w:t>电    话</w:t>
            </w:r>
          </w:p>
        </w:tc>
        <w:tc>
          <w:tcPr>
            <w:tcW w:w="4214" w:type="dxa"/>
            <w:gridSpan w:val="3"/>
            <w:noWrap/>
            <w:vAlign w:val="center"/>
          </w:tcPr>
          <w:p w14:paraId="068831BD">
            <w:pPr>
              <w:spacing w:line="360" w:lineRule="exact"/>
              <w:ind w:right="80" w:rightChars="38"/>
              <w:rPr>
                <w:rFonts w:ascii="仿宋" w:hAnsi="仿宋" w:eastAsia="仿宋" w:cs="仿宋"/>
                <w:bCs/>
                <w:sz w:val="24"/>
                <w:szCs w:val="24"/>
              </w:rPr>
            </w:pPr>
          </w:p>
        </w:tc>
        <w:tc>
          <w:tcPr>
            <w:tcW w:w="1804" w:type="dxa"/>
            <w:gridSpan w:val="2"/>
            <w:noWrap/>
            <w:vAlign w:val="center"/>
          </w:tcPr>
          <w:p w14:paraId="338106D4">
            <w:pPr>
              <w:spacing w:line="360" w:lineRule="exact"/>
              <w:ind w:right="80" w:rightChars="38"/>
              <w:jc w:val="center"/>
              <w:rPr>
                <w:rFonts w:ascii="仿宋" w:hAnsi="仿宋" w:eastAsia="仿宋" w:cs="仿宋"/>
                <w:b/>
                <w:sz w:val="24"/>
                <w:szCs w:val="24"/>
              </w:rPr>
            </w:pPr>
            <w:r>
              <w:rPr>
                <w:rFonts w:hint="eastAsia" w:ascii="仿宋" w:hAnsi="仿宋" w:eastAsia="仿宋" w:cs="仿宋"/>
                <w:b/>
                <w:sz w:val="24"/>
                <w:szCs w:val="24"/>
              </w:rPr>
              <w:t>传  真</w:t>
            </w:r>
          </w:p>
        </w:tc>
        <w:tc>
          <w:tcPr>
            <w:tcW w:w="2014" w:type="dxa"/>
            <w:noWrap/>
            <w:vAlign w:val="center"/>
          </w:tcPr>
          <w:p w14:paraId="1F5AD38C">
            <w:pPr>
              <w:spacing w:line="360" w:lineRule="exact"/>
              <w:ind w:right="80" w:rightChars="38"/>
              <w:rPr>
                <w:rFonts w:ascii="仿宋" w:hAnsi="仿宋" w:eastAsia="仿宋" w:cs="仿宋"/>
                <w:bCs/>
                <w:sz w:val="24"/>
                <w:szCs w:val="24"/>
              </w:rPr>
            </w:pPr>
          </w:p>
        </w:tc>
      </w:tr>
      <w:tr w14:paraId="68D7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78" w:type="dxa"/>
            <w:noWrap/>
            <w:vAlign w:val="center"/>
          </w:tcPr>
          <w:p w14:paraId="1395ED5B">
            <w:pPr>
              <w:spacing w:line="360" w:lineRule="exact"/>
              <w:ind w:right="80" w:rightChars="38"/>
              <w:jc w:val="center"/>
              <w:rPr>
                <w:rFonts w:ascii="仿宋" w:hAnsi="仿宋" w:eastAsia="仿宋" w:cs="仿宋"/>
                <w:b/>
                <w:sz w:val="24"/>
                <w:szCs w:val="24"/>
              </w:rPr>
            </w:pPr>
            <w:r>
              <w:rPr>
                <w:rFonts w:hint="eastAsia" w:ascii="仿宋" w:hAnsi="仿宋" w:eastAsia="仿宋" w:cs="仿宋"/>
                <w:b/>
                <w:sz w:val="24"/>
                <w:szCs w:val="24"/>
              </w:rPr>
              <w:t>姓    名</w:t>
            </w:r>
          </w:p>
        </w:tc>
        <w:tc>
          <w:tcPr>
            <w:tcW w:w="1114" w:type="dxa"/>
            <w:noWrap/>
            <w:vAlign w:val="center"/>
          </w:tcPr>
          <w:p w14:paraId="4D2081B9">
            <w:pPr>
              <w:spacing w:line="360" w:lineRule="exact"/>
              <w:ind w:right="80" w:rightChars="38"/>
              <w:jc w:val="center"/>
              <w:rPr>
                <w:rFonts w:ascii="仿宋" w:hAnsi="仿宋" w:eastAsia="仿宋" w:cs="仿宋"/>
                <w:b/>
                <w:sz w:val="24"/>
                <w:szCs w:val="24"/>
              </w:rPr>
            </w:pPr>
            <w:r>
              <w:rPr>
                <w:rFonts w:hint="eastAsia" w:ascii="仿宋" w:hAnsi="仿宋" w:eastAsia="仿宋" w:cs="仿宋"/>
                <w:b/>
                <w:sz w:val="24"/>
                <w:szCs w:val="24"/>
              </w:rPr>
              <w:t>性别</w:t>
            </w:r>
          </w:p>
        </w:tc>
        <w:tc>
          <w:tcPr>
            <w:tcW w:w="1257" w:type="dxa"/>
            <w:noWrap/>
            <w:vAlign w:val="center"/>
          </w:tcPr>
          <w:p w14:paraId="5D5B1B7F">
            <w:pPr>
              <w:spacing w:line="360" w:lineRule="exact"/>
              <w:ind w:right="80" w:rightChars="38"/>
              <w:jc w:val="center"/>
              <w:rPr>
                <w:rFonts w:ascii="仿宋" w:hAnsi="仿宋" w:eastAsia="仿宋" w:cs="仿宋"/>
                <w:b/>
                <w:sz w:val="24"/>
                <w:szCs w:val="24"/>
              </w:rPr>
            </w:pPr>
            <w:r>
              <w:rPr>
                <w:rFonts w:hint="eastAsia" w:ascii="仿宋" w:hAnsi="仿宋" w:eastAsia="仿宋" w:cs="仿宋"/>
                <w:b/>
                <w:sz w:val="24"/>
                <w:szCs w:val="24"/>
              </w:rPr>
              <w:t>部门</w:t>
            </w:r>
          </w:p>
        </w:tc>
        <w:tc>
          <w:tcPr>
            <w:tcW w:w="1843" w:type="dxa"/>
            <w:noWrap/>
            <w:vAlign w:val="center"/>
          </w:tcPr>
          <w:p w14:paraId="6A17581D">
            <w:pPr>
              <w:spacing w:line="360" w:lineRule="exact"/>
              <w:ind w:right="80" w:rightChars="38"/>
              <w:jc w:val="center"/>
              <w:rPr>
                <w:rFonts w:ascii="仿宋" w:hAnsi="仿宋" w:eastAsia="仿宋" w:cs="仿宋"/>
                <w:b/>
                <w:sz w:val="24"/>
                <w:szCs w:val="24"/>
              </w:rPr>
            </w:pPr>
            <w:r>
              <w:rPr>
                <w:rFonts w:hint="eastAsia" w:ascii="仿宋" w:hAnsi="仿宋" w:eastAsia="仿宋" w:cs="仿宋"/>
                <w:b/>
                <w:sz w:val="24"/>
                <w:szCs w:val="24"/>
              </w:rPr>
              <w:t>职务</w:t>
            </w:r>
          </w:p>
        </w:tc>
        <w:tc>
          <w:tcPr>
            <w:tcW w:w="1804" w:type="dxa"/>
            <w:gridSpan w:val="2"/>
            <w:noWrap/>
            <w:vAlign w:val="center"/>
          </w:tcPr>
          <w:p w14:paraId="036E9E45">
            <w:pPr>
              <w:spacing w:line="360" w:lineRule="exact"/>
              <w:ind w:right="80" w:rightChars="38"/>
              <w:jc w:val="center"/>
              <w:rPr>
                <w:rFonts w:ascii="仿宋" w:hAnsi="仿宋" w:eastAsia="仿宋" w:cs="仿宋"/>
                <w:b/>
                <w:sz w:val="24"/>
                <w:szCs w:val="24"/>
              </w:rPr>
            </w:pPr>
            <w:r>
              <w:rPr>
                <w:rFonts w:hint="eastAsia" w:ascii="仿宋" w:hAnsi="仿宋" w:eastAsia="仿宋" w:cs="仿宋"/>
                <w:b/>
                <w:sz w:val="24"/>
                <w:szCs w:val="24"/>
              </w:rPr>
              <w:t>手机</w:t>
            </w:r>
          </w:p>
        </w:tc>
        <w:tc>
          <w:tcPr>
            <w:tcW w:w="2014" w:type="dxa"/>
            <w:noWrap/>
            <w:vAlign w:val="center"/>
          </w:tcPr>
          <w:p w14:paraId="22814D9F">
            <w:pPr>
              <w:spacing w:line="360" w:lineRule="exact"/>
              <w:ind w:right="80" w:rightChars="38"/>
              <w:jc w:val="center"/>
              <w:rPr>
                <w:rFonts w:ascii="仿宋" w:hAnsi="仿宋" w:eastAsia="仿宋" w:cs="仿宋"/>
                <w:b/>
                <w:sz w:val="24"/>
                <w:szCs w:val="24"/>
              </w:rPr>
            </w:pPr>
            <w:r>
              <w:rPr>
                <w:rFonts w:hint="eastAsia" w:ascii="仿宋" w:hAnsi="仿宋" w:eastAsia="仿宋" w:cs="仿宋"/>
                <w:b/>
                <w:sz w:val="24"/>
                <w:szCs w:val="24"/>
              </w:rPr>
              <w:t>E-mail</w:t>
            </w:r>
          </w:p>
        </w:tc>
      </w:tr>
      <w:tr w14:paraId="1956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78" w:type="dxa"/>
            <w:noWrap/>
            <w:vAlign w:val="center"/>
          </w:tcPr>
          <w:p w14:paraId="7710179C">
            <w:pPr>
              <w:spacing w:line="360" w:lineRule="exact"/>
              <w:ind w:right="80" w:rightChars="38"/>
              <w:rPr>
                <w:rFonts w:ascii="仿宋" w:hAnsi="仿宋" w:eastAsia="仿宋" w:cs="仿宋"/>
                <w:bCs/>
                <w:sz w:val="24"/>
                <w:szCs w:val="24"/>
              </w:rPr>
            </w:pPr>
          </w:p>
        </w:tc>
        <w:tc>
          <w:tcPr>
            <w:tcW w:w="1114" w:type="dxa"/>
            <w:noWrap/>
            <w:vAlign w:val="center"/>
          </w:tcPr>
          <w:p w14:paraId="38F7C57B">
            <w:pPr>
              <w:spacing w:line="360" w:lineRule="exact"/>
              <w:ind w:right="80" w:rightChars="38"/>
              <w:rPr>
                <w:rFonts w:ascii="仿宋" w:hAnsi="仿宋" w:eastAsia="仿宋" w:cs="仿宋"/>
                <w:bCs/>
                <w:sz w:val="24"/>
                <w:szCs w:val="24"/>
              </w:rPr>
            </w:pPr>
          </w:p>
        </w:tc>
        <w:tc>
          <w:tcPr>
            <w:tcW w:w="1257" w:type="dxa"/>
            <w:noWrap/>
            <w:vAlign w:val="center"/>
          </w:tcPr>
          <w:p w14:paraId="2511F088">
            <w:pPr>
              <w:spacing w:line="360" w:lineRule="exact"/>
              <w:ind w:right="80" w:rightChars="38"/>
              <w:rPr>
                <w:rFonts w:ascii="仿宋" w:hAnsi="仿宋" w:eastAsia="仿宋" w:cs="仿宋"/>
                <w:bCs/>
                <w:sz w:val="24"/>
                <w:szCs w:val="24"/>
              </w:rPr>
            </w:pPr>
          </w:p>
        </w:tc>
        <w:tc>
          <w:tcPr>
            <w:tcW w:w="1843" w:type="dxa"/>
            <w:noWrap/>
            <w:vAlign w:val="center"/>
          </w:tcPr>
          <w:p w14:paraId="7AD701EF">
            <w:pPr>
              <w:spacing w:line="360" w:lineRule="exact"/>
              <w:ind w:right="80" w:rightChars="38"/>
              <w:rPr>
                <w:rFonts w:ascii="仿宋" w:hAnsi="仿宋" w:eastAsia="仿宋" w:cs="仿宋"/>
                <w:bCs/>
                <w:sz w:val="24"/>
                <w:szCs w:val="24"/>
              </w:rPr>
            </w:pPr>
          </w:p>
        </w:tc>
        <w:tc>
          <w:tcPr>
            <w:tcW w:w="1804" w:type="dxa"/>
            <w:gridSpan w:val="2"/>
            <w:noWrap/>
            <w:vAlign w:val="center"/>
          </w:tcPr>
          <w:p w14:paraId="65479DFE">
            <w:pPr>
              <w:spacing w:line="360" w:lineRule="exact"/>
              <w:ind w:right="80" w:rightChars="38"/>
              <w:rPr>
                <w:rFonts w:ascii="仿宋" w:hAnsi="仿宋" w:eastAsia="仿宋" w:cs="仿宋"/>
                <w:bCs/>
                <w:sz w:val="24"/>
                <w:szCs w:val="24"/>
              </w:rPr>
            </w:pPr>
          </w:p>
        </w:tc>
        <w:tc>
          <w:tcPr>
            <w:tcW w:w="2014" w:type="dxa"/>
            <w:noWrap/>
            <w:vAlign w:val="center"/>
          </w:tcPr>
          <w:p w14:paraId="00F87DDE">
            <w:pPr>
              <w:spacing w:line="360" w:lineRule="exact"/>
              <w:ind w:right="80" w:rightChars="38"/>
              <w:rPr>
                <w:rFonts w:ascii="仿宋" w:hAnsi="仿宋" w:eastAsia="仿宋" w:cs="仿宋"/>
                <w:bCs/>
                <w:sz w:val="24"/>
                <w:szCs w:val="24"/>
              </w:rPr>
            </w:pPr>
          </w:p>
        </w:tc>
      </w:tr>
      <w:tr w14:paraId="6731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78" w:type="dxa"/>
            <w:noWrap/>
            <w:vAlign w:val="center"/>
          </w:tcPr>
          <w:p w14:paraId="7D87E264">
            <w:pPr>
              <w:spacing w:line="360" w:lineRule="exact"/>
              <w:ind w:right="80" w:rightChars="38"/>
              <w:rPr>
                <w:rFonts w:ascii="仿宋" w:hAnsi="仿宋" w:eastAsia="仿宋" w:cs="仿宋"/>
                <w:bCs/>
                <w:sz w:val="24"/>
                <w:szCs w:val="24"/>
              </w:rPr>
            </w:pPr>
          </w:p>
        </w:tc>
        <w:tc>
          <w:tcPr>
            <w:tcW w:w="1114" w:type="dxa"/>
            <w:noWrap/>
            <w:vAlign w:val="center"/>
          </w:tcPr>
          <w:p w14:paraId="65932095">
            <w:pPr>
              <w:spacing w:line="360" w:lineRule="exact"/>
              <w:ind w:right="80" w:rightChars="38"/>
              <w:rPr>
                <w:rFonts w:ascii="仿宋" w:hAnsi="仿宋" w:eastAsia="仿宋" w:cs="仿宋"/>
                <w:bCs/>
                <w:sz w:val="24"/>
                <w:szCs w:val="24"/>
              </w:rPr>
            </w:pPr>
          </w:p>
        </w:tc>
        <w:tc>
          <w:tcPr>
            <w:tcW w:w="1257" w:type="dxa"/>
            <w:noWrap/>
            <w:vAlign w:val="center"/>
          </w:tcPr>
          <w:p w14:paraId="3BFB0DE3">
            <w:pPr>
              <w:spacing w:line="360" w:lineRule="exact"/>
              <w:ind w:right="80" w:rightChars="38"/>
              <w:rPr>
                <w:rFonts w:ascii="仿宋" w:hAnsi="仿宋" w:eastAsia="仿宋" w:cs="仿宋"/>
                <w:bCs/>
                <w:sz w:val="24"/>
                <w:szCs w:val="24"/>
              </w:rPr>
            </w:pPr>
          </w:p>
        </w:tc>
        <w:tc>
          <w:tcPr>
            <w:tcW w:w="1843" w:type="dxa"/>
            <w:noWrap/>
            <w:vAlign w:val="center"/>
          </w:tcPr>
          <w:p w14:paraId="5D61F1C6">
            <w:pPr>
              <w:spacing w:line="360" w:lineRule="exact"/>
              <w:ind w:right="80" w:rightChars="38"/>
              <w:rPr>
                <w:rFonts w:ascii="仿宋" w:hAnsi="仿宋" w:eastAsia="仿宋" w:cs="仿宋"/>
                <w:bCs/>
                <w:sz w:val="24"/>
                <w:szCs w:val="24"/>
              </w:rPr>
            </w:pPr>
          </w:p>
        </w:tc>
        <w:tc>
          <w:tcPr>
            <w:tcW w:w="1804" w:type="dxa"/>
            <w:gridSpan w:val="2"/>
            <w:noWrap/>
            <w:vAlign w:val="center"/>
          </w:tcPr>
          <w:p w14:paraId="21A00D20">
            <w:pPr>
              <w:spacing w:line="360" w:lineRule="exact"/>
              <w:ind w:right="80" w:rightChars="38"/>
              <w:rPr>
                <w:rFonts w:ascii="仿宋" w:hAnsi="仿宋" w:eastAsia="仿宋" w:cs="仿宋"/>
                <w:bCs/>
                <w:sz w:val="24"/>
                <w:szCs w:val="24"/>
              </w:rPr>
            </w:pPr>
          </w:p>
        </w:tc>
        <w:tc>
          <w:tcPr>
            <w:tcW w:w="2014" w:type="dxa"/>
            <w:noWrap/>
            <w:vAlign w:val="center"/>
          </w:tcPr>
          <w:p w14:paraId="32BF32B6">
            <w:pPr>
              <w:spacing w:line="360" w:lineRule="exact"/>
              <w:ind w:right="80" w:rightChars="38"/>
              <w:rPr>
                <w:rFonts w:ascii="仿宋" w:hAnsi="仿宋" w:eastAsia="仿宋" w:cs="仿宋"/>
                <w:bCs/>
                <w:sz w:val="24"/>
                <w:szCs w:val="24"/>
              </w:rPr>
            </w:pPr>
          </w:p>
        </w:tc>
      </w:tr>
      <w:tr w14:paraId="1AE0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78" w:type="dxa"/>
            <w:noWrap/>
            <w:vAlign w:val="center"/>
          </w:tcPr>
          <w:p w14:paraId="178F6B52">
            <w:pPr>
              <w:spacing w:line="360" w:lineRule="exact"/>
              <w:ind w:right="80" w:rightChars="38"/>
              <w:rPr>
                <w:rFonts w:ascii="仿宋" w:hAnsi="仿宋" w:eastAsia="仿宋" w:cs="仿宋"/>
                <w:bCs/>
                <w:sz w:val="24"/>
                <w:szCs w:val="24"/>
              </w:rPr>
            </w:pPr>
          </w:p>
        </w:tc>
        <w:tc>
          <w:tcPr>
            <w:tcW w:w="1114" w:type="dxa"/>
            <w:noWrap/>
            <w:vAlign w:val="center"/>
          </w:tcPr>
          <w:p w14:paraId="3B0BBDB3">
            <w:pPr>
              <w:spacing w:line="360" w:lineRule="exact"/>
              <w:ind w:right="80" w:rightChars="38"/>
              <w:rPr>
                <w:rFonts w:ascii="仿宋" w:hAnsi="仿宋" w:eastAsia="仿宋" w:cs="仿宋"/>
                <w:bCs/>
                <w:sz w:val="24"/>
                <w:szCs w:val="24"/>
              </w:rPr>
            </w:pPr>
          </w:p>
        </w:tc>
        <w:tc>
          <w:tcPr>
            <w:tcW w:w="1257" w:type="dxa"/>
            <w:noWrap/>
            <w:vAlign w:val="center"/>
          </w:tcPr>
          <w:p w14:paraId="2D915161">
            <w:pPr>
              <w:spacing w:line="360" w:lineRule="exact"/>
              <w:ind w:right="80" w:rightChars="38"/>
              <w:rPr>
                <w:rFonts w:ascii="仿宋" w:hAnsi="仿宋" w:eastAsia="仿宋" w:cs="仿宋"/>
                <w:bCs/>
                <w:sz w:val="24"/>
                <w:szCs w:val="24"/>
              </w:rPr>
            </w:pPr>
          </w:p>
        </w:tc>
        <w:tc>
          <w:tcPr>
            <w:tcW w:w="1843" w:type="dxa"/>
            <w:noWrap/>
            <w:vAlign w:val="center"/>
          </w:tcPr>
          <w:p w14:paraId="1B3C9502">
            <w:pPr>
              <w:spacing w:line="360" w:lineRule="exact"/>
              <w:ind w:right="80" w:rightChars="38"/>
              <w:rPr>
                <w:rFonts w:ascii="仿宋" w:hAnsi="仿宋" w:eastAsia="仿宋" w:cs="仿宋"/>
                <w:bCs/>
                <w:sz w:val="24"/>
                <w:szCs w:val="24"/>
              </w:rPr>
            </w:pPr>
          </w:p>
        </w:tc>
        <w:tc>
          <w:tcPr>
            <w:tcW w:w="1804" w:type="dxa"/>
            <w:gridSpan w:val="2"/>
            <w:noWrap/>
            <w:vAlign w:val="center"/>
          </w:tcPr>
          <w:p w14:paraId="6222E7AF">
            <w:pPr>
              <w:spacing w:line="360" w:lineRule="exact"/>
              <w:ind w:right="80" w:rightChars="38"/>
              <w:rPr>
                <w:rFonts w:ascii="仿宋" w:hAnsi="仿宋" w:eastAsia="仿宋" w:cs="仿宋"/>
                <w:bCs/>
                <w:sz w:val="24"/>
                <w:szCs w:val="24"/>
              </w:rPr>
            </w:pPr>
          </w:p>
        </w:tc>
        <w:tc>
          <w:tcPr>
            <w:tcW w:w="2014" w:type="dxa"/>
            <w:noWrap/>
            <w:vAlign w:val="center"/>
          </w:tcPr>
          <w:p w14:paraId="2E000D34">
            <w:pPr>
              <w:spacing w:line="360" w:lineRule="exact"/>
              <w:ind w:right="80" w:rightChars="38"/>
              <w:rPr>
                <w:rFonts w:ascii="仿宋" w:hAnsi="仿宋" w:eastAsia="仿宋" w:cs="仿宋"/>
                <w:bCs/>
                <w:sz w:val="24"/>
                <w:szCs w:val="24"/>
              </w:rPr>
            </w:pPr>
          </w:p>
        </w:tc>
      </w:tr>
      <w:tr w14:paraId="5CEE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78" w:type="dxa"/>
            <w:noWrap/>
            <w:vAlign w:val="center"/>
          </w:tcPr>
          <w:p w14:paraId="60039B86">
            <w:pPr>
              <w:spacing w:line="360" w:lineRule="exact"/>
              <w:ind w:right="80" w:rightChars="38"/>
              <w:rPr>
                <w:rFonts w:ascii="仿宋" w:hAnsi="仿宋" w:eastAsia="仿宋" w:cs="仿宋"/>
                <w:bCs/>
                <w:sz w:val="24"/>
                <w:szCs w:val="24"/>
              </w:rPr>
            </w:pPr>
          </w:p>
        </w:tc>
        <w:tc>
          <w:tcPr>
            <w:tcW w:w="1114" w:type="dxa"/>
            <w:noWrap/>
            <w:vAlign w:val="center"/>
          </w:tcPr>
          <w:p w14:paraId="72E8CD7E">
            <w:pPr>
              <w:spacing w:line="360" w:lineRule="exact"/>
              <w:ind w:right="80" w:rightChars="38"/>
              <w:rPr>
                <w:rFonts w:ascii="仿宋" w:hAnsi="仿宋" w:eastAsia="仿宋" w:cs="仿宋"/>
                <w:bCs/>
                <w:sz w:val="24"/>
                <w:szCs w:val="24"/>
              </w:rPr>
            </w:pPr>
          </w:p>
        </w:tc>
        <w:tc>
          <w:tcPr>
            <w:tcW w:w="1257" w:type="dxa"/>
            <w:noWrap/>
            <w:vAlign w:val="center"/>
          </w:tcPr>
          <w:p w14:paraId="5776BAFE">
            <w:pPr>
              <w:spacing w:line="360" w:lineRule="exact"/>
              <w:ind w:right="80" w:rightChars="38"/>
              <w:rPr>
                <w:rFonts w:ascii="仿宋" w:hAnsi="仿宋" w:eastAsia="仿宋" w:cs="仿宋"/>
                <w:bCs/>
                <w:sz w:val="24"/>
                <w:szCs w:val="24"/>
              </w:rPr>
            </w:pPr>
          </w:p>
        </w:tc>
        <w:tc>
          <w:tcPr>
            <w:tcW w:w="1843" w:type="dxa"/>
            <w:noWrap/>
            <w:vAlign w:val="center"/>
          </w:tcPr>
          <w:p w14:paraId="01D858DC">
            <w:pPr>
              <w:spacing w:line="360" w:lineRule="exact"/>
              <w:ind w:right="80" w:rightChars="38"/>
              <w:rPr>
                <w:rFonts w:ascii="仿宋" w:hAnsi="仿宋" w:eastAsia="仿宋" w:cs="仿宋"/>
                <w:bCs/>
                <w:sz w:val="24"/>
                <w:szCs w:val="24"/>
              </w:rPr>
            </w:pPr>
          </w:p>
        </w:tc>
        <w:tc>
          <w:tcPr>
            <w:tcW w:w="1804" w:type="dxa"/>
            <w:gridSpan w:val="2"/>
            <w:noWrap/>
            <w:vAlign w:val="center"/>
          </w:tcPr>
          <w:p w14:paraId="08A7DA65">
            <w:pPr>
              <w:spacing w:line="360" w:lineRule="exact"/>
              <w:ind w:right="80" w:rightChars="38"/>
              <w:rPr>
                <w:rFonts w:ascii="仿宋" w:hAnsi="仿宋" w:eastAsia="仿宋" w:cs="仿宋"/>
                <w:bCs/>
                <w:sz w:val="24"/>
                <w:szCs w:val="24"/>
              </w:rPr>
            </w:pPr>
          </w:p>
        </w:tc>
        <w:tc>
          <w:tcPr>
            <w:tcW w:w="2014" w:type="dxa"/>
            <w:noWrap/>
            <w:vAlign w:val="center"/>
          </w:tcPr>
          <w:p w14:paraId="6DF892C9">
            <w:pPr>
              <w:spacing w:line="360" w:lineRule="exact"/>
              <w:ind w:right="80" w:rightChars="38"/>
              <w:rPr>
                <w:rFonts w:ascii="仿宋" w:hAnsi="仿宋" w:eastAsia="仿宋" w:cs="仿宋"/>
                <w:bCs/>
                <w:sz w:val="24"/>
                <w:szCs w:val="24"/>
              </w:rPr>
            </w:pPr>
          </w:p>
        </w:tc>
      </w:tr>
      <w:tr w14:paraId="361C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78" w:type="dxa"/>
            <w:noWrap/>
            <w:vAlign w:val="center"/>
          </w:tcPr>
          <w:p w14:paraId="34B8970A">
            <w:pPr>
              <w:spacing w:line="360" w:lineRule="exact"/>
              <w:ind w:right="80" w:rightChars="38"/>
              <w:rPr>
                <w:rFonts w:ascii="仿宋" w:hAnsi="仿宋" w:eastAsia="仿宋" w:cs="仿宋"/>
                <w:bCs/>
                <w:sz w:val="24"/>
                <w:szCs w:val="24"/>
              </w:rPr>
            </w:pPr>
          </w:p>
        </w:tc>
        <w:tc>
          <w:tcPr>
            <w:tcW w:w="1114" w:type="dxa"/>
            <w:noWrap/>
            <w:vAlign w:val="center"/>
          </w:tcPr>
          <w:p w14:paraId="1111FA55">
            <w:pPr>
              <w:spacing w:line="360" w:lineRule="exact"/>
              <w:ind w:right="80" w:rightChars="38"/>
              <w:rPr>
                <w:rFonts w:ascii="仿宋" w:hAnsi="仿宋" w:eastAsia="仿宋" w:cs="仿宋"/>
                <w:bCs/>
                <w:sz w:val="24"/>
                <w:szCs w:val="24"/>
              </w:rPr>
            </w:pPr>
          </w:p>
        </w:tc>
        <w:tc>
          <w:tcPr>
            <w:tcW w:w="1257" w:type="dxa"/>
            <w:noWrap/>
            <w:vAlign w:val="center"/>
          </w:tcPr>
          <w:p w14:paraId="39D472D1">
            <w:pPr>
              <w:spacing w:line="360" w:lineRule="exact"/>
              <w:ind w:right="80" w:rightChars="38"/>
              <w:rPr>
                <w:rFonts w:ascii="仿宋" w:hAnsi="仿宋" w:eastAsia="仿宋" w:cs="仿宋"/>
                <w:bCs/>
                <w:sz w:val="24"/>
                <w:szCs w:val="24"/>
              </w:rPr>
            </w:pPr>
          </w:p>
        </w:tc>
        <w:tc>
          <w:tcPr>
            <w:tcW w:w="1843" w:type="dxa"/>
            <w:noWrap/>
            <w:vAlign w:val="center"/>
          </w:tcPr>
          <w:p w14:paraId="489B0B7C">
            <w:pPr>
              <w:spacing w:line="360" w:lineRule="exact"/>
              <w:ind w:right="80" w:rightChars="38"/>
              <w:rPr>
                <w:rFonts w:ascii="仿宋" w:hAnsi="仿宋" w:eastAsia="仿宋" w:cs="仿宋"/>
                <w:bCs/>
                <w:sz w:val="24"/>
                <w:szCs w:val="24"/>
              </w:rPr>
            </w:pPr>
          </w:p>
        </w:tc>
        <w:tc>
          <w:tcPr>
            <w:tcW w:w="1804" w:type="dxa"/>
            <w:gridSpan w:val="2"/>
            <w:noWrap/>
            <w:vAlign w:val="center"/>
          </w:tcPr>
          <w:p w14:paraId="5D4283B7">
            <w:pPr>
              <w:spacing w:line="360" w:lineRule="exact"/>
              <w:ind w:right="80" w:rightChars="38"/>
              <w:rPr>
                <w:rFonts w:ascii="仿宋" w:hAnsi="仿宋" w:eastAsia="仿宋" w:cs="仿宋"/>
                <w:bCs/>
                <w:sz w:val="24"/>
                <w:szCs w:val="24"/>
              </w:rPr>
            </w:pPr>
          </w:p>
        </w:tc>
        <w:tc>
          <w:tcPr>
            <w:tcW w:w="2014" w:type="dxa"/>
            <w:noWrap/>
            <w:vAlign w:val="center"/>
          </w:tcPr>
          <w:p w14:paraId="586379D2">
            <w:pPr>
              <w:spacing w:line="360" w:lineRule="exact"/>
              <w:ind w:right="80" w:rightChars="38"/>
              <w:rPr>
                <w:rFonts w:ascii="仿宋" w:hAnsi="仿宋" w:eastAsia="仿宋" w:cs="仿宋"/>
                <w:bCs/>
                <w:sz w:val="24"/>
                <w:szCs w:val="24"/>
              </w:rPr>
            </w:pPr>
          </w:p>
        </w:tc>
      </w:tr>
      <w:tr w14:paraId="5A32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8" w:type="dxa"/>
            <w:noWrap/>
            <w:vAlign w:val="center"/>
          </w:tcPr>
          <w:p w14:paraId="7574F4BE">
            <w:pPr>
              <w:spacing w:line="360" w:lineRule="exact"/>
              <w:ind w:right="80" w:rightChars="38"/>
              <w:rPr>
                <w:rFonts w:ascii="仿宋" w:hAnsi="仿宋" w:eastAsia="仿宋" w:cs="仿宋"/>
                <w:bCs/>
                <w:sz w:val="24"/>
                <w:szCs w:val="24"/>
              </w:rPr>
            </w:pPr>
          </w:p>
        </w:tc>
        <w:tc>
          <w:tcPr>
            <w:tcW w:w="1114" w:type="dxa"/>
            <w:noWrap/>
            <w:vAlign w:val="center"/>
          </w:tcPr>
          <w:p w14:paraId="5E0ED844">
            <w:pPr>
              <w:spacing w:line="360" w:lineRule="exact"/>
              <w:ind w:right="80" w:rightChars="38"/>
              <w:rPr>
                <w:rFonts w:ascii="仿宋" w:hAnsi="仿宋" w:eastAsia="仿宋" w:cs="仿宋"/>
                <w:bCs/>
                <w:sz w:val="24"/>
                <w:szCs w:val="24"/>
              </w:rPr>
            </w:pPr>
          </w:p>
        </w:tc>
        <w:tc>
          <w:tcPr>
            <w:tcW w:w="1257" w:type="dxa"/>
            <w:noWrap/>
            <w:vAlign w:val="center"/>
          </w:tcPr>
          <w:p w14:paraId="4B8BC3EA">
            <w:pPr>
              <w:spacing w:line="360" w:lineRule="exact"/>
              <w:ind w:right="80" w:rightChars="38"/>
              <w:rPr>
                <w:rFonts w:ascii="仿宋" w:hAnsi="仿宋" w:eastAsia="仿宋" w:cs="仿宋"/>
                <w:bCs/>
                <w:sz w:val="24"/>
                <w:szCs w:val="24"/>
              </w:rPr>
            </w:pPr>
          </w:p>
        </w:tc>
        <w:tc>
          <w:tcPr>
            <w:tcW w:w="1843" w:type="dxa"/>
            <w:noWrap/>
            <w:vAlign w:val="center"/>
          </w:tcPr>
          <w:p w14:paraId="01F7331D">
            <w:pPr>
              <w:spacing w:line="360" w:lineRule="exact"/>
              <w:ind w:right="80" w:rightChars="38"/>
              <w:rPr>
                <w:rFonts w:ascii="仿宋" w:hAnsi="仿宋" w:eastAsia="仿宋" w:cs="仿宋"/>
                <w:bCs/>
                <w:sz w:val="24"/>
                <w:szCs w:val="24"/>
              </w:rPr>
            </w:pPr>
          </w:p>
        </w:tc>
        <w:tc>
          <w:tcPr>
            <w:tcW w:w="1804" w:type="dxa"/>
            <w:gridSpan w:val="2"/>
            <w:noWrap/>
            <w:vAlign w:val="center"/>
          </w:tcPr>
          <w:p w14:paraId="412D508D">
            <w:pPr>
              <w:spacing w:line="360" w:lineRule="exact"/>
              <w:ind w:right="80" w:rightChars="38"/>
              <w:rPr>
                <w:rFonts w:ascii="仿宋" w:hAnsi="仿宋" w:eastAsia="仿宋" w:cs="仿宋"/>
                <w:bCs/>
                <w:sz w:val="24"/>
                <w:szCs w:val="24"/>
              </w:rPr>
            </w:pPr>
          </w:p>
        </w:tc>
        <w:tc>
          <w:tcPr>
            <w:tcW w:w="2014" w:type="dxa"/>
            <w:noWrap/>
            <w:vAlign w:val="center"/>
          </w:tcPr>
          <w:p w14:paraId="74645FEF">
            <w:pPr>
              <w:spacing w:line="360" w:lineRule="exact"/>
              <w:ind w:right="80" w:rightChars="38"/>
              <w:rPr>
                <w:rFonts w:ascii="仿宋" w:hAnsi="仿宋" w:eastAsia="仿宋" w:cs="仿宋"/>
                <w:bCs/>
                <w:sz w:val="24"/>
                <w:szCs w:val="24"/>
              </w:rPr>
            </w:pPr>
          </w:p>
        </w:tc>
      </w:tr>
      <w:tr w14:paraId="4163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8" w:type="dxa"/>
            <w:noWrap/>
            <w:vAlign w:val="center"/>
          </w:tcPr>
          <w:p w14:paraId="736801EE">
            <w:pPr>
              <w:spacing w:line="360" w:lineRule="exact"/>
              <w:ind w:right="80" w:rightChars="38"/>
              <w:rPr>
                <w:rFonts w:ascii="仿宋" w:hAnsi="仿宋" w:eastAsia="仿宋" w:cs="仿宋"/>
                <w:bCs/>
                <w:sz w:val="24"/>
                <w:szCs w:val="24"/>
              </w:rPr>
            </w:pPr>
          </w:p>
        </w:tc>
        <w:tc>
          <w:tcPr>
            <w:tcW w:w="1114" w:type="dxa"/>
            <w:noWrap/>
            <w:vAlign w:val="center"/>
          </w:tcPr>
          <w:p w14:paraId="40091D5D">
            <w:pPr>
              <w:spacing w:line="360" w:lineRule="exact"/>
              <w:ind w:right="80" w:rightChars="38"/>
              <w:rPr>
                <w:rFonts w:ascii="仿宋" w:hAnsi="仿宋" w:eastAsia="仿宋" w:cs="仿宋"/>
                <w:bCs/>
                <w:sz w:val="24"/>
                <w:szCs w:val="24"/>
              </w:rPr>
            </w:pPr>
          </w:p>
        </w:tc>
        <w:tc>
          <w:tcPr>
            <w:tcW w:w="1257" w:type="dxa"/>
            <w:noWrap/>
            <w:vAlign w:val="center"/>
          </w:tcPr>
          <w:p w14:paraId="24E71A32">
            <w:pPr>
              <w:spacing w:line="360" w:lineRule="exact"/>
              <w:ind w:right="80" w:rightChars="38"/>
              <w:rPr>
                <w:rFonts w:ascii="仿宋" w:hAnsi="仿宋" w:eastAsia="仿宋" w:cs="仿宋"/>
                <w:bCs/>
                <w:sz w:val="24"/>
                <w:szCs w:val="24"/>
              </w:rPr>
            </w:pPr>
          </w:p>
        </w:tc>
        <w:tc>
          <w:tcPr>
            <w:tcW w:w="1843" w:type="dxa"/>
            <w:noWrap/>
            <w:vAlign w:val="center"/>
          </w:tcPr>
          <w:p w14:paraId="68EE8A7B">
            <w:pPr>
              <w:spacing w:line="360" w:lineRule="exact"/>
              <w:ind w:right="80" w:rightChars="38"/>
              <w:rPr>
                <w:rFonts w:ascii="仿宋" w:hAnsi="仿宋" w:eastAsia="仿宋" w:cs="仿宋"/>
                <w:bCs/>
                <w:sz w:val="24"/>
                <w:szCs w:val="24"/>
              </w:rPr>
            </w:pPr>
          </w:p>
        </w:tc>
        <w:tc>
          <w:tcPr>
            <w:tcW w:w="1804" w:type="dxa"/>
            <w:gridSpan w:val="2"/>
            <w:noWrap/>
            <w:vAlign w:val="center"/>
          </w:tcPr>
          <w:p w14:paraId="689960E8">
            <w:pPr>
              <w:spacing w:line="360" w:lineRule="exact"/>
              <w:ind w:right="80" w:rightChars="38"/>
              <w:rPr>
                <w:rFonts w:ascii="仿宋" w:hAnsi="仿宋" w:eastAsia="仿宋" w:cs="仿宋"/>
                <w:bCs/>
                <w:sz w:val="24"/>
                <w:szCs w:val="24"/>
              </w:rPr>
            </w:pPr>
          </w:p>
        </w:tc>
        <w:tc>
          <w:tcPr>
            <w:tcW w:w="2014" w:type="dxa"/>
            <w:noWrap/>
            <w:vAlign w:val="center"/>
          </w:tcPr>
          <w:p w14:paraId="7ECAEB16">
            <w:pPr>
              <w:spacing w:line="360" w:lineRule="exact"/>
              <w:ind w:right="80" w:rightChars="38"/>
              <w:rPr>
                <w:rFonts w:ascii="仿宋" w:hAnsi="仿宋" w:eastAsia="仿宋" w:cs="仿宋"/>
                <w:bCs/>
                <w:sz w:val="24"/>
                <w:szCs w:val="24"/>
              </w:rPr>
            </w:pPr>
          </w:p>
        </w:tc>
      </w:tr>
      <w:tr w14:paraId="4B67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8" w:type="dxa"/>
            <w:noWrap/>
            <w:vAlign w:val="center"/>
          </w:tcPr>
          <w:p w14:paraId="240B5FF0">
            <w:pPr>
              <w:spacing w:line="360" w:lineRule="exact"/>
              <w:ind w:right="80" w:rightChars="38"/>
              <w:rPr>
                <w:rFonts w:ascii="仿宋" w:hAnsi="仿宋" w:eastAsia="仿宋" w:cs="仿宋"/>
                <w:b/>
                <w:sz w:val="24"/>
                <w:szCs w:val="24"/>
              </w:rPr>
            </w:pPr>
            <w:r>
              <w:rPr>
                <w:rFonts w:hint="eastAsia" w:ascii="仿宋" w:hAnsi="仿宋" w:eastAsia="仿宋" w:cs="仿宋"/>
                <w:b/>
                <w:sz w:val="24"/>
                <w:szCs w:val="24"/>
              </w:rPr>
              <w:t>住宿安排</w:t>
            </w:r>
          </w:p>
        </w:tc>
        <w:tc>
          <w:tcPr>
            <w:tcW w:w="8032" w:type="dxa"/>
            <w:gridSpan w:val="6"/>
            <w:noWrap/>
            <w:vAlign w:val="center"/>
          </w:tcPr>
          <w:p w14:paraId="3493D69A">
            <w:pPr>
              <w:spacing w:line="360" w:lineRule="exact"/>
              <w:ind w:right="80" w:rightChars="38"/>
              <w:rPr>
                <w:rFonts w:ascii="仿宋" w:hAnsi="仿宋" w:eastAsia="仿宋" w:cs="仿宋"/>
                <w:bCs/>
                <w:sz w:val="24"/>
                <w:szCs w:val="24"/>
              </w:rPr>
            </w:pPr>
            <w:r>
              <w:rPr>
                <w:rFonts w:hint="eastAsia" w:ascii="仿宋" w:hAnsi="仿宋" w:eastAsia="仿宋" w:cs="仿宋"/>
                <w:bCs/>
                <w:sz w:val="24"/>
                <w:szCs w:val="24"/>
              </w:rPr>
              <w:t>□单间    □标间   订房数量</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间    □否    □自行安排</w:t>
            </w:r>
          </w:p>
        </w:tc>
      </w:tr>
      <w:tr w14:paraId="64C6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8" w:type="dxa"/>
            <w:noWrap/>
            <w:vAlign w:val="center"/>
          </w:tcPr>
          <w:p w14:paraId="76BF8FE2">
            <w:pPr>
              <w:spacing w:line="360" w:lineRule="exact"/>
              <w:ind w:right="80" w:rightChars="38"/>
              <w:rPr>
                <w:rFonts w:ascii="仿宋" w:hAnsi="仿宋" w:eastAsia="仿宋" w:cs="仿宋"/>
                <w:b/>
                <w:sz w:val="24"/>
                <w:szCs w:val="24"/>
              </w:rPr>
            </w:pPr>
            <w:r>
              <w:rPr>
                <w:rFonts w:hint="eastAsia" w:ascii="仿宋" w:hAnsi="仿宋" w:eastAsia="仿宋" w:cs="仿宋"/>
                <w:b/>
                <w:sz w:val="24"/>
                <w:szCs w:val="24"/>
              </w:rPr>
              <w:t>培训地点</w:t>
            </w:r>
          </w:p>
        </w:tc>
        <w:tc>
          <w:tcPr>
            <w:tcW w:w="8032" w:type="dxa"/>
            <w:gridSpan w:val="6"/>
            <w:noWrap/>
            <w:vAlign w:val="center"/>
          </w:tcPr>
          <w:p w14:paraId="0368913D">
            <w:pPr>
              <w:spacing w:line="360" w:lineRule="exact"/>
              <w:ind w:right="80" w:rightChars="38"/>
              <w:rPr>
                <w:rFonts w:hint="eastAsia" w:ascii="仿宋" w:hAnsi="仿宋" w:eastAsia="仿宋" w:cs="仿宋"/>
                <w:bCs/>
                <w:sz w:val="24"/>
                <w:szCs w:val="24"/>
              </w:rPr>
            </w:pPr>
            <w:r>
              <w:rPr>
                <w:rFonts w:hint="eastAsia" w:ascii="仿宋" w:hAnsi="仿宋" w:eastAsia="仿宋" w:cs="仿宋"/>
                <w:bCs/>
                <w:sz w:val="24"/>
                <w:szCs w:val="24"/>
              </w:rPr>
              <w:t>□上海市</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□广州市</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w:t>
            </w:r>
            <w:r>
              <w:rPr>
                <w:rFonts w:hint="eastAsia" w:ascii="仿宋" w:hAnsi="仿宋" w:eastAsia="仿宋" w:cs="仿宋"/>
                <w:bCs/>
                <w:sz w:val="24"/>
                <w:szCs w:val="24"/>
                <w:lang w:val="en-US" w:eastAsia="zh-CN"/>
              </w:rPr>
              <w:t xml:space="preserve">成都市      </w:t>
            </w:r>
            <w:r>
              <w:rPr>
                <w:rFonts w:hint="eastAsia" w:ascii="仿宋" w:hAnsi="仿宋" w:eastAsia="仿宋" w:cs="仿宋"/>
                <w:bCs/>
                <w:sz w:val="24"/>
                <w:szCs w:val="24"/>
              </w:rPr>
              <w:t xml:space="preserve">□乌鲁木齐市 </w:t>
            </w:r>
          </w:p>
          <w:p w14:paraId="43EC6777">
            <w:pPr>
              <w:spacing w:line="360" w:lineRule="exact"/>
              <w:ind w:right="80" w:rightChars="38"/>
              <w:rPr>
                <w:rFonts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 xml:space="preserve">厦门市      </w:t>
            </w:r>
            <w:r>
              <w:rPr>
                <w:rFonts w:hint="eastAsia" w:ascii="仿宋" w:hAnsi="仿宋" w:eastAsia="仿宋" w:cs="仿宋"/>
                <w:bCs/>
                <w:sz w:val="24"/>
                <w:szCs w:val="24"/>
              </w:rPr>
              <w:t>□</w:t>
            </w:r>
            <w:r>
              <w:rPr>
                <w:rFonts w:hint="eastAsia" w:ascii="仿宋" w:hAnsi="仿宋" w:eastAsia="仿宋" w:cs="仿宋"/>
                <w:bCs/>
                <w:sz w:val="24"/>
                <w:szCs w:val="24"/>
                <w:lang w:val="en-US" w:eastAsia="zh-CN"/>
              </w:rPr>
              <w:t xml:space="preserve">昆明市      </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 xml:space="preserve">贵州市      </w:t>
            </w:r>
            <w:r>
              <w:rPr>
                <w:rFonts w:hint="eastAsia" w:ascii="仿宋" w:hAnsi="仿宋" w:eastAsia="仿宋" w:cs="仿宋"/>
                <w:bCs/>
                <w:sz w:val="24"/>
                <w:szCs w:val="24"/>
                <w:lang w:eastAsia="zh-CN"/>
              </w:rPr>
              <w:t>□</w:t>
            </w:r>
            <w:r>
              <w:rPr>
                <w:rFonts w:hint="eastAsia" w:ascii="仿宋" w:hAnsi="仿宋" w:eastAsia="仿宋" w:cs="仿宋"/>
                <w:bCs/>
                <w:sz w:val="24"/>
                <w:szCs w:val="24"/>
              </w:rPr>
              <w:t>拉萨市</w:t>
            </w:r>
          </w:p>
        </w:tc>
      </w:tr>
      <w:tr w14:paraId="7181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278" w:type="dxa"/>
            <w:noWrap/>
            <w:vAlign w:val="center"/>
          </w:tcPr>
          <w:p w14:paraId="0FB636B6">
            <w:pPr>
              <w:spacing w:line="360" w:lineRule="exact"/>
              <w:ind w:right="80" w:rightChars="38"/>
              <w:rPr>
                <w:rFonts w:ascii="仿宋" w:hAnsi="仿宋" w:eastAsia="仿宋" w:cs="仿宋"/>
                <w:b/>
                <w:sz w:val="24"/>
                <w:szCs w:val="24"/>
              </w:rPr>
            </w:pPr>
            <w:r>
              <w:rPr>
                <w:rFonts w:hint="eastAsia" w:ascii="仿宋" w:hAnsi="仿宋" w:eastAsia="仿宋" w:cs="仿宋"/>
                <w:b/>
                <w:sz w:val="24"/>
                <w:szCs w:val="24"/>
              </w:rPr>
              <w:t>付款方式</w:t>
            </w:r>
          </w:p>
        </w:tc>
        <w:tc>
          <w:tcPr>
            <w:tcW w:w="8032" w:type="dxa"/>
            <w:gridSpan w:val="6"/>
            <w:noWrap/>
            <w:vAlign w:val="center"/>
          </w:tcPr>
          <w:p w14:paraId="1CDAE359">
            <w:pPr>
              <w:spacing w:line="360" w:lineRule="exact"/>
              <w:ind w:right="80" w:rightChars="38"/>
              <w:rPr>
                <w:rFonts w:ascii="仿宋" w:hAnsi="仿宋" w:eastAsia="仿宋" w:cs="仿宋"/>
                <w:bCs/>
                <w:sz w:val="24"/>
                <w:szCs w:val="24"/>
              </w:rPr>
            </w:pPr>
            <w:r>
              <w:rPr>
                <w:rFonts w:hint="eastAsia" w:ascii="仿宋" w:hAnsi="仿宋" w:eastAsia="仿宋" w:cs="仿宋"/>
                <w:bCs/>
                <w:sz w:val="24"/>
                <w:szCs w:val="24"/>
              </w:rPr>
              <w:t>□通过银行     □刷卡       □现金       □微信/支付宝</w:t>
            </w:r>
          </w:p>
        </w:tc>
      </w:tr>
      <w:tr w14:paraId="284F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278" w:type="dxa"/>
            <w:noWrap/>
            <w:vAlign w:val="center"/>
          </w:tcPr>
          <w:p w14:paraId="01D06489">
            <w:pPr>
              <w:ind w:right="80" w:rightChars="38"/>
              <w:rPr>
                <w:rFonts w:ascii="仿宋" w:hAnsi="仿宋" w:eastAsia="仿宋" w:cs="仿宋"/>
                <w:b/>
                <w:bCs/>
                <w:sz w:val="24"/>
                <w:szCs w:val="24"/>
                <w:lang w:val="zh-CN" w:bidi="zh-CN"/>
              </w:rPr>
            </w:pPr>
            <w:r>
              <w:rPr>
                <w:rFonts w:hint="eastAsia" w:ascii="仿宋" w:hAnsi="仿宋" w:eastAsia="仿宋" w:cs="仿宋"/>
                <w:b/>
                <w:bCs/>
                <w:sz w:val="24"/>
                <w:szCs w:val="24"/>
              </w:rPr>
              <w:t>发票类别</w:t>
            </w:r>
          </w:p>
        </w:tc>
        <w:tc>
          <w:tcPr>
            <w:tcW w:w="8032" w:type="dxa"/>
            <w:gridSpan w:val="6"/>
            <w:noWrap/>
          </w:tcPr>
          <w:p w14:paraId="1C943C70">
            <w:pPr>
              <w:ind w:right="80" w:rightChars="38"/>
              <w:rPr>
                <w:rFonts w:ascii="仿宋" w:hAnsi="仿宋" w:eastAsia="仿宋" w:cs="仿宋"/>
                <w:sz w:val="24"/>
                <w:szCs w:val="24"/>
              </w:rPr>
            </w:pPr>
            <w:r>
              <w:rPr>
                <w:rFonts w:hint="eastAsia" w:ascii="仿宋" w:hAnsi="仿宋" w:eastAsia="仿宋" w:cs="仿宋"/>
                <w:sz w:val="24"/>
                <w:szCs w:val="24"/>
              </w:rPr>
              <w:t>增值税（□普通□专用）发票,开票信息如下：</w:t>
            </w:r>
          </w:p>
          <w:p w14:paraId="526798C4">
            <w:pPr>
              <w:ind w:right="80" w:rightChars="38"/>
              <w:rPr>
                <w:rFonts w:ascii="仿宋" w:hAnsi="仿宋" w:eastAsia="仿宋" w:cs="仿宋"/>
                <w:sz w:val="24"/>
                <w:szCs w:val="24"/>
              </w:rPr>
            </w:pPr>
            <w:r>
              <w:rPr>
                <w:rFonts w:hint="eastAsia" w:ascii="仿宋" w:hAnsi="仿宋" w:eastAsia="仿宋" w:cs="仿宋"/>
                <w:sz w:val="24"/>
                <w:szCs w:val="24"/>
              </w:rPr>
              <w:t>单 位 名 称：</w:t>
            </w:r>
          </w:p>
          <w:p w14:paraId="1A15A83B">
            <w:pPr>
              <w:ind w:right="80" w:rightChars="38"/>
              <w:rPr>
                <w:rFonts w:ascii="仿宋" w:hAnsi="仿宋" w:eastAsia="仿宋" w:cs="仿宋"/>
                <w:sz w:val="24"/>
                <w:szCs w:val="24"/>
              </w:rPr>
            </w:pPr>
            <w:r>
              <w:rPr>
                <w:rFonts w:hint="eastAsia" w:ascii="仿宋" w:hAnsi="仿宋" w:eastAsia="仿宋" w:cs="仿宋"/>
                <w:sz w:val="24"/>
                <w:szCs w:val="24"/>
              </w:rPr>
              <w:t>税       号：</w:t>
            </w:r>
          </w:p>
          <w:p w14:paraId="22B4CF1B">
            <w:pPr>
              <w:ind w:right="80" w:rightChars="38"/>
              <w:rPr>
                <w:rFonts w:ascii="仿宋" w:hAnsi="仿宋" w:eastAsia="仿宋" w:cs="仿宋"/>
                <w:sz w:val="24"/>
                <w:szCs w:val="24"/>
              </w:rPr>
            </w:pPr>
            <w:r>
              <w:rPr>
                <w:rFonts w:hint="eastAsia" w:ascii="仿宋" w:hAnsi="仿宋" w:eastAsia="仿宋" w:cs="仿宋"/>
                <w:sz w:val="24"/>
                <w:szCs w:val="24"/>
              </w:rPr>
              <w:t>地址、 电话：</w:t>
            </w:r>
          </w:p>
          <w:p w14:paraId="0DEE072F">
            <w:pPr>
              <w:ind w:right="80" w:rightChars="38"/>
              <w:rPr>
                <w:rFonts w:ascii="仿宋" w:hAnsi="仿宋" w:eastAsia="仿宋" w:cs="仿宋"/>
                <w:bCs/>
                <w:sz w:val="24"/>
                <w:szCs w:val="24"/>
              </w:rPr>
            </w:pPr>
            <w:r>
              <w:rPr>
                <w:rFonts w:hint="eastAsia" w:ascii="仿宋" w:hAnsi="仿宋" w:eastAsia="仿宋" w:cs="仿宋"/>
                <w:sz w:val="24"/>
                <w:szCs w:val="24"/>
              </w:rPr>
              <w:t>开户行、账号：</w:t>
            </w:r>
          </w:p>
        </w:tc>
      </w:tr>
      <w:tr w14:paraId="537E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278" w:type="dxa"/>
            <w:noWrap/>
            <w:vAlign w:val="center"/>
          </w:tcPr>
          <w:p w14:paraId="45499909">
            <w:pPr>
              <w:spacing w:line="360" w:lineRule="exact"/>
              <w:ind w:right="80" w:rightChars="38"/>
              <w:rPr>
                <w:rFonts w:ascii="仿宋" w:hAnsi="仿宋" w:eastAsia="仿宋" w:cs="仿宋"/>
                <w:bCs/>
                <w:sz w:val="24"/>
                <w:szCs w:val="24"/>
                <w:lang w:val="zh-CN" w:bidi="zh-CN"/>
              </w:rPr>
            </w:pPr>
            <w:r>
              <w:rPr>
                <w:rFonts w:hint="eastAsia" w:ascii="仿宋" w:hAnsi="仿宋" w:eastAsia="仿宋" w:cs="仿宋"/>
                <w:b/>
                <w:bCs/>
                <w:sz w:val="24"/>
                <w:szCs w:val="24"/>
              </w:rPr>
              <w:t>指定收款账    户</w:t>
            </w:r>
          </w:p>
        </w:tc>
        <w:tc>
          <w:tcPr>
            <w:tcW w:w="8032" w:type="dxa"/>
            <w:gridSpan w:val="6"/>
            <w:noWrap/>
            <w:vAlign w:val="center"/>
          </w:tcPr>
          <w:p w14:paraId="13886F4D">
            <w:pPr>
              <w:ind w:right="80" w:rightChars="3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单位名称：北京众兴企培咨询有限公司</w:t>
            </w:r>
          </w:p>
          <w:p w14:paraId="137CF206">
            <w:pPr>
              <w:ind w:right="80" w:rightChars="3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开户行：中国工商银行股份有限公司北京龙泉支行</w:t>
            </w:r>
          </w:p>
          <w:p w14:paraId="066CC852">
            <w:pPr>
              <w:ind w:right="80" w:rightChars="38"/>
              <w:rPr>
                <w:rFonts w:ascii="仿宋" w:hAnsi="仿宋" w:eastAsia="仿宋" w:cs="仿宋"/>
                <w:bCs/>
                <w:sz w:val="24"/>
                <w:szCs w:val="24"/>
                <w:lang w:bidi="zh-CN"/>
              </w:rPr>
            </w:pPr>
            <w:r>
              <w:rPr>
                <w:rFonts w:hint="eastAsia" w:ascii="仿宋" w:hAnsi="仿宋" w:eastAsia="仿宋" w:cs="仿宋"/>
                <w:sz w:val="24"/>
                <w:szCs w:val="24"/>
                <w:lang w:val="en-US" w:eastAsia="zh-CN"/>
              </w:rPr>
              <w:t>账  号：0200 0020 0920 0234 085（行号：102100000208)</w:t>
            </w:r>
          </w:p>
        </w:tc>
      </w:tr>
    </w:tbl>
    <w:p w14:paraId="62F3C2DB">
      <w:pPr>
        <w:keepNext w:val="0"/>
        <w:keepLines w:val="0"/>
        <w:pageBreakBefore w:val="0"/>
        <w:widowControl w:val="0"/>
        <w:kinsoku/>
        <w:wordWrap/>
        <w:overflowPunct/>
        <w:topLinePunct w:val="0"/>
        <w:autoSpaceDE/>
        <w:autoSpaceDN/>
        <w:bidi w:val="0"/>
        <w:adjustRightInd/>
        <w:snapToGrid/>
        <w:spacing w:line="400" w:lineRule="exact"/>
        <w:ind w:right="119"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备注： 1、请尽早报名，额满为止。参会报名表复制有效</w:t>
      </w:r>
    </w:p>
    <w:p w14:paraId="46CC88FF">
      <w:pPr>
        <w:keepNext w:val="0"/>
        <w:keepLines w:val="0"/>
        <w:pageBreakBefore w:val="0"/>
        <w:widowControl w:val="0"/>
        <w:numPr>
          <w:numId w:val="0"/>
        </w:numPr>
        <w:kinsoku/>
        <w:wordWrap/>
        <w:overflowPunct/>
        <w:topLinePunct w:val="0"/>
        <w:autoSpaceDE/>
        <w:autoSpaceDN/>
        <w:bidi w:val="0"/>
        <w:adjustRightInd/>
        <w:snapToGrid/>
        <w:spacing w:line="400" w:lineRule="exact"/>
        <w:ind w:right="119" w:rightChars="0" w:firstLine="1687" w:firstLineChars="700"/>
        <w:textAlignment w:val="auto"/>
        <w:rPr>
          <w:rFonts w:hint="eastAsia" w:ascii="仿宋" w:hAnsi="仿宋" w:eastAsia="仿宋" w:cs="仿宋"/>
          <w:b/>
          <w:bCs w:val="0"/>
          <w:sz w:val="24"/>
          <w:szCs w:val="24"/>
        </w:rPr>
      </w:pPr>
      <w:r>
        <w:rPr>
          <w:rFonts w:hint="eastAsia" w:ascii="仿宋" w:hAnsi="仿宋" w:eastAsia="仿宋" w:cs="仿宋"/>
          <w:b/>
          <w:bCs w:val="0"/>
          <w:sz w:val="24"/>
          <w:szCs w:val="24"/>
        </w:rPr>
        <w:t xml:space="preserve">报名负责人：聂红军 主任18211071700（微信）   </w:t>
      </w:r>
    </w:p>
    <w:p w14:paraId="18A2039D">
      <w:pPr>
        <w:keepNext w:val="0"/>
        <w:keepLines w:val="0"/>
        <w:pageBreakBefore w:val="0"/>
        <w:widowControl w:val="0"/>
        <w:numPr>
          <w:numId w:val="0"/>
        </w:numPr>
        <w:kinsoku/>
        <w:wordWrap/>
        <w:overflowPunct/>
        <w:topLinePunct w:val="0"/>
        <w:autoSpaceDE/>
        <w:autoSpaceDN/>
        <w:bidi w:val="0"/>
        <w:adjustRightInd/>
        <w:snapToGrid/>
        <w:spacing w:line="400" w:lineRule="exact"/>
        <w:ind w:left="1680" w:leftChars="0" w:right="119" w:rightChars="0"/>
        <w:textAlignment w:val="auto"/>
        <w:rPr>
          <w:rFonts w:hint="eastAsia" w:ascii="仿宋" w:hAnsi="仿宋" w:eastAsia="仿宋" w:cs="仿宋"/>
          <w:b/>
          <w:bCs w:val="0"/>
          <w:sz w:val="24"/>
          <w:szCs w:val="24"/>
        </w:rPr>
      </w:pPr>
      <w:r>
        <w:rPr>
          <w:rFonts w:hint="eastAsia" w:ascii="仿宋" w:hAnsi="仿宋" w:eastAsia="仿宋" w:cs="仿宋"/>
          <w:b/>
          <w:bCs w:val="0"/>
          <w:sz w:val="24"/>
          <w:szCs w:val="24"/>
        </w:rPr>
        <w:t xml:space="preserve">电    话：13141289128        邮    箱：zqgphwz@126.com  </w:t>
      </w:r>
    </w:p>
    <w:p w14:paraId="35E56C14">
      <w:pPr>
        <w:keepNext w:val="0"/>
        <w:keepLines w:val="0"/>
        <w:pageBreakBefore w:val="0"/>
        <w:widowControl w:val="0"/>
        <w:numPr>
          <w:numId w:val="0"/>
        </w:numPr>
        <w:kinsoku/>
        <w:wordWrap/>
        <w:overflowPunct/>
        <w:topLinePunct w:val="0"/>
        <w:autoSpaceDE/>
        <w:autoSpaceDN/>
        <w:bidi w:val="0"/>
        <w:adjustRightInd/>
        <w:snapToGrid/>
        <w:spacing w:line="400" w:lineRule="exact"/>
        <w:ind w:left="1680" w:leftChars="0" w:right="119" w:rightChars="0"/>
        <w:textAlignment w:val="auto"/>
        <w:rPr>
          <w:rFonts w:hint="eastAsia" w:ascii="仿宋" w:hAnsi="仿宋" w:eastAsia="仿宋" w:cs="仿宋"/>
          <w:b/>
          <w:bCs w:val="0"/>
          <w:sz w:val="24"/>
          <w:lang w:val="en-US"/>
        </w:rPr>
      </w:pPr>
      <w:r>
        <w:rPr>
          <w:rFonts w:hint="eastAsia" w:ascii="仿宋" w:hAnsi="仿宋" w:eastAsia="仿宋" w:cs="仿宋"/>
          <w:b/>
          <w:bCs w:val="0"/>
          <w:sz w:val="24"/>
          <w:szCs w:val="24"/>
        </w:rPr>
        <w:t xml:space="preserve">qq咨询：3177524020      </w:t>
      </w:r>
      <w:bookmarkStart w:id="4" w:name="_GoBack"/>
      <w:bookmarkEnd w:id="4"/>
      <w:r>
        <w:rPr>
          <w:rFonts w:hint="eastAsia" w:ascii="仿宋" w:hAnsi="仿宋" w:eastAsia="仿宋" w:cs="仿宋"/>
          <w:b/>
          <w:bCs w:val="0"/>
          <w:sz w:val="24"/>
          <w:szCs w:val="24"/>
        </w:rPr>
        <w:t xml:space="preserve">    网    址：http://www.zqgpchina.cn</w:t>
      </w:r>
    </w:p>
    <w:sectPr>
      <w:footerReference r:id="rId3" w:type="default"/>
      <w:pgSz w:w="11906" w:h="16838"/>
      <w:pgMar w:top="1270" w:right="1133" w:bottom="127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4D5B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EB1C09">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08EB1C0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OWEzN2Y5ZGYxYTY2NDAzN2JhMDllZmNiOTE0OTEifQ=="/>
  </w:docVars>
  <w:rsids>
    <w:rsidRoot w:val="52BA4540"/>
    <w:rsid w:val="00000270"/>
    <w:rsid w:val="00213320"/>
    <w:rsid w:val="00387770"/>
    <w:rsid w:val="0060459A"/>
    <w:rsid w:val="006C233B"/>
    <w:rsid w:val="00767CED"/>
    <w:rsid w:val="008C6D08"/>
    <w:rsid w:val="00971E24"/>
    <w:rsid w:val="00AF5A15"/>
    <w:rsid w:val="00BE744B"/>
    <w:rsid w:val="00D01D9C"/>
    <w:rsid w:val="00EF7B2D"/>
    <w:rsid w:val="00FD14F0"/>
    <w:rsid w:val="02807BD4"/>
    <w:rsid w:val="03B64434"/>
    <w:rsid w:val="062B03BE"/>
    <w:rsid w:val="069854E9"/>
    <w:rsid w:val="09000A8C"/>
    <w:rsid w:val="094A296F"/>
    <w:rsid w:val="099C43EE"/>
    <w:rsid w:val="0AA75F99"/>
    <w:rsid w:val="0ABB6432"/>
    <w:rsid w:val="0AF344C3"/>
    <w:rsid w:val="0DA01F4C"/>
    <w:rsid w:val="0DB877F3"/>
    <w:rsid w:val="0EA71FE5"/>
    <w:rsid w:val="0EBF6020"/>
    <w:rsid w:val="0FBD42BF"/>
    <w:rsid w:val="10F900DB"/>
    <w:rsid w:val="121512EE"/>
    <w:rsid w:val="12E530F1"/>
    <w:rsid w:val="132105EB"/>
    <w:rsid w:val="13692E5D"/>
    <w:rsid w:val="148F32E9"/>
    <w:rsid w:val="18085389"/>
    <w:rsid w:val="1966404B"/>
    <w:rsid w:val="1A942C5A"/>
    <w:rsid w:val="1C4E63EC"/>
    <w:rsid w:val="1D5C7817"/>
    <w:rsid w:val="1E327AC3"/>
    <w:rsid w:val="1EEE0DF0"/>
    <w:rsid w:val="200A78E9"/>
    <w:rsid w:val="20677580"/>
    <w:rsid w:val="2142553D"/>
    <w:rsid w:val="21D06ED2"/>
    <w:rsid w:val="22E05EA5"/>
    <w:rsid w:val="2D1B7529"/>
    <w:rsid w:val="2D892AED"/>
    <w:rsid w:val="2E252C61"/>
    <w:rsid w:val="31B604B7"/>
    <w:rsid w:val="31E72C6D"/>
    <w:rsid w:val="33997124"/>
    <w:rsid w:val="35B83942"/>
    <w:rsid w:val="3786517C"/>
    <w:rsid w:val="38EA0422"/>
    <w:rsid w:val="38EA055A"/>
    <w:rsid w:val="3A1319B2"/>
    <w:rsid w:val="3A9A47DC"/>
    <w:rsid w:val="3B1304BF"/>
    <w:rsid w:val="3B8F15CF"/>
    <w:rsid w:val="3DA10D6C"/>
    <w:rsid w:val="3E1066B3"/>
    <w:rsid w:val="412A7D53"/>
    <w:rsid w:val="434723A4"/>
    <w:rsid w:val="4515782D"/>
    <w:rsid w:val="4549112E"/>
    <w:rsid w:val="48AF10D5"/>
    <w:rsid w:val="49D21786"/>
    <w:rsid w:val="4A5F0191"/>
    <w:rsid w:val="4AD93CE9"/>
    <w:rsid w:val="4B6B1A45"/>
    <w:rsid w:val="4D065F7D"/>
    <w:rsid w:val="4D5D30C4"/>
    <w:rsid w:val="4F251D63"/>
    <w:rsid w:val="50D5276F"/>
    <w:rsid w:val="52BA4540"/>
    <w:rsid w:val="54EC0A6C"/>
    <w:rsid w:val="55525F8E"/>
    <w:rsid w:val="55D1599B"/>
    <w:rsid w:val="563105E9"/>
    <w:rsid w:val="57056335"/>
    <w:rsid w:val="57B67DC0"/>
    <w:rsid w:val="5A21751A"/>
    <w:rsid w:val="5A242806"/>
    <w:rsid w:val="5C065F82"/>
    <w:rsid w:val="5C2E1A3D"/>
    <w:rsid w:val="5C49715E"/>
    <w:rsid w:val="5CE0556F"/>
    <w:rsid w:val="5D12661A"/>
    <w:rsid w:val="5DD6264D"/>
    <w:rsid w:val="5F8E3126"/>
    <w:rsid w:val="60940AF0"/>
    <w:rsid w:val="61915012"/>
    <w:rsid w:val="61FA14C7"/>
    <w:rsid w:val="62D1212E"/>
    <w:rsid w:val="63236A81"/>
    <w:rsid w:val="648275DD"/>
    <w:rsid w:val="65BC08CD"/>
    <w:rsid w:val="66124726"/>
    <w:rsid w:val="66500B25"/>
    <w:rsid w:val="67510AEF"/>
    <w:rsid w:val="68B72EDE"/>
    <w:rsid w:val="696D1EDE"/>
    <w:rsid w:val="6BDB3353"/>
    <w:rsid w:val="6C6450ED"/>
    <w:rsid w:val="6D934609"/>
    <w:rsid w:val="715916C6"/>
    <w:rsid w:val="718A3161"/>
    <w:rsid w:val="71CD72E3"/>
    <w:rsid w:val="731A007D"/>
    <w:rsid w:val="74F80F82"/>
    <w:rsid w:val="750E704A"/>
    <w:rsid w:val="757B3CD3"/>
    <w:rsid w:val="75C534A2"/>
    <w:rsid w:val="77062B32"/>
    <w:rsid w:val="77100891"/>
    <w:rsid w:val="794756F7"/>
    <w:rsid w:val="7A116B86"/>
    <w:rsid w:val="7A484E92"/>
    <w:rsid w:val="7C1B73C2"/>
    <w:rsid w:val="7D284642"/>
    <w:rsid w:val="7D4C1230"/>
    <w:rsid w:val="7E37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lang w:eastAsia="en-US"/>
    </w:rPr>
  </w:style>
  <w:style w:type="paragraph" w:styleId="3">
    <w:name w:val="Body Text Indent"/>
    <w:basedOn w:val="1"/>
    <w:next w:val="4"/>
    <w:autoRedefine/>
    <w:qFormat/>
    <w:uiPriority w:val="0"/>
    <w:pPr>
      <w:spacing w:after="120"/>
      <w:ind w:left="420" w:leftChars="200"/>
    </w:pPr>
    <w:rPr>
      <w:rFonts w:ascii="Times New Roman" w:hAnsi="Times New Roman" w:eastAsia="宋体" w:cs="Times New Roman"/>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3"/>
    <w:next w:val="1"/>
    <w:autoRedefine/>
    <w:qFormat/>
    <w:uiPriority w:val="99"/>
    <w:pPr>
      <w:ind w:firstLine="420" w:firstLineChars="200"/>
    </w:pPr>
    <w:rPr>
      <w:sz w:val="24"/>
    </w:rPr>
  </w:style>
  <w:style w:type="character" w:styleId="10">
    <w:name w:val="Strong"/>
    <w:basedOn w:val="9"/>
    <w:autoRedefine/>
    <w:qFormat/>
    <w:uiPriority w:val="22"/>
    <w:rPr>
      <w:rFonts w:ascii="Times New Roman" w:hAnsi="Times New Roman" w:eastAsia="宋体" w:cs="Times New Roman"/>
      <w:b/>
      <w:bCs/>
    </w:rPr>
  </w:style>
  <w:style w:type="paragraph" w:styleId="11">
    <w:name w:val="List Paragraph"/>
    <w:basedOn w:val="1"/>
    <w:autoRedefine/>
    <w:qFormat/>
    <w:uiPriority w:val="34"/>
    <w:pPr>
      <w:widowControl/>
      <w:ind w:firstLine="420" w:firstLineChars="20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5330</Words>
  <Characters>5959</Characters>
  <Lines>50</Lines>
  <Paragraphs>14</Paragraphs>
  <TotalTime>11</TotalTime>
  <ScaleCrop>false</ScaleCrop>
  <LinksUpToDate>false</LinksUpToDate>
  <CharactersWithSpaces>6318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2025-01-15T09:03:00Z</dcterms:created>
  <dc:creator>姣 儿</dc:creator>
  <cp:lastModifiedBy>聂红军</cp:lastModifiedBy>
  <dcterms:modified xsi:type="dcterms:W3CDTF">2025-02-06T05:32:18Z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7AF5CDB1DAC640D7AB0AEE260B339F0C_13</vt:lpwstr>
  </property>
  <property fmtid="{D5CDD505-2E9C-101B-9397-08002B2CF9AE}" pid="4" name="KSOTemplateDocerSaveRecord">
    <vt:lpwstr>eyJoZGlkIjoiZTUyMWM5NTU3NmQwMzYzZGY2NjUyMjZkNDUzMDVhNDkiLCJ1c2VySWQiOiI0OTM4MTE0ODQifQ==</vt:lpwstr>
  </property>
</Properties>
</file>