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FD8C">
      <w:pPr>
        <w:jc w:val="distribute"/>
        <w:rPr>
          <w:rFonts w:ascii="宋体" w:hAnsi="宋体" w:eastAsia="宋体"/>
          <w:b/>
          <w:bCs/>
          <w:color w:val="FF0000"/>
          <w:sz w:val="84"/>
          <w:szCs w:val="84"/>
          <w:lang w:val="zh-TW" w:eastAsia="zh-TW" w:bidi="zh-TW"/>
        </w:rPr>
      </w:pPr>
      <w:r>
        <w:rPr>
          <w:rFonts w:ascii="宋体" w:hAnsi="宋体" w:eastAsia="宋体"/>
          <w:b/>
          <w:bCs/>
          <w:color w:val="FF0000"/>
          <w:sz w:val="84"/>
          <w:szCs w:val="84"/>
          <w:lang w:val="zh-TW" w:eastAsia="zh-TW" w:bidi="zh-TW"/>
        </w:rPr>
        <w:t>中国投资协会培训中心</w:t>
      </w:r>
    </w:p>
    <w:p w14:paraId="4CC9C962">
      <w:pPr>
        <w:keepNext w:val="0"/>
        <w:keepLines w:val="0"/>
        <w:pageBreakBefore w:val="0"/>
        <w:widowControl w:val="0"/>
        <w:tabs>
          <w:tab w:val="left" w:pos="1390"/>
          <w:tab w:val="center" w:pos="5233"/>
        </w:tabs>
        <w:kinsoku/>
        <w:wordWrap/>
        <w:overflowPunct/>
        <w:topLinePunct w:val="0"/>
        <w:autoSpaceDE/>
        <w:autoSpaceDN/>
        <w:bidi w:val="0"/>
        <w:adjustRightInd/>
        <w:snapToGrid/>
        <w:spacing w:line="240" w:lineRule="auto"/>
        <w:ind w:firstLine="3000" w:firstLineChars="1000"/>
        <w:jc w:val="both"/>
        <w:textAlignment w:val="auto"/>
        <w:rPr>
          <w:rFonts w:hint="eastAsia" w:ascii="宋体" w:hAnsi="宋体" w:eastAsia="宋体" w:cs="宋体"/>
          <w:b w:val="0"/>
          <w:bCs w:val="0"/>
          <w:i w:val="0"/>
          <w:iCs w:val="0"/>
          <w:caps w:val="0"/>
          <w:color w:val="333333"/>
          <w:spacing w:val="0"/>
          <w:sz w:val="28"/>
          <w:szCs w:val="28"/>
          <w:lang w:val="en-US" w:eastAsia="zh-CN"/>
        </w:rPr>
      </w:pPr>
      <w:r>
        <w:rPr>
          <w:rFonts w:ascii="宋体" w:hAnsi="宋体" w:eastAsia="宋体"/>
          <w:color w:val="000000"/>
          <w:sz w:val="30"/>
          <w:szCs w:val="30"/>
          <w:lang w:val="zh-TW" w:eastAsia="zh-TW" w:bidi="zh-TW"/>
        </w:rPr>
        <w:t>中投协培〔</w:t>
      </w:r>
      <w:r>
        <w:rPr>
          <w:rFonts w:ascii="Times New Roman" w:hAnsi="Times New Roman" w:eastAsia="Times New Roman" w:cs="Times New Roman"/>
          <w:color w:val="000000"/>
          <w:sz w:val="32"/>
          <w:szCs w:val="32"/>
          <w:lang w:val="zh-TW" w:eastAsia="zh-TW" w:bidi="zh-TW"/>
        </w:rPr>
        <w:t>202</w:t>
      </w:r>
      <w:r>
        <w:rPr>
          <w:rFonts w:hint="eastAsia" w:ascii="Times New Roman" w:hAnsi="Times New Roman" w:eastAsia="宋体" w:cs="Times New Roman"/>
          <w:color w:val="000000"/>
          <w:sz w:val="32"/>
          <w:szCs w:val="32"/>
          <w:lang w:val="en-US" w:eastAsia="zh-CN" w:bidi="zh-TW"/>
        </w:rPr>
        <w:t>5</w:t>
      </w:r>
      <w:r>
        <w:rPr>
          <w:rFonts w:ascii="宋体" w:hAnsi="宋体" w:eastAsia="宋体"/>
          <w:color w:val="000000"/>
          <w:sz w:val="30"/>
          <w:szCs w:val="30"/>
          <w:lang w:val="zh-TW" w:eastAsia="zh-TW" w:bidi="zh-TW"/>
        </w:rPr>
        <w:t>〕</w:t>
      </w:r>
      <w:r>
        <w:rPr>
          <w:rFonts w:hint="eastAsia" w:ascii="宋体" w:hAnsi="宋体" w:eastAsia="宋体"/>
          <w:color w:val="000000"/>
          <w:sz w:val="30"/>
          <w:szCs w:val="30"/>
          <w:lang w:val="en-US" w:eastAsia="zh-CN" w:bidi="zh-TW"/>
        </w:rPr>
        <w:t>2</w:t>
      </w:r>
      <w:r>
        <w:rPr>
          <w:rFonts w:ascii="宋体" w:hAnsi="宋体" w:eastAsia="宋体"/>
          <w:color w:val="000000"/>
          <w:sz w:val="30"/>
          <w:szCs w:val="30"/>
          <w:lang w:val="zh-TW" w:eastAsia="zh-TW" w:bidi="zh-TW"/>
        </w:rPr>
        <w:t>号</w:t>
      </w:r>
    </w:p>
    <w:p w14:paraId="34389CFD">
      <w:pPr>
        <w:keepNext w:val="0"/>
        <w:keepLines w:val="0"/>
        <w:pageBreakBefore w:val="0"/>
        <w:widowControl w:val="0"/>
        <w:kinsoku/>
        <w:wordWrap/>
        <w:overflowPunct/>
        <w:topLinePunct w:val="0"/>
        <w:autoSpaceDE/>
        <w:autoSpaceDN/>
        <w:bidi w:val="0"/>
        <w:adjustRightInd/>
        <w:snapToGrid/>
        <w:spacing w:line="520" w:lineRule="exact"/>
        <w:ind w:left="0" w:hanging="280" w:hangingChars="100"/>
        <w:jc w:val="center"/>
        <w:textAlignment w:val="auto"/>
        <w:rPr>
          <w:rFonts w:hint="eastAsia" w:ascii="宋体" w:hAnsi="宋体" w:eastAsia="宋体" w:cs="宋体"/>
          <w:b w:val="0"/>
          <w:bCs w:val="0"/>
          <w:color w:val="FF0000"/>
          <w:sz w:val="28"/>
          <w:szCs w:val="28"/>
        </w:rPr>
      </w:pPr>
      <w:r>
        <w:rPr>
          <w:rFonts w:hint="eastAsia" w:ascii="宋体" w:hAnsi="宋体" w:eastAsia="宋体" w:cs="宋体"/>
          <w:b w:val="0"/>
          <w:bCs w:val="0"/>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ge">
                  <wp:posOffset>2065020</wp:posOffset>
                </wp:positionV>
                <wp:extent cx="5977890" cy="9525"/>
                <wp:effectExtent l="0" t="19050" r="3810" b="28575"/>
                <wp:wrapNone/>
                <wp:docPr id="8" name="直接箭头连接符 8"/>
                <wp:cNvGraphicFramePr/>
                <a:graphic xmlns:a="http://schemas.openxmlformats.org/drawingml/2006/main">
                  <a:graphicData uri="http://schemas.microsoft.com/office/word/2010/wordprocessingShape">
                    <wps:wsp>
                      <wps:cNvCnPr/>
                      <wps:spPr>
                        <a:xfrm>
                          <a:off x="0" y="0"/>
                          <a:ext cx="5977890" cy="9525"/>
                        </a:xfrm>
                        <a:prstGeom prst="straightConnector1">
                          <a:avLst/>
                        </a:prstGeom>
                        <a:ln w="381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pt;margin-top:162.6pt;height:0.75pt;width:470.7pt;mso-position-vertical-relative:page;z-index:251659264;mso-width-relative:page;mso-height-relative:page;" filled="f" stroked="t" coordsize="21600,21600" o:gfxdata="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lTII2QAAAAkBAAAPAAAAAAAAAAEAIAAAACIAAABk&#10;cnMvZG93bnJldi54bWxQSwECFAAUAAAACACHTuJAhQsRawUCAAD6AwAADgAAAAAAAAABACAAAAAo&#10;AQAAZHJzL2Uyb0RvYy54bWxQSwUGAAAAAAYABgBZAQAAnwUAAAAA&#10;">
                <v:fill on="f" focussize="0,0"/>
                <v:stroke weight="3pt" color="#FF0000" joinstyle="round"/>
                <v:imagedata o:title=""/>
                <o:lock v:ext="edit" aspectratio="f"/>
              </v:shape>
            </w:pict>
          </mc:Fallback>
        </mc:AlternateContent>
      </w:r>
    </w:p>
    <w:p w14:paraId="7D3546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default" w:ascii="仿宋" w:hAnsi="仿宋" w:cs="仿宋"/>
          <w:b/>
          <w:bCs/>
          <w:color w:val="auto"/>
          <w:kern w:val="2"/>
          <w:sz w:val="32"/>
          <w:szCs w:val="32"/>
          <w:lang w:val="en-US" w:eastAsia="zh-CN" w:bidi="ar-SA"/>
        </w:rPr>
      </w:pPr>
      <w:r>
        <w:rPr>
          <w:rFonts w:hint="eastAsia" w:cs="仿宋"/>
          <w:b/>
          <w:bCs/>
          <w:sz w:val="32"/>
          <w:szCs w:val="32"/>
          <w:lang w:val="en-US" w:eastAsia="zh-CN"/>
        </w:rPr>
        <w:t>关于举办“新能源最新政策解读及投资、建设、施工、运维全业务精细化管控实务与DeepSeek赋能提效</w:t>
      </w:r>
      <w:r>
        <w:rPr>
          <w:rFonts w:hint="eastAsia" w:cs="仿宋"/>
          <w:b/>
          <w:bCs/>
          <w:sz w:val="32"/>
          <w:szCs w:val="32"/>
          <w:lang w:eastAsia="zh-CN"/>
        </w:rPr>
        <w:t>”</w:t>
      </w:r>
      <w:r>
        <w:rPr>
          <w:rFonts w:hint="eastAsia" w:cs="仿宋"/>
          <w:b/>
          <w:bCs/>
          <w:sz w:val="32"/>
          <w:szCs w:val="32"/>
          <w:lang w:val="en-US" w:eastAsia="zh-CN"/>
        </w:rPr>
        <w:t>专题培训班的通知</w:t>
      </w:r>
    </w:p>
    <w:p w14:paraId="505676AF">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spacing w:line="400" w:lineRule="exact"/>
        <w:textAlignment w:val="baseline"/>
        <w:outlineLvl w:val="0"/>
        <w:rPr>
          <w:rFonts w:hint="eastAsia" w:ascii="仿宋" w:hAnsi="仿宋" w:cs="仿宋"/>
          <w:b/>
          <w:bCs/>
          <w:sz w:val="28"/>
          <w:szCs w:val="36"/>
          <w:lang w:val="en-US" w:eastAsia="zh-CN"/>
        </w:rPr>
      </w:pPr>
    </w:p>
    <w:p w14:paraId="336A3E3C">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spacing w:line="400" w:lineRule="exact"/>
        <w:textAlignment w:val="baseline"/>
        <w:outlineLvl w:val="0"/>
        <w:rPr>
          <w:rFonts w:hint="eastAsia" w:ascii="仿宋" w:hAnsi="仿宋" w:cs="仿宋"/>
          <w:b/>
          <w:bCs/>
          <w:sz w:val="28"/>
          <w:szCs w:val="36"/>
          <w:lang w:val="en-US" w:eastAsia="zh-CN"/>
        </w:rPr>
      </w:pPr>
      <w:r>
        <w:rPr>
          <w:rFonts w:hint="eastAsia" w:ascii="仿宋" w:hAnsi="仿宋" w:cs="仿宋"/>
          <w:b/>
          <w:bCs/>
          <w:sz w:val="28"/>
          <w:szCs w:val="36"/>
          <w:lang w:val="en-US" w:eastAsia="zh-CN"/>
        </w:rPr>
        <w:t>各有关单位：</w:t>
      </w:r>
    </w:p>
    <w:p w14:paraId="2C2F20A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随着全球能源结构转型加速，新能源产业（风电、光伏、新型储能、抽水蓄能等）已成为推动绿色低碳发展的核心力量。</w:t>
      </w:r>
      <w:r>
        <w:rPr>
          <w:rFonts w:hint="eastAsia" w:cs="仿宋"/>
          <w:color w:val="000000"/>
          <w:sz w:val="28"/>
          <w:szCs w:val="28"/>
          <w:lang w:val="en-US" w:eastAsia="zh-CN"/>
        </w:rPr>
        <w:t>2025年两会进一步强调了能源转型的重要性，新能源产业迎来了新的发展机遇，</w:t>
      </w:r>
      <w:r>
        <w:rPr>
          <w:rFonts w:hint="eastAsia" w:ascii="仿宋" w:hAnsi="仿宋" w:eastAsia="仿宋" w:cs="仿宋"/>
          <w:color w:val="000000"/>
          <w:sz w:val="28"/>
          <w:szCs w:val="28"/>
          <w:lang w:val="en-US" w:eastAsia="zh-CN"/>
        </w:rPr>
        <w:t>然而，新能源项目的开发</w:t>
      </w:r>
      <w:r>
        <w:rPr>
          <w:rFonts w:hint="eastAsia" w:cs="仿宋"/>
          <w:color w:val="000000"/>
          <w:sz w:val="28"/>
          <w:szCs w:val="28"/>
          <w:lang w:val="en-US" w:eastAsia="zh-CN"/>
        </w:rPr>
        <w:t>与管理涉及到复杂的政策解读、投资决策、</w:t>
      </w:r>
      <w:r>
        <w:rPr>
          <w:rFonts w:hint="eastAsia" w:ascii="仿宋" w:hAnsi="仿宋" w:eastAsia="仿宋" w:cs="仿宋"/>
          <w:color w:val="000000"/>
          <w:sz w:val="28"/>
          <w:szCs w:val="28"/>
          <w:lang w:val="en-US" w:eastAsia="zh-CN"/>
        </w:rPr>
        <w:t>建设</w:t>
      </w:r>
      <w:r>
        <w:rPr>
          <w:rFonts w:hint="eastAsia" w:cs="仿宋"/>
          <w:color w:val="000000"/>
          <w:sz w:val="28"/>
          <w:szCs w:val="28"/>
          <w:lang w:val="en-US" w:eastAsia="zh-CN"/>
        </w:rPr>
        <w:t>施工</w:t>
      </w:r>
      <w:r>
        <w:rPr>
          <w:rFonts w:hint="eastAsia" w:ascii="仿宋" w:hAnsi="仿宋" w:eastAsia="仿宋" w:cs="仿宋"/>
          <w:color w:val="000000"/>
          <w:sz w:val="28"/>
          <w:szCs w:val="28"/>
          <w:lang w:val="en-US" w:eastAsia="zh-CN"/>
        </w:rPr>
        <w:t>、运维</w:t>
      </w:r>
      <w:r>
        <w:rPr>
          <w:rFonts w:hint="eastAsia" w:cs="仿宋"/>
          <w:color w:val="000000"/>
          <w:sz w:val="28"/>
          <w:szCs w:val="28"/>
          <w:lang w:val="en-US" w:eastAsia="zh-CN"/>
        </w:rPr>
        <w:t>管理与</w:t>
      </w:r>
      <w:r>
        <w:rPr>
          <w:rFonts w:hint="eastAsia" w:ascii="仿宋" w:hAnsi="仿宋" w:eastAsia="仿宋" w:cs="仿宋"/>
          <w:color w:val="000000"/>
          <w:sz w:val="28"/>
          <w:szCs w:val="28"/>
          <w:lang w:val="en-US" w:eastAsia="zh-CN"/>
        </w:rPr>
        <w:t>DeepSeek技术的应用等多个复杂环节，对从业者的综合能力提出了更高要求。与此同时，人工智能（AI）技术的快速发展为新能源行业带来了新的机遇，尤其是在项目规划、风险预测、运维优化等方面展现出巨大潜力。</w:t>
      </w:r>
    </w:p>
    <w:p w14:paraId="32738A9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color w:val="000000"/>
          <w:sz w:val="28"/>
          <w:szCs w:val="28"/>
          <w:lang w:val="en-US" w:eastAsia="zh-CN"/>
        </w:rPr>
        <w:t>本课程</w:t>
      </w:r>
      <w:r>
        <w:rPr>
          <w:rFonts w:hint="eastAsia" w:cs="仿宋"/>
          <w:color w:val="000000"/>
          <w:sz w:val="28"/>
          <w:szCs w:val="28"/>
          <w:lang w:val="en-US" w:eastAsia="zh-CN"/>
        </w:rPr>
        <w:t>旨在帮助学员全面掌握新能源领域最新政策、投资策略、建设施工技巧、运维管理方法与</w:t>
      </w:r>
      <w:r>
        <w:rPr>
          <w:rFonts w:hint="eastAsia" w:ascii="仿宋" w:hAnsi="仿宋" w:eastAsia="仿宋" w:cs="仿宋"/>
          <w:color w:val="000000"/>
          <w:sz w:val="28"/>
          <w:szCs w:val="28"/>
          <w:lang w:val="en-US" w:eastAsia="zh-CN"/>
        </w:rPr>
        <w:t>DeepSeek</w:t>
      </w:r>
      <w:r>
        <w:rPr>
          <w:rFonts w:hint="eastAsia" w:cs="仿宋"/>
          <w:color w:val="000000"/>
          <w:sz w:val="28"/>
          <w:szCs w:val="28"/>
          <w:lang w:val="en-US" w:eastAsia="zh-CN"/>
        </w:rPr>
        <w:t>技术赋能，提升其在新能源领域的专业素养和实践能力，助力新能源产业高质量发展</w:t>
      </w:r>
      <w:r>
        <w:rPr>
          <w:rFonts w:hint="eastAsia" w:ascii="仿宋" w:hAnsi="仿宋" w:eastAsia="仿宋" w:cs="仿宋"/>
          <w:color w:val="000000"/>
          <w:sz w:val="28"/>
          <w:szCs w:val="28"/>
          <w:lang w:val="en-US" w:eastAsia="zh-CN"/>
        </w:rPr>
        <w:t>。</w:t>
      </w:r>
      <w:r>
        <w:rPr>
          <w:rFonts w:hint="eastAsia" w:ascii="仿宋" w:hAnsi="仿宋"/>
          <w:color w:val="000000"/>
          <w:sz w:val="28"/>
          <w:szCs w:val="28"/>
          <w:lang w:val="en-US" w:eastAsia="zh-CN"/>
        </w:rPr>
        <w:t>中国投资协会</w:t>
      </w:r>
      <w:r>
        <w:rPr>
          <w:rFonts w:hint="eastAsia"/>
          <w:color w:val="000000"/>
          <w:sz w:val="28"/>
          <w:szCs w:val="28"/>
          <w:lang w:val="en-US" w:eastAsia="zh-CN"/>
        </w:rPr>
        <w:t>培训中心</w:t>
      </w:r>
      <w:r>
        <w:rPr>
          <w:rFonts w:hint="eastAsia" w:ascii="仿宋" w:hAnsi="仿宋"/>
          <w:color w:val="000000"/>
          <w:sz w:val="28"/>
          <w:szCs w:val="28"/>
          <w:lang w:val="en-US" w:eastAsia="zh-CN"/>
        </w:rPr>
        <w:t>决定举办</w:t>
      </w:r>
      <w:r>
        <w:rPr>
          <w:rFonts w:hint="eastAsia" w:cs="仿宋"/>
          <w:b/>
          <w:bCs/>
          <w:sz w:val="32"/>
          <w:szCs w:val="32"/>
          <w:lang w:val="en-US" w:eastAsia="zh-CN"/>
        </w:rPr>
        <w:t>“</w:t>
      </w:r>
      <w:r>
        <w:rPr>
          <w:rFonts w:hint="eastAsia" w:cs="仿宋"/>
          <w:b/>
          <w:bCs/>
          <w:sz w:val="28"/>
          <w:szCs w:val="28"/>
          <w:lang w:val="en-US" w:eastAsia="zh-CN"/>
        </w:rPr>
        <w:t>新能源最新政策解读及投资、建设、施工、运维全业务精细化管控实务与DeepSeek赋能提效</w:t>
      </w:r>
      <w:r>
        <w:rPr>
          <w:rFonts w:hint="eastAsia" w:cs="仿宋"/>
          <w:b/>
          <w:bCs/>
          <w:sz w:val="28"/>
          <w:szCs w:val="28"/>
          <w:lang w:eastAsia="zh-CN"/>
        </w:rPr>
        <w:t>”</w:t>
      </w:r>
      <w:r>
        <w:rPr>
          <w:rFonts w:hint="eastAsia" w:cs="仿宋"/>
          <w:b/>
          <w:bCs/>
          <w:sz w:val="28"/>
          <w:szCs w:val="28"/>
          <w:lang w:val="en-US" w:eastAsia="zh-CN"/>
        </w:rPr>
        <w:t>专题培训班</w:t>
      </w:r>
      <w:r>
        <w:rPr>
          <w:rFonts w:hint="eastAsia" w:ascii="仿宋" w:hAnsi="仿宋"/>
          <w:color w:val="000000"/>
          <w:sz w:val="28"/>
          <w:szCs w:val="28"/>
          <w:lang w:val="en-US" w:eastAsia="zh-CN"/>
        </w:rPr>
        <w:t>现将有关事项通知如下：</w:t>
      </w:r>
    </w:p>
    <w:p w14:paraId="3842DD1E">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00" w:lineRule="exact"/>
        <w:textAlignment w:val="baseline"/>
        <w:outlineLvl w:val="0"/>
        <w:rPr>
          <w:rFonts w:hint="eastAsia" w:ascii="仿宋" w:hAnsi="仿宋" w:eastAsia="仿宋" w:cs="仿宋"/>
          <w:b/>
          <w:bCs/>
          <w:color w:val="000000"/>
          <w:sz w:val="28"/>
          <w:szCs w:val="28"/>
          <w:lang w:val="en-US" w:eastAsia="zh-CN"/>
        </w:rPr>
      </w:pPr>
    </w:p>
    <w:p w14:paraId="7A34E2E9">
      <w:pPr>
        <w:keepNext w:val="0"/>
        <w:keepLines w:val="0"/>
        <w:pageBreakBefore w:val="0"/>
        <w:widowControl w:val="0"/>
        <w:numPr>
          <w:ilvl w:val="0"/>
          <w:numId w:val="1"/>
        </w:numPr>
        <w:tabs>
          <w:tab w:val="left" w:pos="315"/>
          <w:tab w:val="left" w:pos="567"/>
          <w:tab w:val="left" w:pos="709"/>
        </w:tabs>
        <w:kinsoku/>
        <w:wordWrap/>
        <w:overflowPunct/>
        <w:topLinePunct w:val="0"/>
        <w:autoSpaceDE/>
        <w:autoSpaceDN/>
        <w:bidi w:val="0"/>
        <w:adjustRightInd/>
        <w:snapToGrid w:val="0"/>
        <w:spacing w:line="400" w:lineRule="exact"/>
        <w:textAlignment w:val="baseline"/>
        <w:outlineLvl w:val="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培训内容：</w:t>
      </w:r>
    </w:p>
    <w:p w14:paraId="46F3A36C">
      <w:pPr>
        <w:keepNext w:val="0"/>
        <w:keepLines w:val="0"/>
        <w:pageBreakBefore w:val="0"/>
        <w:widowControl w:val="0"/>
        <w:numPr>
          <w:ilvl w:val="0"/>
          <w:numId w:val="0"/>
        </w:numPr>
        <w:tabs>
          <w:tab w:val="left" w:pos="315"/>
          <w:tab w:val="left" w:pos="567"/>
          <w:tab w:val="left" w:pos="709"/>
        </w:tabs>
        <w:kinsoku/>
        <w:wordWrap/>
        <w:overflowPunct/>
        <w:topLinePunct w:val="0"/>
        <w:autoSpaceDE/>
        <w:autoSpaceDN/>
        <w:bidi w:val="0"/>
        <w:adjustRightInd/>
        <w:snapToGrid w:val="0"/>
        <w:spacing w:line="400" w:lineRule="exact"/>
        <w:textAlignment w:val="baseline"/>
        <w:outlineLvl w:val="0"/>
        <w:rPr>
          <w:rFonts w:hint="default" w:ascii="仿宋" w:hAnsi="仿宋" w:eastAsia="仿宋" w:cs="仿宋"/>
          <w:b/>
          <w:bCs/>
          <w:color w:val="000000"/>
          <w:sz w:val="28"/>
          <w:szCs w:val="28"/>
          <w:lang w:val="en-US" w:eastAsia="zh-CN"/>
        </w:rPr>
      </w:pPr>
      <w:r>
        <w:rPr>
          <w:rFonts w:hint="eastAsia" w:cs="仿宋"/>
          <w:b/>
          <w:bCs/>
          <w:color w:val="000000"/>
          <w:sz w:val="28"/>
          <w:szCs w:val="28"/>
          <w:lang w:val="en-US" w:eastAsia="zh-CN"/>
        </w:rPr>
        <w:t>第一部分：</w:t>
      </w:r>
      <w:r>
        <w:rPr>
          <w:rFonts w:hint="default" w:ascii="仿宋" w:hAnsi="仿宋" w:eastAsia="仿宋" w:cs="仿宋"/>
          <w:b/>
          <w:bCs/>
          <w:color w:val="000000"/>
          <w:sz w:val="28"/>
          <w:szCs w:val="28"/>
          <w:lang w:val="en-US" w:eastAsia="zh-CN"/>
        </w:rPr>
        <w:t>《新能源最新政策解读及投资、建设、施工全业务精细化管控实务详解》（风电、光伏、新型储能、抽水蓄能）</w:t>
      </w:r>
    </w:p>
    <w:p w14:paraId="439BFCA9">
      <w:pPr>
        <w:pStyle w:val="9"/>
        <w:keepNext w:val="0"/>
        <w:keepLines w:val="0"/>
        <w:pageBreakBefore w:val="0"/>
        <w:numPr>
          <w:ilvl w:val="0"/>
          <w:numId w:val="0"/>
        </w:numPr>
        <w:kinsoku/>
        <w:wordWrap/>
        <w:overflowPunct/>
        <w:topLinePunct w:val="0"/>
        <w:autoSpaceDE/>
        <w:autoSpaceDN/>
        <w:bidi w:val="0"/>
        <w:adjustRightInd/>
        <w:spacing w:line="400" w:lineRule="exact"/>
        <w:ind w:leftChars="0"/>
        <w:textAlignment w:val="auto"/>
        <w:rPr>
          <w:rFonts w:hint="eastAsia" w:ascii="仿宋" w:hAnsi="仿宋" w:eastAsia="仿宋" w:cstheme="minorBidi"/>
          <w:kern w:val="2"/>
          <w:sz w:val="28"/>
          <w:szCs w:val="32"/>
          <w:highlight w:val="none"/>
          <w:lang w:val="en-US" w:eastAsia="zh-CN" w:bidi="ar-SA"/>
        </w:rPr>
      </w:pPr>
      <w:r>
        <w:rPr>
          <w:rFonts w:hint="eastAsia" w:cs="仿宋"/>
          <w:b/>
          <w:bCs/>
          <w:color w:val="000000"/>
          <w:sz w:val="28"/>
          <w:szCs w:val="28"/>
          <w:lang w:val="en-US" w:eastAsia="zh-CN"/>
        </w:rPr>
        <w:t>（一）</w:t>
      </w:r>
      <w:r>
        <w:rPr>
          <w:rFonts w:hint="eastAsia" w:ascii="仿宋" w:hAnsi="仿宋" w:eastAsia="仿宋" w:cs="仿宋"/>
          <w:b/>
          <w:bCs/>
          <w:color w:val="000000"/>
          <w:sz w:val="28"/>
          <w:szCs w:val="28"/>
          <w:lang w:val="en-US" w:eastAsia="zh-CN"/>
        </w:rPr>
        <w:t>新能源最新政策解读与应用案例</w:t>
      </w:r>
      <w:r>
        <w:rPr>
          <w:rFonts w:hint="eastAsia" w:ascii="仿宋" w:hAnsi="仿宋" w:eastAsia="仿宋" w:cs="仿宋"/>
          <w:color w:val="000000"/>
          <w:sz w:val="28"/>
          <w:szCs w:val="28"/>
          <w:lang w:val="en-US" w:eastAsia="zh-CN"/>
        </w:rPr>
        <w:br w:type="textWrapping"/>
      </w:r>
      <w:r>
        <w:rPr>
          <w:rFonts w:hint="eastAsia" w:hAnsi="仿宋" w:cs="仿宋"/>
          <w:color w:val="000000"/>
          <w:sz w:val="28"/>
          <w:szCs w:val="28"/>
          <w:lang w:val="en-US" w:eastAsia="zh-CN"/>
        </w:rPr>
        <w:t xml:space="preserve">  </w:t>
      </w:r>
      <w:r>
        <w:rPr>
          <w:rFonts w:hint="eastAsia" w:cs="仿宋"/>
          <w:color w:val="000000"/>
          <w:sz w:val="28"/>
          <w:szCs w:val="28"/>
          <w:lang w:val="en-US" w:eastAsia="zh-CN"/>
        </w:rPr>
        <w:t>1.</w:t>
      </w:r>
      <w:r>
        <w:rPr>
          <w:rFonts w:hint="eastAsia" w:ascii="仿宋" w:hAnsi="仿宋" w:eastAsia="仿宋" w:cstheme="minorBidi"/>
          <w:kern w:val="2"/>
          <w:sz w:val="28"/>
          <w:szCs w:val="32"/>
          <w:highlight w:val="none"/>
          <w:lang w:val="en-US" w:eastAsia="zh-CN" w:bidi="ar-SA"/>
        </w:rPr>
        <w:t>2025年两会对促进能源转型发展、新能源新质生产力给出重大政策支持</w:t>
      </w:r>
    </w:p>
    <w:p w14:paraId="59C87D20">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2.新《能源法》（2025.1.1实施，7大改变）为新能源高质量发展保驾护航</w:t>
      </w:r>
    </w:p>
    <w:p w14:paraId="3C5388BB">
      <w:pPr>
        <w:pStyle w:val="9"/>
        <w:keepNext w:val="0"/>
        <w:keepLines w:val="0"/>
        <w:pageBreakBefore w:val="0"/>
        <w:numPr>
          <w:ilvl w:val="0"/>
          <w:numId w:val="0"/>
        </w:numPr>
        <w:kinsoku/>
        <w:wordWrap/>
        <w:overflowPunct/>
        <w:topLinePunct w:val="0"/>
        <w:autoSpaceDE/>
        <w:autoSpaceDN/>
        <w:bidi w:val="0"/>
        <w:adjustRightInd/>
        <w:spacing w:line="400" w:lineRule="exact"/>
        <w:ind w:leftChars="0" w:firstLine="280" w:firstLineChars="100"/>
        <w:textAlignment w:val="auto"/>
        <w:rPr>
          <w:rFonts w:hint="eastAsia" w:ascii="仿宋" w:hAnsi="仿宋" w:eastAsia="仿宋" w:cstheme="minorBidi"/>
          <w:kern w:val="2"/>
          <w:sz w:val="28"/>
          <w:szCs w:val="32"/>
          <w:highlight w:val="none"/>
          <w:lang w:val="en-US" w:eastAsia="zh-CN" w:bidi="ar-SA"/>
        </w:rPr>
      </w:pPr>
      <w:r>
        <w:rPr>
          <w:rFonts w:hint="eastAsia" w:cs="仿宋"/>
          <w:color w:val="000000"/>
          <w:sz w:val="28"/>
          <w:szCs w:val="28"/>
          <w:lang w:val="en-US" w:eastAsia="zh-CN"/>
        </w:rPr>
        <w:t>3.</w:t>
      </w:r>
      <w:r>
        <w:rPr>
          <w:rFonts w:hint="eastAsia" w:ascii="仿宋" w:hAnsi="仿宋" w:eastAsia="仿宋" w:cstheme="minorBidi"/>
          <w:kern w:val="2"/>
          <w:sz w:val="28"/>
          <w:szCs w:val="32"/>
          <w:highlight w:val="none"/>
          <w:lang w:val="en-US" w:eastAsia="zh-CN" w:bidi="ar-SA"/>
        </w:rPr>
        <w:t>2024年新能源欠补、并网、接入、消纳迎四大政策利好</w:t>
      </w:r>
    </w:p>
    <w:p w14:paraId="549524F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right="0" w:rightChars="0" w:firstLine="280" w:firstLineChars="100"/>
        <w:jc w:val="left"/>
        <w:textAlignment w:val="auto"/>
        <w:rPr>
          <w:rFonts w:hint="eastAsia" w:ascii="仿宋" w:hAnsi="仿宋" w:eastAsia="仿宋" w:cstheme="minorBidi"/>
          <w:kern w:val="2"/>
          <w:sz w:val="28"/>
          <w:szCs w:val="32"/>
          <w:highlight w:val="none"/>
          <w:lang w:val="en-US" w:eastAsia="zh-CN" w:bidi="ar-SA"/>
        </w:rPr>
      </w:pPr>
      <w:r>
        <w:rPr>
          <w:rFonts w:hint="eastAsia" w:cstheme="minorBidi"/>
          <w:kern w:val="2"/>
          <w:sz w:val="28"/>
          <w:szCs w:val="32"/>
          <w:highlight w:val="none"/>
          <w:lang w:val="en-US" w:eastAsia="zh-CN" w:bidi="ar-SA"/>
        </w:rPr>
        <w:t>4.</w:t>
      </w:r>
      <w:r>
        <w:rPr>
          <w:rFonts w:hint="eastAsia" w:ascii="仿宋" w:hAnsi="仿宋" w:eastAsia="仿宋" w:cstheme="minorBidi"/>
          <w:kern w:val="2"/>
          <w:sz w:val="28"/>
          <w:szCs w:val="32"/>
          <w:highlight w:val="none"/>
          <w:lang w:val="en-US" w:eastAsia="zh-CN" w:bidi="ar-SA"/>
        </w:rPr>
        <w:t>2024年《可再生能源绿色电力证书核发和交易规则》再迎重大利好</w:t>
      </w:r>
    </w:p>
    <w:p w14:paraId="6C04151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Chars="100" w:right="0" w:rightChars="0"/>
        <w:jc w:val="left"/>
        <w:textAlignment w:val="auto"/>
        <w:rPr>
          <w:rFonts w:hint="eastAsia" w:ascii="仿宋" w:hAnsi="仿宋" w:eastAsia="仿宋" w:cstheme="minorBidi"/>
          <w:kern w:val="2"/>
          <w:sz w:val="28"/>
          <w:szCs w:val="32"/>
          <w:highlight w:val="none"/>
          <w:lang w:val="en-US" w:eastAsia="zh-CN" w:bidi="ar-SA"/>
        </w:rPr>
      </w:pPr>
      <w:r>
        <w:rPr>
          <w:rFonts w:hint="eastAsia" w:cstheme="minorBidi"/>
          <w:kern w:val="2"/>
          <w:sz w:val="28"/>
          <w:szCs w:val="32"/>
          <w:highlight w:val="none"/>
          <w:lang w:val="en-US" w:eastAsia="zh-CN" w:bidi="ar-SA"/>
        </w:rPr>
        <w:t>5.</w:t>
      </w:r>
      <w:r>
        <w:rPr>
          <w:rFonts w:hint="eastAsia" w:ascii="仿宋" w:hAnsi="仿宋" w:eastAsia="仿宋" w:cstheme="minorBidi"/>
          <w:kern w:val="2"/>
          <w:sz w:val="28"/>
          <w:szCs w:val="32"/>
          <w:highlight w:val="none"/>
          <w:lang w:val="en-US" w:eastAsia="zh-CN" w:bidi="ar-SA"/>
        </w:rPr>
        <w:t>新能源绿证（碳交易额度）收入机制：特斯拉案例</w:t>
      </w:r>
    </w:p>
    <w:p w14:paraId="5DAE44B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0" w:beforeAutospacing="0" w:after="0" w:afterAutospacing="0" w:line="400" w:lineRule="exact"/>
        <w:ind w:leftChars="100" w:right="0" w:rightChars="0"/>
        <w:jc w:val="left"/>
        <w:textAlignment w:val="auto"/>
        <w:rPr>
          <w:rFonts w:hint="eastAsia" w:ascii="仿宋" w:hAnsi="仿宋" w:eastAsia="仿宋" w:cstheme="minorBidi"/>
          <w:kern w:val="2"/>
          <w:sz w:val="28"/>
          <w:szCs w:val="32"/>
          <w:highlight w:val="none"/>
          <w:lang w:val="en-US" w:eastAsia="zh-CN" w:bidi="ar-SA"/>
        </w:rPr>
      </w:pPr>
      <w:r>
        <w:rPr>
          <w:rFonts w:hint="eastAsia" w:cstheme="minorBidi"/>
          <w:kern w:val="2"/>
          <w:sz w:val="28"/>
          <w:szCs w:val="32"/>
          <w:highlight w:val="none"/>
          <w:lang w:val="en-US" w:eastAsia="zh-CN" w:bidi="ar-SA"/>
        </w:rPr>
        <w:t>6.</w:t>
      </w:r>
      <w:r>
        <w:rPr>
          <w:rFonts w:hint="eastAsia" w:ascii="仿宋" w:hAnsi="仿宋" w:eastAsia="仿宋" w:cstheme="minorBidi"/>
          <w:kern w:val="2"/>
          <w:sz w:val="28"/>
          <w:szCs w:val="32"/>
          <w:highlight w:val="none"/>
          <w:lang w:val="en-US" w:eastAsia="zh-CN" w:bidi="ar-SA"/>
        </w:rPr>
        <w:t>电力交易/输配双线模式</w:t>
      </w:r>
    </w:p>
    <w:p w14:paraId="58782527">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7.绿电、绿证交易、核发流程</w:t>
      </w:r>
    </w:p>
    <w:p w14:paraId="6BBB0CA5">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8.绿证相关的三个凭证</w:t>
      </w:r>
    </w:p>
    <w:p w14:paraId="606629B6">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9</w:t>
      </w:r>
      <w:r>
        <w:rPr>
          <w:rFonts w:hint="default" w:cs="仿宋"/>
          <w:color w:val="000000"/>
          <w:sz w:val="28"/>
          <w:szCs w:val="28"/>
          <w:lang w:val="en-US" w:eastAsia="zh-CN"/>
        </w:rPr>
        <w:t>.并网多元保障机制</w:t>
      </w:r>
    </w:p>
    <w:p w14:paraId="44B81F30">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10</w:t>
      </w:r>
      <w:r>
        <w:rPr>
          <w:rFonts w:hint="default" w:cs="仿宋"/>
          <w:color w:val="000000"/>
          <w:sz w:val="28"/>
          <w:szCs w:val="28"/>
          <w:lang w:val="en-US" w:eastAsia="zh-CN"/>
        </w:rPr>
        <w:t>.2025年电价政策及发展趋势</w:t>
      </w:r>
    </w:p>
    <w:p w14:paraId="439CDD86">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11.</w:t>
      </w:r>
      <w:r>
        <w:rPr>
          <w:rFonts w:hint="default" w:cs="仿宋"/>
          <w:color w:val="000000"/>
          <w:sz w:val="28"/>
          <w:szCs w:val="28"/>
          <w:lang w:val="en-US" w:eastAsia="zh-CN"/>
        </w:rPr>
        <w:t>发改价格〔2025〕136号文解读，新能源发电上网及交易迎来重大改变</w:t>
      </w:r>
    </w:p>
    <w:p w14:paraId="2977638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eastAsia" w:cs="仿宋"/>
          <w:color w:val="000000"/>
          <w:sz w:val="28"/>
          <w:szCs w:val="28"/>
          <w:lang w:val="en-US" w:eastAsia="zh-CN"/>
        </w:rPr>
        <w:t>12.</w:t>
      </w:r>
      <w:r>
        <w:rPr>
          <w:rFonts w:hint="default" w:cs="仿宋"/>
          <w:color w:val="000000"/>
          <w:spacing w:val="-11"/>
          <w:sz w:val="28"/>
          <w:szCs w:val="28"/>
          <w:lang w:val="en-US" w:eastAsia="zh-CN"/>
        </w:rPr>
        <w:t>工信部联电子〔2025〕7号《新型储能制造业高质量发展行动方案》解读，新型储能企业转型发展的信号</w:t>
      </w:r>
    </w:p>
    <w:p w14:paraId="2F0A7A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pacing w:val="-11"/>
          <w:sz w:val="28"/>
          <w:szCs w:val="28"/>
          <w:lang w:val="en-US" w:eastAsia="zh-CN"/>
        </w:rPr>
      </w:pPr>
      <w:r>
        <w:rPr>
          <w:rFonts w:hint="eastAsia" w:ascii="仿宋" w:hAnsi="仿宋" w:eastAsia="仿宋" w:cs="仿宋"/>
          <w:color w:val="000000"/>
          <w:spacing w:val="-11"/>
          <w:kern w:val="2"/>
          <w:sz w:val="28"/>
          <w:szCs w:val="28"/>
          <w:lang w:val="en-US" w:eastAsia="zh-CN" w:bidi="ar-SA"/>
        </w:rPr>
        <w:t>13.</w:t>
      </w:r>
      <w:r>
        <w:rPr>
          <w:rFonts w:hint="eastAsia" w:cs="仿宋"/>
          <w:color w:val="000000"/>
          <w:spacing w:val="-11"/>
          <w:sz w:val="28"/>
          <w:szCs w:val="28"/>
          <w:lang w:val="en-US" w:eastAsia="zh-CN"/>
        </w:rPr>
        <w:t>2024年《全额保障性收购可再生能源电量监管办法》再次促进新能源投资</w:t>
      </w:r>
    </w:p>
    <w:p w14:paraId="5931DC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14.</w:t>
      </w:r>
      <w:r>
        <w:rPr>
          <w:rFonts w:hint="eastAsia" w:cs="仿宋"/>
          <w:color w:val="000000"/>
          <w:spacing w:val="-11"/>
          <w:sz w:val="28"/>
          <w:szCs w:val="28"/>
          <w:lang w:val="en-US" w:eastAsia="zh-CN"/>
        </w:rPr>
        <w:t>2025.1.17《分布式光伏发电开发建设管理办法》，重大规定出台</w:t>
      </w:r>
    </w:p>
    <w:p w14:paraId="5F74A6F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15.</w:t>
      </w:r>
      <w:r>
        <w:rPr>
          <w:rFonts w:hint="eastAsia" w:cs="仿宋"/>
          <w:color w:val="000000"/>
          <w:spacing w:val="-11"/>
          <w:sz w:val="28"/>
          <w:szCs w:val="28"/>
          <w:lang w:val="en-US" w:eastAsia="zh-CN"/>
        </w:rPr>
        <w:t>2024.12.5日，国家能源局印发《关于支持电力领域新型经营主体创新发展的指导意见》。“隔墙售电”再无障碍！？</w:t>
      </w:r>
    </w:p>
    <w:p w14:paraId="12864C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16.</w:t>
      </w:r>
      <w:r>
        <w:rPr>
          <w:rFonts w:hint="eastAsia" w:cs="仿宋"/>
          <w:color w:val="000000"/>
          <w:spacing w:val="-11"/>
          <w:sz w:val="28"/>
          <w:szCs w:val="28"/>
          <w:lang w:val="en-US" w:eastAsia="zh-CN"/>
        </w:rPr>
        <w:t>智慧微网云平台示意图</w:t>
      </w:r>
    </w:p>
    <w:p w14:paraId="3194E4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17.</w:t>
      </w:r>
      <w:r>
        <w:rPr>
          <w:rFonts w:hint="eastAsia" w:cs="仿宋"/>
          <w:color w:val="000000"/>
          <w:spacing w:val="-11"/>
          <w:sz w:val="28"/>
          <w:szCs w:val="28"/>
          <w:lang w:val="en-US" w:eastAsia="zh-CN"/>
        </w:rPr>
        <w:t>示例：DeepSeek在政策解读中的应用——利用AI技术快速分析政策文件，提取关键信息，辅助决策</w:t>
      </w:r>
    </w:p>
    <w:p w14:paraId="0C35F2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18.</w:t>
      </w:r>
      <w:r>
        <w:rPr>
          <w:rFonts w:hint="eastAsia" w:cs="仿宋"/>
          <w:color w:val="000000"/>
          <w:spacing w:val="-11"/>
          <w:sz w:val="28"/>
          <w:szCs w:val="28"/>
          <w:lang w:val="en-US" w:eastAsia="zh-CN"/>
        </w:rPr>
        <w:t>示例：智慧微网云平台示意图</w:t>
      </w:r>
    </w:p>
    <w:p w14:paraId="0996D8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19.</w:t>
      </w:r>
      <w:r>
        <w:rPr>
          <w:rFonts w:hint="eastAsia" w:cs="仿宋"/>
          <w:color w:val="000000"/>
          <w:spacing w:val="-11"/>
          <w:sz w:val="28"/>
          <w:szCs w:val="28"/>
          <w:lang w:val="en-US" w:eastAsia="zh-CN"/>
        </w:rPr>
        <w:t>示例：智能微电网及其盈利模式</w:t>
      </w:r>
    </w:p>
    <w:p w14:paraId="01703E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20.</w:t>
      </w:r>
      <w:r>
        <w:rPr>
          <w:rFonts w:hint="eastAsia" w:cs="仿宋"/>
          <w:color w:val="000000"/>
          <w:spacing w:val="-11"/>
          <w:sz w:val="28"/>
          <w:szCs w:val="28"/>
          <w:lang w:val="en-US" w:eastAsia="zh-CN"/>
        </w:rPr>
        <w:t>示例：传统电力能源生态系统和虚拟电厂能源系统示意图</w:t>
      </w:r>
    </w:p>
    <w:p w14:paraId="5F93A87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pacing w:val="-11"/>
          <w:sz w:val="28"/>
          <w:szCs w:val="28"/>
          <w:lang w:val="en-US" w:eastAsia="zh-CN"/>
        </w:rPr>
      </w:pPr>
      <w:r>
        <w:rPr>
          <w:rFonts w:hint="default" w:ascii="仿宋" w:hAnsi="仿宋" w:eastAsia="仿宋" w:cs="仿宋"/>
          <w:color w:val="000000"/>
          <w:spacing w:val="-11"/>
          <w:kern w:val="2"/>
          <w:sz w:val="28"/>
          <w:szCs w:val="28"/>
          <w:lang w:val="en-US" w:eastAsia="zh-CN" w:bidi="ar-SA"/>
        </w:rPr>
        <w:t>21.</w:t>
      </w:r>
      <w:r>
        <w:rPr>
          <w:rFonts w:hint="eastAsia" w:cs="仿宋"/>
          <w:color w:val="000000"/>
          <w:spacing w:val="-11"/>
          <w:sz w:val="28"/>
          <w:szCs w:val="28"/>
          <w:lang w:val="en-US" w:eastAsia="zh-CN"/>
        </w:rPr>
        <w:t>示例：虚拟电厂逻辑架构</w:t>
      </w:r>
    </w:p>
    <w:p w14:paraId="481FA5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pacing w:val="-11"/>
          <w:sz w:val="28"/>
          <w:szCs w:val="28"/>
          <w:lang w:val="en-US" w:eastAsia="zh-CN"/>
        </w:rPr>
      </w:pPr>
      <w:r>
        <w:rPr>
          <w:rFonts w:hint="eastAsia" w:cs="仿宋"/>
          <w:color w:val="000000"/>
          <w:spacing w:val="-11"/>
          <w:sz w:val="28"/>
          <w:szCs w:val="28"/>
          <w:lang w:val="en-US" w:eastAsia="zh-CN"/>
        </w:rPr>
        <w:t>22.示例：虚拟电厂的商业模式</w:t>
      </w:r>
    </w:p>
    <w:p w14:paraId="64CE8A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pacing w:val="-11"/>
          <w:sz w:val="28"/>
          <w:szCs w:val="28"/>
          <w:lang w:val="en-US" w:eastAsia="zh-CN"/>
        </w:rPr>
      </w:pPr>
      <w:r>
        <w:rPr>
          <w:rFonts w:hint="eastAsia" w:cs="仿宋"/>
          <w:color w:val="000000"/>
          <w:spacing w:val="-11"/>
          <w:sz w:val="28"/>
          <w:szCs w:val="28"/>
          <w:lang w:val="en-US" w:eastAsia="zh-CN"/>
        </w:rPr>
        <w:t>23.示例：虚拟电厂的商业实践</w:t>
      </w:r>
    </w:p>
    <w:p w14:paraId="739ECF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pacing w:val="-11"/>
          <w:sz w:val="28"/>
          <w:szCs w:val="28"/>
          <w:lang w:val="en-US" w:eastAsia="zh-CN"/>
        </w:rPr>
      </w:pPr>
      <w:r>
        <w:rPr>
          <w:rFonts w:hint="eastAsia" w:cs="仿宋"/>
          <w:color w:val="000000"/>
          <w:spacing w:val="-11"/>
          <w:sz w:val="28"/>
          <w:szCs w:val="28"/>
          <w:lang w:val="en-US" w:eastAsia="zh-CN"/>
        </w:rPr>
        <w:t>24.示例：DeepSeek在虚拟电厂中的应用——通过AI优化虚拟电厂的运营效率和商业模式</w:t>
      </w:r>
    </w:p>
    <w:p w14:paraId="4FACDE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（二）新能源产业发展综述</w:t>
      </w:r>
    </w:p>
    <w:p w14:paraId="06A214D3">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1.新能源发展的使命</w:t>
      </w:r>
    </w:p>
    <w:p w14:paraId="0E917BAD">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（1）风电：海上风电成为行业新增长点</w:t>
      </w:r>
    </w:p>
    <w:p w14:paraId="71C86044">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（2）光伏：技术持续迭代推动行业降本增效</w:t>
      </w:r>
    </w:p>
    <w:p w14:paraId="322F8CBA">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（3）储能：新型储能（电化学储能）从强配转向市场化发展，抽水蓄能高质量发展</w:t>
      </w:r>
    </w:p>
    <w:p w14:paraId="24BD95F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（4）水电：能源转型发展的基石电源</w:t>
      </w:r>
    </w:p>
    <w:p w14:paraId="598E74E3">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（5）氢能：关键技术尚未突破，产业堵点仍需打通</w:t>
      </w:r>
    </w:p>
    <w:p w14:paraId="5C672788">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（6）核电：核乏燃料的处理时世界性难题</w:t>
      </w:r>
    </w:p>
    <w:p w14:paraId="265ACE45">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（7）生物质能：零碳能源的新发展</w:t>
      </w:r>
    </w:p>
    <w:p w14:paraId="684CCA08">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（8）海洋能：资源蕴量丰富，但利用难度较大</w:t>
      </w:r>
    </w:p>
    <w:p w14:paraId="5E64E33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（9）地热能：有待技术突破迎来大规模发展</w:t>
      </w:r>
    </w:p>
    <w:p w14:paraId="29A307AA">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2.新型电力系统蓝图框架（2025-2060年）</w:t>
      </w:r>
    </w:p>
    <w:p w14:paraId="1EB9F7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（1）“两步走”战略安排、“三步走”发展路径、四大体系建设</w:t>
      </w:r>
    </w:p>
    <w:p w14:paraId="0B1992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（2）综合能源服务：能源建设服务，能源消费服务，能源增值服务</w:t>
      </w:r>
    </w:p>
    <w:p w14:paraId="08A20C00">
      <w:pPr>
        <w:keepNext w:val="0"/>
        <w:keepLines w:val="0"/>
        <w:pageBreakBefore w:val="0"/>
        <w:widowControl w:val="0"/>
        <w:kinsoku/>
        <w:wordWrap/>
        <w:overflowPunct/>
        <w:topLinePunct w:val="0"/>
        <w:autoSpaceDE/>
        <w:autoSpaceDN/>
        <w:bidi w:val="0"/>
        <w:adjustRightInd/>
        <w:snapToGrid/>
        <w:spacing w:line="400" w:lineRule="exact"/>
        <w:ind w:left="280" w:leftChars="0" w:hanging="280" w:hanging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（3）综合能源管理/服务四大类别：金融投资型、工程服务型、运营服务型、平台服务型</w:t>
      </w:r>
    </w:p>
    <w:p w14:paraId="527E0B3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（4）“新型电力系统”——源网荷储</w:t>
      </w:r>
    </w:p>
    <w:p w14:paraId="7285309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（5）案例：贵州六盘水市多能互补能源基地</w:t>
      </w:r>
    </w:p>
    <w:p w14:paraId="16ED443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（6）案例：智慧核能综合利用示范项目</w:t>
      </w:r>
    </w:p>
    <w:p w14:paraId="18A6E8D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（7）案例：中国能建风光氢储一体化示范工程</w:t>
      </w:r>
    </w:p>
    <w:p w14:paraId="296AA7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（三）新能源项目开发前期准备工作</w:t>
      </w:r>
    </w:p>
    <w:p w14:paraId="4ABBEC6E">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1.新能源项目前期准备工作流程</w:t>
      </w:r>
    </w:p>
    <w:p w14:paraId="09B2EF65">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（1）选址测风、测光、测水</w:t>
      </w:r>
    </w:p>
    <w:p w14:paraId="4A33D9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s="仿宋"/>
          <w:color w:val="000000"/>
          <w:sz w:val="28"/>
          <w:szCs w:val="28"/>
          <w:lang w:val="en-US" w:eastAsia="zh-CN"/>
        </w:rPr>
      </w:pPr>
      <w:r>
        <w:rPr>
          <w:rFonts w:hint="eastAsia" w:cs="仿宋"/>
          <w:color w:val="000000"/>
          <w:sz w:val="28"/>
          <w:szCs w:val="28"/>
          <w:lang w:val="en-US" w:eastAsia="zh-CN"/>
        </w:rPr>
        <w:t>选址：结合风光水资源、交通、电网接入等因素，确定风电场场址</w:t>
      </w:r>
    </w:p>
    <w:p w14:paraId="00CD6DBD">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测风光水资源，收集资源数据，评估开发价值</w:t>
      </w:r>
    </w:p>
    <w:p w14:paraId="7394F41B">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（2）（风光水）电能资源评估</w:t>
      </w:r>
    </w:p>
    <w:p w14:paraId="63637593">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数据收集：收集观测数据，分析风速、光能、水流强度等参数</w:t>
      </w:r>
    </w:p>
    <w:p w14:paraId="07B16FE3">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评估报告：编制（风光水）电能资源评估报告，明确场址的资源条件</w:t>
      </w:r>
    </w:p>
    <w:p w14:paraId="08556BAC">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（3）建设条件论证</w:t>
      </w:r>
    </w:p>
    <w:p w14:paraId="7CB862B5">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地质条件：开展地质勘察，评估场址的地质稳定性</w:t>
      </w:r>
    </w:p>
    <w:p w14:paraId="33579027">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交通运输：评估场址的交通条件，确保设备运输便利</w:t>
      </w:r>
    </w:p>
    <w:p w14:paraId="1CEC8E43">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电网接入：设计新能源发电项目接入电网的方案，确保电力输送和消纳</w:t>
      </w:r>
    </w:p>
    <w:p w14:paraId="59C0127A">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（4）项目开发申请</w:t>
      </w:r>
    </w:p>
    <w:p w14:paraId="70AEA5F8">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开发申请：向区县（省级）能源主管部门提交开发申请，编制申请报告</w:t>
      </w:r>
    </w:p>
    <w:p w14:paraId="2158DBF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前期工作批复：取得主管部门的前期工作批复后，方可开展后续工作</w:t>
      </w:r>
    </w:p>
    <w:p w14:paraId="51E0715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（5）可行性研究</w:t>
      </w:r>
    </w:p>
    <w:p w14:paraId="119AA9E5">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预可研：初步论证项目的开发必要性和可行性</w:t>
      </w:r>
    </w:p>
    <w:p w14:paraId="03CCFC62">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可研：详细研究项目的工程设计、经济评价、环境影响等</w:t>
      </w:r>
    </w:p>
    <w:p w14:paraId="6689388B">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（6）项目核准</w:t>
      </w:r>
    </w:p>
    <w:p w14:paraId="5CB080E4">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核准申请：提交项目核准申请，附上可行性研究报告、环评报告等支持性文件</w:t>
      </w:r>
    </w:p>
    <w:p w14:paraId="49EA5DF7">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 xml:space="preserve">  核准批复：取得项目核准文件后，方可开展后续建设工作</w:t>
      </w:r>
    </w:p>
    <w:p w14:paraId="2CFCCF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textAlignment w:val="auto"/>
        <w:rPr>
          <w:rFonts w:hint="eastAsia" w:cs="仿宋"/>
          <w:color w:val="000000"/>
          <w:sz w:val="28"/>
          <w:szCs w:val="28"/>
          <w:lang w:val="en-US" w:eastAsia="zh-CN"/>
        </w:rPr>
      </w:pPr>
      <w:r>
        <w:rPr>
          <w:rFonts w:hint="eastAsia" w:cs="仿宋"/>
          <w:color w:val="000000"/>
          <w:sz w:val="28"/>
          <w:szCs w:val="28"/>
          <w:lang w:val="en-US" w:eastAsia="zh-CN"/>
        </w:rPr>
        <w:t>2.投融资决策流程：市场调研、资源评估、技术可行性分析、经济可行性分析、投融资测算方案、风险评估、融资方案</w:t>
      </w:r>
    </w:p>
    <w:p w14:paraId="18CBDC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textAlignment w:val="auto"/>
        <w:rPr>
          <w:rFonts w:hint="eastAsia" w:cs="仿宋"/>
          <w:color w:val="000000"/>
          <w:sz w:val="28"/>
          <w:szCs w:val="28"/>
          <w:lang w:val="en-US" w:eastAsia="zh-CN"/>
        </w:rPr>
      </w:pPr>
      <w:r>
        <w:rPr>
          <w:rFonts w:hint="eastAsia" w:cs="仿宋"/>
          <w:color w:val="000000"/>
          <w:sz w:val="28"/>
          <w:szCs w:val="28"/>
          <w:lang w:val="en-US" w:eastAsia="zh-CN"/>
        </w:rPr>
        <w:t>3.前期手续及并网备案、并网试运行流程</w:t>
      </w:r>
    </w:p>
    <w:p w14:paraId="7B9524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textAlignment w:val="auto"/>
        <w:rPr>
          <w:rFonts w:hint="eastAsia" w:cs="仿宋"/>
          <w:color w:val="000000"/>
          <w:sz w:val="28"/>
          <w:szCs w:val="28"/>
          <w:lang w:val="en-US" w:eastAsia="zh-CN"/>
        </w:rPr>
      </w:pPr>
      <w:r>
        <w:rPr>
          <w:rFonts w:hint="eastAsia" w:cs="仿宋"/>
          <w:color w:val="000000"/>
          <w:sz w:val="28"/>
          <w:szCs w:val="28"/>
          <w:lang w:val="en-US" w:eastAsia="zh-CN"/>
        </w:rPr>
        <w:t>（1）新能源（风、光、新型储能）建设用地的解决方案及审批流程</w:t>
      </w:r>
    </w:p>
    <w:p w14:paraId="7F329D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textAlignment w:val="auto"/>
        <w:rPr>
          <w:rFonts w:hint="eastAsia" w:cs="仿宋"/>
          <w:color w:val="000000"/>
          <w:sz w:val="28"/>
          <w:szCs w:val="28"/>
          <w:lang w:val="en-US" w:eastAsia="zh-CN"/>
        </w:rPr>
      </w:pPr>
      <w:r>
        <w:rPr>
          <w:rFonts w:hint="eastAsia" w:cs="仿宋"/>
          <w:color w:val="000000"/>
          <w:sz w:val="28"/>
          <w:szCs w:val="28"/>
          <w:lang w:val="en-US" w:eastAsia="zh-CN"/>
        </w:rPr>
        <w:t>（2）新能源基础、升压站、管理用房等永久用地的取得流程</w:t>
      </w:r>
    </w:p>
    <w:p w14:paraId="29CE52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textAlignment w:val="auto"/>
        <w:rPr>
          <w:rFonts w:hint="default" w:cs="仿宋"/>
          <w:color w:val="000000"/>
          <w:sz w:val="28"/>
          <w:szCs w:val="28"/>
          <w:lang w:val="en-US" w:eastAsia="zh-CN"/>
        </w:rPr>
      </w:pPr>
      <w:r>
        <w:rPr>
          <w:rFonts w:hint="eastAsia" w:cs="仿宋"/>
          <w:color w:val="000000"/>
          <w:sz w:val="28"/>
          <w:szCs w:val="28"/>
          <w:lang w:val="en-US" w:eastAsia="zh-CN"/>
        </w:rPr>
        <w:t>（3）</w:t>
      </w:r>
      <w:r>
        <w:rPr>
          <w:rFonts w:hint="default" w:cs="仿宋"/>
          <w:color w:val="000000"/>
          <w:sz w:val="28"/>
          <w:szCs w:val="28"/>
          <w:lang w:val="en-US" w:eastAsia="zh-CN"/>
        </w:rPr>
        <w:t>新能源用地的分区分类管理</w:t>
      </w:r>
    </w:p>
    <w:p w14:paraId="0B3BC5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00"/>
        <w:textAlignment w:val="auto"/>
        <w:rPr>
          <w:rFonts w:hint="default" w:cs="仿宋"/>
          <w:color w:val="000000"/>
          <w:sz w:val="28"/>
          <w:szCs w:val="28"/>
          <w:lang w:val="en-US" w:eastAsia="zh-CN"/>
        </w:rPr>
      </w:pPr>
      <w:r>
        <w:rPr>
          <w:rFonts w:hint="eastAsia" w:cs="仿宋"/>
          <w:color w:val="000000"/>
          <w:sz w:val="28"/>
          <w:szCs w:val="28"/>
          <w:lang w:val="en-US" w:eastAsia="zh-CN"/>
        </w:rPr>
        <w:t>（4）</w:t>
      </w:r>
      <w:r>
        <w:rPr>
          <w:rFonts w:hint="default" w:cs="仿宋"/>
          <w:color w:val="000000"/>
          <w:sz w:val="28"/>
          <w:szCs w:val="28"/>
          <w:lang w:val="en-US" w:eastAsia="zh-CN"/>
        </w:rPr>
        <w:t>涉及林地、草地、敏感区域的用地问题</w:t>
      </w:r>
    </w:p>
    <w:p w14:paraId="5C0FA0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（5）</w:t>
      </w:r>
      <w:r>
        <w:rPr>
          <w:rFonts w:hint="default" w:cs="仿宋"/>
          <w:color w:val="000000"/>
          <w:sz w:val="28"/>
          <w:szCs w:val="28"/>
          <w:lang w:val="en-US" w:eastAsia="zh-CN"/>
        </w:rPr>
        <w:t>海上风电海域使用权的解决方案及审批流程</w:t>
      </w:r>
    </w:p>
    <w:p w14:paraId="286D1C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（6）</w:t>
      </w:r>
      <w:r>
        <w:rPr>
          <w:rFonts w:hint="default" w:cs="仿宋"/>
          <w:color w:val="000000"/>
          <w:sz w:val="28"/>
          <w:szCs w:val="28"/>
          <w:lang w:val="en-US" w:eastAsia="zh-CN"/>
        </w:rPr>
        <w:t>2023年新版可研报告大纲、2024特许经营方案格式（第三方论证）</w:t>
      </w:r>
    </w:p>
    <w:p w14:paraId="6996C6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（7）</w:t>
      </w:r>
      <w:r>
        <w:rPr>
          <w:rFonts w:hint="default" w:cs="仿宋"/>
          <w:color w:val="000000"/>
          <w:sz w:val="28"/>
          <w:szCs w:val="28"/>
          <w:lang w:val="en-US" w:eastAsia="zh-CN"/>
        </w:rPr>
        <w:t>立项备案、并网备案需要的资料一览表</w:t>
      </w:r>
    </w:p>
    <w:p w14:paraId="7FAF42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（8）</w:t>
      </w:r>
      <w:r>
        <w:rPr>
          <w:rFonts w:hint="default" w:cs="仿宋"/>
          <w:color w:val="000000"/>
          <w:sz w:val="28"/>
          <w:szCs w:val="28"/>
          <w:lang w:val="en-US" w:eastAsia="zh-CN"/>
        </w:rPr>
        <w:t>接入系统审查</w:t>
      </w:r>
    </w:p>
    <w:p w14:paraId="0A9690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（9）</w:t>
      </w:r>
      <w:r>
        <w:rPr>
          <w:rFonts w:hint="default" w:cs="仿宋"/>
          <w:color w:val="000000"/>
          <w:sz w:val="28"/>
          <w:szCs w:val="28"/>
          <w:lang w:val="en-US" w:eastAsia="zh-CN"/>
        </w:rPr>
        <w:t>电网接入批复函、电价保证函</w:t>
      </w:r>
    </w:p>
    <w:p w14:paraId="25AF3E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（10）</w:t>
      </w:r>
      <w:r>
        <w:rPr>
          <w:rFonts w:hint="default" w:cs="仿宋"/>
          <w:color w:val="000000"/>
          <w:sz w:val="28"/>
          <w:szCs w:val="28"/>
          <w:lang w:val="en-US" w:eastAsia="zh-CN"/>
        </w:rPr>
        <w:t>并网试运行流程及条件</w:t>
      </w:r>
    </w:p>
    <w:p w14:paraId="60EED6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56" w:leftChars="0" w:hanging="156" w:hangingChars="56"/>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（11）</w:t>
      </w:r>
      <w:r>
        <w:rPr>
          <w:rFonts w:hint="default" w:cs="仿宋"/>
          <w:color w:val="000000"/>
          <w:sz w:val="28"/>
          <w:szCs w:val="28"/>
          <w:lang w:val="en-US" w:eastAsia="zh-CN"/>
        </w:rPr>
        <w:t>并网多元保障机制</w:t>
      </w:r>
    </w:p>
    <w:p w14:paraId="7FBA5F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4.新型储能项目（电化学）前期工作策划</w:t>
      </w:r>
    </w:p>
    <w:p w14:paraId="3F0F23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（1）</w:t>
      </w:r>
      <w:r>
        <w:rPr>
          <w:rFonts w:hint="default" w:cs="仿宋"/>
          <w:color w:val="000000"/>
          <w:sz w:val="28"/>
          <w:szCs w:val="28"/>
          <w:lang w:val="en-US" w:eastAsia="zh-CN"/>
        </w:rPr>
        <w:t>新型储能项目建设管理全流程</w:t>
      </w:r>
    </w:p>
    <w:p w14:paraId="4EC31B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（2）</w:t>
      </w:r>
      <w:r>
        <w:rPr>
          <w:rFonts w:hint="default" w:cs="仿宋"/>
          <w:color w:val="000000"/>
          <w:sz w:val="28"/>
          <w:szCs w:val="28"/>
          <w:lang w:val="en-US" w:eastAsia="zh-CN"/>
        </w:rPr>
        <w:t>新型储能项目前期工作内容</w:t>
      </w:r>
    </w:p>
    <w:p w14:paraId="6854BE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（3）</w:t>
      </w:r>
      <w:r>
        <w:rPr>
          <w:rFonts w:hint="default" w:cs="仿宋"/>
          <w:color w:val="000000"/>
          <w:sz w:val="28"/>
          <w:szCs w:val="28"/>
          <w:lang w:val="en-US" w:eastAsia="zh-CN"/>
        </w:rPr>
        <w:t>新型储能项目前期手续</w:t>
      </w:r>
    </w:p>
    <w:p w14:paraId="427B1E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5.抽水蓄能电站前期工作策划</w:t>
      </w:r>
    </w:p>
    <w:p w14:paraId="583490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（1）</w:t>
      </w:r>
      <w:r>
        <w:rPr>
          <w:rFonts w:hint="default" w:cs="仿宋"/>
          <w:color w:val="000000"/>
          <w:sz w:val="28"/>
          <w:szCs w:val="28"/>
          <w:lang w:val="en-US" w:eastAsia="zh-CN"/>
        </w:rPr>
        <w:t>抽水蓄能电站建设管理全流程</w:t>
      </w:r>
    </w:p>
    <w:p w14:paraId="0D6DB19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（2）</w:t>
      </w:r>
      <w:r>
        <w:rPr>
          <w:rFonts w:hint="default" w:cs="仿宋"/>
          <w:color w:val="000000"/>
          <w:sz w:val="28"/>
          <w:szCs w:val="28"/>
          <w:lang w:val="en-US" w:eastAsia="zh-CN"/>
        </w:rPr>
        <w:t>抽水蓄能工程项目选点规划和前期手续</w:t>
      </w:r>
    </w:p>
    <w:p w14:paraId="11F1786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（3）</w:t>
      </w:r>
      <w:r>
        <w:rPr>
          <w:rFonts w:hint="default" w:cs="仿宋"/>
          <w:color w:val="000000"/>
          <w:sz w:val="28"/>
          <w:szCs w:val="28"/>
          <w:lang w:val="en-US" w:eastAsia="zh-CN"/>
        </w:rPr>
        <w:t>抽水蓄能前期文件一览表</w:t>
      </w:r>
    </w:p>
    <w:p w14:paraId="702D98F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cs="仿宋"/>
          <w:color w:val="000000"/>
          <w:sz w:val="28"/>
          <w:szCs w:val="28"/>
          <w:lang w:val="en-US" w:eastAsia="zh-CN"/>
        </w:rPr>
      </w:pPr>
      <w:r>
        <w:rPr>
          <w:rFonts w:hint="default" w:cs="仿宋"/>
          <w:color w:val="000000"/>
          <w:sz w:val="28"/>
          <w:szCs w:val="28"/>
          <w:lang w:val="en-US" w:eastAsia="zh-CN"/>
        </w:rPr>
        <w:t></w:t>
      </w:r>
      <w:r>
        <w:rPr>
          <w:rFonts w:hint="eastAsia" w:cs="仿宋"/>
          <w:color w:val="000000"/>
          <w:sz w:val="28"/>
          <w:szCs w:val="28"/>
          <w:lang w:val="en-US" w:eastAsia="zh-CN"/>
        </w:rPr>
        <w:t>（4）</w:t>
      </w:r>
      <w:r>
        <w:rPr>
          <w:rFonts w:hint="default" w:cs="仿宋"/>
          <w:color w:val="000000"/>
          <w:sz w:val="28"/>
          <w:szCs w:val="28"/>
          <w:lang w:val="en-US" w:eastAsia="zh-CN"/>
        </w:rPr>
        <w:t>抽水蓄能项目移民安置规划审批流程</w:t>
      </w:r>
    </w:p>
    <w:p w14:paraId="51AA68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（5）</w:t>
      </w:r>
      <w:r>
        <w:rPr>
          <w:rFonts w:hint="default" w:cs="仿宋"/>
          <w:color w:val="000000"/>
          <w:sz w:val="28"/>
          <w:szCs w:val="28"/>
          <w:lang w:val="en-US" w:eastAsia="zh-CN"/>
        </w:rPr>
        <w:t>案例：抽水蓄能项目施工招标</w:t>
      </w:r>
    </w:p>
    <w:p w14:paraId="375116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6.案例：苏能正镶320MW风电EPC项目招标公告</w:t>
      </w:r>
    </w:p>
    <w:p w14:paraId="052DDC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77" w:leftChars="99"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7.示例：DeepSeek在项目前期规划中的应用——利用AI进行资源评估、选址优化和风险评估</w:t>
      </w:r>
    </w:p>
    <w:p w14:paraId="209CDD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（四）新能源工程项目市场开发、前期经营对接、洽谈环节要点</w:t>
      </w:r>
    </w:p>
    <w:p w14:paraId="468CF628">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1.新能源EPC项目市场开发策略：竞争策略、区域策略、价格策略</w:t>
      </w:r>
    </w:p>
    <w:p w14:paraId="58E8288F">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2.项目指标获取</w:t>
      </w:r>
    </w:p>
    <w:p w14:paraId="7344C25C">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（1）按照目前各省新能源有关特许经营权招标的规定，前期单位参与特许经营权投标</w:t>
      </w:r>
    </w:p>
    <w:p w14:paraId="05ADC592">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（2）按照目前各省新能源有关竞争性配置取得项目指标的规定，项目前期单位参与竞争性配置投标。</w:t>
      </w:r>
    </w:p>
    <w:p w14:paraId="462AD20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（3）中标后，签订项目特许权协议，获得开发权</w:t>
      </w:r>
    </w:p>
    <w:p w14:paraId="16370D8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3.项目承接渠道及实践获取技巧</w:t>
      </w:r>
    </w:p>
    <w:p w14:paraId="2CFF17D3">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（1）获取新能源项目的八种商业模式及法律风险分析</w:t>
      </w:r>
    </w:p>
    <w:p w14:paraId="1CED1A12">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（2）典型省份获取新能源项目指标途径、要求及实操竞争结果</w:t>
      </w:r>
    </w:p>
    <w:p w14:paraId="4A8C8BD2">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（3）EPC总包方（施工方）承接新能源项目的七种商业模式</w:t>
      </w:r>
    </w:p>
    <w:p w14:paraId="0090CA73">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资源整合模式</w:t>
      </w:r>
    </w:p>
    <w:p w14:paraId="385E1432">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夹层公司模式</w:t>
      </w:r>
    </w:p>
    <w:p w14:paraId="08D9D888">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总包主导模式</w:t>
      </w:r>
    </w:p>
    <w:p w14:paraId="29253040">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投资持有模式</w:t>
      </w:r>
    </w:p>
    <w:p w14:paraId="55FC003A">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基金参股模式</w:t>
      </w:r>
    </w:p>
    <w:p w14:paraId="22E57645">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投资退出模式</w:t>
      </w:r>
    </w:p>
    <w:p w14:paraId="6130BBB8">
      <w:pPr>
        <w:keepNext w:val="0"/>
        <w:keepLines w:val="0"/>
        <w:pageBreakBefore w:val="0"/>
        <w:widowControl w:val="0"/>
        <w:kinsoku/>
        <w:wordWrap/>
        <w:overflowPunct/>
        <w:topLinePunct w:val="0"/>
        <w:autoSpaceDE/>
        <w:autoSpaceDN/>
        <w:bidi w:val="0"/>
        <w:adjustRightInd/>
        <w:snapToGrid/>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直接投标模式</w:t>
      </w:r>
    </w:p>
    <w:p w14:paraId="3E47FA1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发挥资源方、相关利益方在项目承接过程中的作用（市场开发要点）</w:t>
      </w:r>
    </w:p>
    <w:p w14:paraId="048127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4.风电产业投融资分析</w:t>
      </w:r>
    </w:p>
    <w:p w14:paraId="3DFF2E61">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5.施工企业给业主解决资金问题的主要方式（垫资建设）</w:t>
      </w:r>
    </w:p>
    <w:p w14:paraId="462BF7A2">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案例：施工企业通过成立债权式基金为项目垫资建设</w:t>
      </w:r>
    </w:p>
    <w:p w14:paraId="3A7FFD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（五）</w:t>
      </w:r>
      <w:r>
        <w:rPr>
          <w:rFonts w:hint="eastAsia" w:ascii="仿宋" w:hAnsi="仿宋" w:eastAsia="仿宋" w:cs="仿宋"/>
          <w:b/>
          <w:bCs/>
          <w:color w:val="000000"/>
          <w:sz w:val="28"/>
          <w:szCs w:val="28"/>
          <w:lang w:val="en-US" w:eastAsia="zh-CN"/>
        </w:rPr>
        <w:t>新能源项目投融资模式设计</w:t>
      </w:r>
    </w:p>
    <w:p w14:paraId="05B9637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1.新能源项目投资决策模型（发改委2023年要求）</w:t>
      </w:r>
    </w:p>
    <w:p w14:paraId="405AAD1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2.新能源项目收入计算</w:t>
      </w:r>
    </w:p>
    <w:p w14:paraId="00A7AD9B">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3.新能源工程造价估算（费用构成）示意图</w:t>
      </w:r>
    </w:p>
    <w:p w14:paraId="1434E5B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4.新能源EPC项目概预算（工程造价估算）</w:t>
      </w:r>
    </w:p>
    <w:p w14:paraId="632BF90E">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w:t>
      </w:r>
      <w:r>
        <w:rPr>
          <w:rFonts w:hint="eastAsia" w:ascii="仿宋" w:hAnsi="仿宋" w:eastAsia="仿宋" w:cs="仿宋"/>
          <w:color w:val="000000"/>
          <w:sz w:val="28"/>
          <w:szCs w:val="28"/>
          <w:lang w:val="en-US" w:eastAsia="zh-CN"/>
        </w:rPr>
        <w:t>当前新能源工程主要合同类型</w:t>
      </w:r>
    </w:p>
    <w:p w14:paraId="6141C38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《2024清单计价规范》下的新能源工程计价方式</w:t>
      </w:r>
    </w:p>
    <w:p w14:paraId="01026DA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w:t>
      </w:r>
      <w:r>
        <w:rPr>
          <w:rFonts w:hint="eastAsia" w:ascii="仿宋" w:hAnsi="仿宋" w:eastAsia="仿宋" w:cs="仿宋"/>
          <w:color w:val="000000"/>
          <w:sz w:val="28"/>
          <w:szCs w:val="28"/>
          <w:lang w:val="en-US" w:eastAsia="zh-CN"/>
        </w:rPr>
        <w:t>示例：《2024清单计价规范》下全费用综合单价合同及约定</w:t>
      </w:r>
    </w:p>
    <w:p w14:paraId="6E2E3D0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示例：《2024清单计价规范》下合同计价模式与价格调整约定</w:t>
      </w:r>
    </w:p>
    <w:p w14:paraId="6991A83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新能源EPC项目成本管控</w:t>
      </w:r>
    </w:p>
    <w:p w14:paraId="05C5555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（6）</w:t>
      </w:r>
      <w:r>
        <w:rPr>
          <w:rFonts w:hint="eastAsia" w:ascii="仿宋" w:hAnsi="仿宋" w:eastAsia="仿宋" w:cs="仿宋"/>
          <w:color w:val="000000"/>
          <w:sz w:val="28"/>
          <w:szCs w:val="28"/>
          <w:lang w:val="en-US" w:eastAsia="zh-CN"/>
        </w:rPr>
        <w:t>新能源EPC项目成本管控的概念与核心内容</w:t>
      </w:r>
    </w:p>
    <w:p w14:paraId="13A10A7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新能源工程造价估算（费用构成）示意图</w:t>
      </w:r>
    </w:p>
    <w:p w14:paraId="541A005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（8）</w:t>
      </w:r>
      <w:r>
        <w:rPr>
          <w:rFonts w:hint="eastAsia" w:ascii="仿宋" w:hAnsi="仿宋" w:eastAsia="仿宋" w:cs="仿宋"/>
          <w:color w:val="000000"/>
          <w:sz w:val="28"/>
          <w:szCs w:val="28"/>
          <w:lang w:val="en-US" w:eastAsia="zh-CN"/>
        </w:rPr>
        <w:t>新能源EPC项目成本（造价预算）计算</w:t>
      </w:r>
    </w:p>
    <w:p w14:paraId="4CE3113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（9）</w:t>
      </w:r>
      <w:r>
        <w:rPr>
          <w:rFonts w:hint="eastAsia" w:ascii="仿宋" w:hAnsi="仿宋" w:eastAsia="仿宋" w:cs="仿宋"/>
          <w:color w:val="000000"/>
          <w:sz w:val="28"/>
          <w:szCs w:val="28"/>
          <w:lang w:val="en-US" w:eastAsia="zh-CN"/>
        </w:rPr>
        <w:t>案例：光伏项目工程总概算表-1</w:t>
      </w:r>
    </w:p>
    <w:p w14:paraId="0250E4B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（10）</w:t>
      </w:r>
      <w:r>
        <w:rPr>
          <w:rFonts w:hint="eastAsia" w:ascii="仿宋" w:hAnsi="仿宋" w:eastAsia="仿宋" w:cs="仿宋"/>
          <w:color w:val="000000"/>
          <w:sz w:val="28"/>
          <w:szCs w:val="28"/>
          <w:lang w:val="en-US" w:eastAsia="zh-CN"/>
        </w:rPr>
        <w:t>案例：光伏项目主要经济指标</w:t>
      </w:r>
    </w:p>
    <w:p w14:paraId="594F7BB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（11）</w:t>
      </w:r>
      <w:r>
        <w:rPr>
          <w:rFonts w:hint="eastAsia" w:ascii="仿宋" w:hAnsi="仿宋" w:eastAsia="仿宋" w:cs="仿宋"/>
          <w:color w:val="000000"/>
          <w:sz w:val="28"/>
          <w:szCs w:val="28"/>
          <w:lang w:val="en-US" w:eastAsia="zh-CN"/>
        </w:rPr>
        <w:t>2024年黑龙江200MW陆上风电项目建设投资构成</w:t>
      </w:r>
    </w:p>
    <w:p w14:paraId="10E7909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（12）</w:t>
      </w:r>
      <w:r>
        <w:rPr>
          <w:rFonts w:hint="eastAsia" w:ascii="仿宋" w:hAnsi="仿宋" w:eastAsia="仿宋" w:cs="仿宋"/>
          <w:color w:val="000000"/>
          <w:sz w:val="28"/>
          <w:szCs w:val="28"/>
          <w:lang w:val="en-US" w:eastAsia="zh-CN"/>
        </w:rPr>
        <w:t>海上风电工程造价</w:t>
      </w:r>
    </w:p>
    <w:p w14:paraId="1A6223D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（13）</w:t>
      </w:r>
      <w:r>
        <w:rPr>
          <w:rFonts w:hint="eastAsia" w:ascii="仿宋" w:hAnsi="仿宋" w:eastAsia="仿宋" w:cs="仿宋"/>
          <w:color w:val="000000"/>
          <w:sz w:val="28"/>
          <w:szCs w:val="28"/>
          <w:lang w:val="en-US" w:eastAsia="zh-CN"/>
        </w:rPr>
        <w:t>常规海上风电项目投资成本构成</w:t>
      </w:r>
    </w:p>
    <w:p w14:paraId="19B422F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（14）</w:t>
      </w:r>
      <w:r>
        <w:rPr>
          <w:rFonts w:hint="eastAsia" w:ascii="仿宋" w:hAnsi="仿宋" w:eastAsia="仿宋" w:cs="仿宋"/>
          <w:color w:val="000000"/>
          <w:sz w:val="28"/>
          <w:szCs w:val="28"/>
          <w:lang w:val="en-US" w:eastAsia="zh-CN"/>
        </w:rPr>
        <w:t>海上风电与新能源投资、成本及特点对比分析</w:t>
      </w:r>
    </w:p>
    <w:p w14:paraId="296F31A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（15）</w:t>
      </w:r>
      <w:r>
        <w:rPr>
          <w:rFonts w:hint="eastAsia" w:ascii="仿宋" w:hAnsi="仿宋" w:eastAsia="仿宋" w:cs="仿宋"/>
          <w:color w:val="000000"/>
          <w:sz w:val="28"/>
          <w:szCs w:val="28"/>
          <w:lang w:val="en-US" w:eastAsia="zh-CN"/>
        </w:rPr>
        <w:t>化学储能电站的工程造价及成本构成</w:t>
      </w:r>
    </w:p>
    <w:p w14:paraId="444206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（16）</w:t>
      </w:r>
      <w:r>
        <w:rPr>
          <w:rFonts w:hint="eastAsia" w:ascii="仿宋" w:hAnsi="仿宋" w:eastAsia="仿宋" w:cs="仿宋"/>
          <w:color w:val="000000"/>
          <w:sz w:val="28"/>
          <w:szCs w:val="28"/>
          <w:lang w:val="en-US" w:eastAsia="zh-CN"/>
        </w:rPr>
        <w:t>抽水蓄能电站的工程造价及成本构成</w:t>
      </w:r>
    </w:p>
    <w:p w14:paraId="6E51531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（17）</w:t>
      </w:r>
      <w:r>
        <w:rPr>
          <w:rFonts w:hint="eastAsia" w:ascii="仿宋" w:hAnsi="仿宋" w:eastAsia="仿宋" w:cs="仿宋"/>
          <w:color w:val="000000"/>
          <w:sz w:val="28"/>
          <w:szCs w:val="28"/>
          <w:lang w:val="en-US" w:eastAsia="zh-CN"/>
        </w:rPr>
        <w:t>新能源度电成本</w:t>
      </w:r>
    </w:p>
    <w:p w14:paraId="1B895A63">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5.新能源工程项目传统融资选择</w:t>
      </w:r>
    </w:p>
    <w:p w14:paraId="6F9A2F39">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6.当前新能源工程项目融资选择</w:t>
      </w:r>
    </w:p>
    <w:p w14:paraId="4FCB37DC">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7.案例：2024上半年新能源企业计划上市融资情况</w:t>
      </w:r>
    </w:p>
    <w:p w14:paraId="6D789283">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8.案例：2024年A股光伏上市企业定向增发融资情况</w:t>
      </w:r>
    </w:p>
    <w:p w14:paraId="01D76C24">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9.案例：国内碳交易权质押融资</w:t>
      </w:r>
    </w:p>
    <w:p w14:paraId="07505979">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10.国内产业资本投资发展阶段</w:t>
      </w:r>
    </w:p>
    <w:p w14:paraId="32E9BB72">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11.国内产业投资三种模式</w:t>
      </w:r>
    </w:p>
    <w:p w14:paraId="3522CE5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12.六种产业资本投资模式设计</w:t>
      </w:r>
    </w:p>
    <w:p w14:paraId="43FC00AE">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13.新能源项目投资退出模式设计（4种渠道）</w:t>
      </w:r>
    </w:p>
    <w:p w14:paraId="1A66850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14.案例：全国首单光伏公募中航京能REITs</w:t>
      </w:r>
    </w:p>
    <w:p w14:paraId="6A53E9E4">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15.新能源项目在国补退出后盈利模式再设计</w:t>
      </w:r>
    </w:p>
    <w:p w14:paraId="74770CD2">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16.新能源项目包装与策划案例</w:t>
      </w:r>
    </w:p>
    <w:p w14:paraId="0BB0D0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（六）新能源EPC项目投标报价及合同（商务）管理实务</w:t>
      </w:r>
    </w:p>
    <w:p w14:paraId="6237C49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1.EPC总承包项目投标</w:t>
      </w:r>
    </w:p>
    <w:p w14:paraId="60B0E4E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w:t>
      </w:r>
      <w:r>
        <w:rPr>
          <w:rFonts w:hint="eastAsia" w:ascii="仿宋" w:hAnsi="仿宋" w:eastAsia="仿宋" w:cs="仿宋"/>
          <w:color w:val="000000"/>
          <w:sz w:val="28"/>
          <w:szCs w:val="28"/>
          <w:lang w:val="en-US" w:eastAsia="zh-CN"/>
        </w:rPr>
        <w:t>2024清单计价标准》下的投标报价策略</w:t>
      </w:r>
    </w:p>
    <w:p w14:paraId="65B4E32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新能源EPC项目利润策划（投入产出收益）</w:t>
      </w:r>
    </w:p>
    <w:p w14:paraId="1EAF228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w:t>
      </w:r>
      <w:r>
        <w:rPr>
          <w:rFonts w:hint="eastAsia" w:ascii="仿宋" w:hAnsi="仿宋" w:eastAsia="仿宋" w:cs="仿宋"/>
          <w:color w:val="000000"/>
          <w:sz w:val="28"/>
          <w:szCs w:val="28"/>
          <w:lang w:val="en-US" w:eastAsia="zh-CN"/>
        </w:rPr>
        <w:t>如何理解招标控制价（投标限价）、底价</w:t>
      </w:r>
    </w:p>
    <w:p w14:paraId="594DBC5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新能源项目投标实务</w:t>
      </w:r>
    </w:p>
    <w:p w14:paraId="7AC70E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投标报价实战技巧</w:t>
      </w:r>
    </w:p>
    <w:p w14:paraId="31412BC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（6）</w:t>
      </w:r>
      <w:r>
        <w:rPr>
          <w:rFonts w:hint="eastAsia" w:ascii="仿宋" w:hAnsi="仿宋" w:eastAsia="仿宋" w:cs="仿宋"/>
          <w:color w:val="000000"/>
          <w:sz w:val="28"/>
          <w:szCs w:val="28"/>
          <w:lang w:val="en-US" w:eastAsia="zh-CN"/>
        </w:rPr>
        <w:t xml:space="preserve">案例：投标实践 </w:t>
      </w:r>
    </w:p>
    <w:p w14:paraId="4FDB66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EPC项目中标后的合同商务谈判实务（乙方）</w:t>
      </w:r>
    </w:p>
    <w:p w14:paraId="0286B4F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w:t>
      </w:r>
      <w:r>
        <w:rPr>
          <w:rFonts w:hint="eastAsia" w:ascii="仿宋" w:hAnsi="仿宋" w:eastAsia="仿宋" w:cs="仿宋"/>
          <w:color w:val="000000"/>
          <w:sz w:val="28"/>
          <w:szCs w:val="28"/>
          <w:lang w:val="en-US" w:eastAsia="zh-CN"/>
        </w:rPr>
        <w:t>案例：某集团列出的招投标合同谈判主要内容</w:t>
      </w:r>
    </w:p>
    <w:p w14:paraId="190B5A8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合同谈判的基础及原则</w:t>
      </w:r>
    </w:p>
    <w:p w14:paraId="2AA2716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w:t>
      </w:r>
      <w:r>
        <w:rPr>
          <w:rFonts w:hint="eastAsia" w:ascii="仿宋" w:hAnsi="仿宋" w:eastAsia="仿宋" w:cs="仿宋"/>
          <w:color w:val="000000"/>
          <w:sz w:val="28"/>
          <w:szCs w:val="28"/>
          <w:lang w:val="en-US" w:eastAsia="zh-CN"/>
        </w:rPr>
        <w:t>案例：确定合同谈判底线（中建系统）</w:t>
      </w:r>
    </w:p>
    <w:p w14:paraId="724FCBB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合同谈判要素</w:t>
      </w:r>
    </w:p>
    <w:p w14:paraId="74E66D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案例：合同谈判要素及要点梳理</w:t>
      </w:r>
    </w:p>
    <w:p w14:paraId="291B749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（6）</w:t>
      </w:r>
      <w:r>
        <w:rPr>
          <w:rFonts w:hint="eastAsia" w:ascii="仿宋" w:hAnsi="仿宋" w:eastAsia="仿宋" w:cs="仿宋"/>
          <w:color w:val="000000"/>
          <w:sz w:val="28"/>
          <w:szCs w:val="28"/>
          <w:lang w:val="en-US" w:eastAsia="zh-CN"/>
        </w:rPr>
        <w:t>案例分享：招投标合同谈判</w:t>
      </w:r>
    </w:p>
    <w:p w14:paraId="345B04D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案例分享：自然环境、地质条件、技术标准等风险的分担条款</w:t>
      </w:r>
    </w:p>
    <w:p w14:paraId="4B10A0A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（8）</w:t>
      </w:r>
      <w:r>
        <w:rPr>
          <w:rFonts w:hint="eastAsia" w:ascii="仿宋" w:hAnsi="仿宋" w:eastAsia="仿宋" w:cs="仿宋"/>
          <w:color w:val="000000"/>
          <w:sz w:val="28"/>
          <w:szCs w:val="28"/>
          <w:lang w:val="en-US" w:eastAsia="zh-CN"/>
        </w:rPr>
        <w:t>重视合同价格条款</w:t>
      </w:r>
    </w:p>
    <w:p w14:paraId="0361E0D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（9）</w:t>
      </w:r>
      <w:r>
        <w:rPr>
          <w:rFonts w:hint="eastAsia" w:ascii="仿宋" w:hAnsi="仿宋" w:eastAsia="仿宋" w:cs="仿宋"/>
          <w:color w:val="000000"/>
          <w:sz w:val="28"/>
          <w:szCs w:val="28"/>
          <w:lang w:val="en-US" w:eastAsia="zh-CN"/>
        </w:rPr>
        <w:t>《2024清单计价标准》下的建设工程计价方式</w:t>
      </w:r>
    </w:p>
    <w:p w14:paraId="3E8FD9A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（10）</w:t>
      </w:r>
      <w:r>
        <w:rPr>
          <w:rFonts w:hint="eastAsia" w:ascii="仿宋" w:hAnsi="仿宋" w:eastAsia="仿宋" w:cs="仿宋"/>
          <w:color w:val="000000"/>
          <w:sz w:val="28"/>
          <w:szCs w:val="28"/>
          <w:lang w:val="en-US" w:eastAsia="zh-CN"/>
        </w:rPr>
        <w:t>有没工程价款支付与结算约定</w:t>
      </w:r>
    </w:p>
    <w:p w14:paraId="184A0CF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（11）</w:t>
      </w:r>
      <w:r>
        <w:rPr>
          <w:rFonts w:hint="eastAsia" w:ascii="仿宋" w:hAnsi="仿宋" w:eastAsia="仿宋" w:cs="仿宋"/>
          <w:color w:val="000000"/>
          <w:sz w:val="28"/>
          <w:szCs w:val="28"/>
          <w:lang w:val="en-US" w:eastAsia="zh-CN"/>
        </w:rPr>
        <w:t>有没约定固定总价合同下的工程签证条件</w:t>
      </w:r>
    </w:p>
    <w:p w14:paraId="00B973A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（12）</w:t>
      </w:r>
      <w:r>
        <w:rPr>
          <w:rFonts w:hint="eastAsia" w:ascii="仿宋" w:hAnsi="仿宋" w:eastAsia="仿宋" w:cs="仿宋"/>
          <w:color w:val="000000"/>
          <w:sz w:val="28"/>
          <w:szCs w:val="28"/>
          <w:lang w:val="en-US" w:eastAsia="zh-CN"/>
        </w:rPr>
        <w:t>示例:合同计价模式与价格调整约定</w:t>
      </w:r>
    </w:p>
    <w:p w14:paraId="3A72FAA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（13）</w:t>
      </w:r>
      <w:r>
        <w:rPr>
          <w:rFonts w:hint="eastAsia" w:ascii="仿宋" w:hAnsi="仿宋" w:eastAsia="仿宋" w:cs="仿宋"/>
          <w:color w:val="000000"/>
          <w:sz w:val="28"/>
          <w:szCs w:val="28"/>
          <w:lang w:val="en-US" w:eastAsia="zh-CN"/>
        </w:rPr>
        <w:t>示例:进度付款审核和支付</w:t>
      </w:r>
    </w:p>
    <w:p w14:paraId="238261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280" w:hanging="280" w:hanging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（14）</w:t>
      </w:r>
      <w:r>
        <w:rPr>
          <w:rFonts w:hint="eastAsia" w:ascii="仿宋" w:hAnsi="仿宋" w:eastAsia="仿宋" w:cs="仿宋"/>
          <w:color w:val="000000"/>
          <w:sz w:val="28"/>
          <w:szCs w:val="28"/>
          <w:lang w:val="en-US" w:eastAsia="zh-CN"/>
        </w:rPr>
        <w:t>示例：DeepSeek在投标报价中的应用——利用AI进行成本预测、风险分析和报价优化</w:t>
      </w:r>
    </w:p>
    <w:p w14:paraId="471456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（七）新能源EPC项目前期施工组织</w:t>
      </w:r>
    </w:p>
    <w:p w14:paraId="5E66AA2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1.承接新能源EPC总承包的资源与能力储备</w:t>
      </w:r>
    </w:p>
    <w:p w14:paraId="167E27DC">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案例：新能源EPC总承包组织机构（铁三角）</w:t>
      </w:r>
    </w:p>
    <w:p w14:paraId="0F22AE9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3.</w:t>
      </w:r>
      <w:r>
        <w:rPr>
          <w:rFonts w:hint="eastAsia" w:ascii="仿宋" w:hAnsi="仿宋" w:eastAsia="仿宋" w:cs="仿宋"/>
          <w:color w:val="000000"/>
          <w:sz w:val="28"/>
          <w:szCs w:val="28"/>
          <w:lang w:val="en-US" w:eastAsia="zh-CN"/>
        </w:rPr>
        <w:t>新能源EPC总承包项目的总体运作流程图解析</w:t>
      </w:r>
    </w:p>
    <w:p w14:paraId="56F4F5D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新能源EPC项目中总承包企业和设计院的职责划分（EPC总承包商主导设计管理）</w:t>
      </w:r>
    </w:p>
    <w:p w14:paraId="3FBF3B77">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新能源EPC项目8项管理重点</w:t>
      </w:r>
    </w:p>
    <w:p w14:paraId="5A992927">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6.</w:t>
      </w:r>
      <w:r>
        <w:rPr>
          <w:rFonts w:hint="eastAsia" w:ascii="仿宋" w:hAnsi="仿宋" w:eastAsia="仿宋" w:cs="仿宋"/>
          <w:color w:val="000000"/>
          <w:sz w:val="28"/>
          <w:szCs w:val="28"/>
          <w:lang w:val="en-US" w:eastAsia="zh-CN"/>
        </w:rPr>
        <w:t>新能源EPC项目4大风险防控点及保障措施</w:t>
      </w:r>
    </w:p>
    <w:p w14:paraId="10AF7D02">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充分发挥设计在新能源EPC项目中的作用</w:t>
      </w:r>
    </w:p>
    <w:p w14:paraId="3C20F8F4">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8.</w:t>
      </w:r>
      <w:r>
        <w:rPr>
          <w:rFonts w:hint="eastAsia" w:ascii="仿宋" w:hAnsi="仿宋" w:eastAsia="仿宋" w:cs="仿宋"/>
          <w:color w:val="000000"/>
          <w:sz w:val="28"/>
          <w:szCs w:val="28"/>
          <w:lang w:val="en-US" w:eastAsia="zh-CN"/>
        </w:rPr>
        <w:t>案例：新能源EPC总承包招投标</w:t>
      </w:r>
    </w:p>
    <w:p w14:paraId="38C87BE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9.</w:t>
      </w:r>
      <w:r>
        <w:rPr>
          <w:rFonts w:hint="eastAsia" w:ascii="仿宋" w:hAnsi="仿宋" w:eastAsia="仿宋" w:cs="仿宋"/>
          <w:color w:val="000000"/>
          <w:sz w:val="28"/>
          <w:szCs w:val="28"/>
          <w:lang w:val="en-US" w:eastAsia="zh-CN"/>
        </w:rPr>
        <w:t>组织新能源设备采购（采购价值管理五重收益）</w:t>
      </w:r>
    </w:p>
    <w:p w14:paraId="65F5FC6C">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10.</w:t>
      </w:r>
      <w:r>
        <w:rPr>
          <w:rFonts w:hint="eastAsia" w:ascii="仿宋" w:hAnsi="仿宋" w:eastAsia="仿宋" w:cs="仿宋"/>
          <w:color w:val="000000"/>
          <w:sz w:val="28"/>
          <w:szCs w:val="28"/>
          <w:lang w:val="en-US" w:eastAsia="zh-CN"/>
        </w:rPr>
        <w:t>中标后《项目管理策划书》的研讨、编制</w:t>
      </w:r>
    </w:p>
    <w:p w14:paraId="65531736">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11.</w:t>
      </w:r>
      <w:r>
        <w:rPr>
          <w:rFonts w:hint="eastAsia" w:ascii="仿宋" w:hAnsi="仿宋" w:eastAsia="仿宋" w:cs="仿宋"/>
          <w:color w:val="000000"/>
          <w:sz w:val="28"/>
          <w:szCs w:val="28"/>
          <w:lang w:val="en-US" w:eastAsia="zh-CN"/>
        </w:rPr>
        <w:t>案例：《某工程项目管理策划书》的格式1</w:t>
      </w:r>
    </w:p>
    <w:p w14:paraId="2EBC381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12.</w:t>
      </w:r>
      <w:r>
        <w:rPr>
          <w:rFonts w:hint="eastAsia" w:ascii="仿宋" w:hAnsi="仿宋" w:eastAsia="仿宋" w:cs="仿宋"/>
          <w:color w:val="000000"/>
          <w:sz w:val="28"/>
          <w:szCs w:val="28"/>
          <w:lang w:val="en-US" w:eastAsia="zh-CN"/>
        </w:rPr>
        <w:t>案例：《某工程项目管理策划书》的格式2</w:t>
      </w:r>
    </w:p>
    <w:p w14:paraId="26DE2415">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13.</w:t>
      </w:r>
      <w:r>
        <w:rPr>
          <w:rFonts w:hint="eastAsia" w:ascii="仿宋" w:hAnsi="仿宋" w:eastAsia="仿宋" w:cs="仿宋"/>
          <w:color w:val="000000"/>
          <w:sz w:val="28"/>
          <w:szCs w:val="28"/>
          <w:lang w:val="en-US" w:eastAsia="zh-CN"/>
        </w:rPr>
        <w:t>新能源EPC项目施工方案</w:t>
      </w:r>
    </w:p>
    <w:p w14:paraId="2D6243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s="仿宋"/>
          <w:b/>
          <w:bCs/>
          <w:color w:val="000000"/>
          <w:sz w:val="28"/>
          <w:szCs w:val="28"/>
          <w:lang w:val="en-US" w:eastAsia="zh-CN"/>
        </w:rPr>
      </w:pPr>
      <w:r>
        <w:rPr>
          <w:rFonts w:hint="eastAsia" w:cs="仿宋"/>
          <w:b/>
          <w:bCs/>
          <w:color w:val="000000"/>
          <w:sz w:val="28"/>
          <w:szCs w:val="28"/>
          <w:lang w:val="en-US" w:eastAsia="zh-CN"/>
        </w:rPr>
        <w:t>（八）新能源工程项目施工进度和质量管理实务</w:t>
      </w:r>
    </w:p>
    <w:p w14:paraId="7008D6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w:t>
      </w:r>
      <w:r>
        <w:rPr>
          <w:rFonts w:hint="eastAsia" w:ascii="仿宋" w:hAnsi="仿宋" w:eastAsia="仿宋" w:cs="仿宋"/>
          <w:color w:val="000000"/>
          <w:sz w:val="28"/>
          <w:szCs w:val="28"/>
          <w:lang w:val="en-US" w:eastAsia="zh-CN"/>
        </w:rPr>
        <w:t>新能源项目特点及常用计划工具</w:t>
      </w:r>
    </w:p>
    <w:p w14:paraId="2B1BBD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示例：PERT网络评审技术（工期、质量）</w:t>
      </w:r>
    </w:p>
    <w:p w14:paraId="4FB99E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w:t>
      </w:r>
      <w:r>
        <w:rPr>
          <w:rFonts w:hint="eastAsia" w:ascii="仿宋" w:hAnsi="仿宋" w:eastAsia="仿宋" w:cs="仿宋"/>
          <w:color w:val="000000"/>
          <w:sz w:val="28"/>
          <w:szCs w:val="28"/>
          <w:lang w:val="en-US" w:eastAsia="zh-CN"/>
        </w:rPr>
        <w:t>案例：华能黄花梁风电项目计划与进度控制表</w:t>
      </w:r>
    </w:p>
    <w:p w14:paraId="6DB841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案例：电网接入备案和并网试运行进度控制表</w:t>
      </w:r>
    </w:p>
    <w:p w14:paraId="378DCE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案例：福建仙游抽水蓄能电站总体进度控制表</w:t>
      </w:r>
    </w:p>
    <w:p w14:paraId="6E4C47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6.</w:t>
      </w:r>
      <w:r>
        <w:rPr>
          <w:rFonts w:hint="eastAsia" w:ascii="仿宋" w:hAnsi="仿宋" w:eastAsia="仿宋" w:cs="仿宋"/>
          <w:color w:val="000000"/>
          <w:sz w:val="28"/>
          <w:szCs w:val="28"/>
          <w:lang w:val="en-US" w:eastAsia="zh-CN"/>
        </w:rPr>
        <w:t>案例：新能源项目施工机具配备及部署</w:t>
      </w:r>
    </w:p>
    <w:p w14:paraId="31C221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案例：某新能源项目进度控制保障措施</w:t>
      </w:r>
    </w:p>
    <w:p w14:paraId="709454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8.</w:t>
      </w:r>
      <w:r>
        <w:rPr>
          <w:rFonts w:hint="eastAsia" w:ascii="仿宋" w:hAnsi="仿宋" w:eastAsia="仿宋" w:cs="仿宋"/>
          <w:color w:val="000000"/>
          <w:sz w:val="28"/>
          <w:szCs w:val="28"/>
          <w:lang w:val="en-US" w:eastAsia="zh-CN"/>
        </w:rPr>
        <w:t>案例：新能源项目技术服务保障措施1-3</w:t>
      </w:r>
    </w:p>
    <w:p w14:paraId="43D91D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9.</w:t>
      </w:r>
      <w:r>
        <w:rPr>
          <w:rFonts w:hint="eastAsia" w:ascii="仿宋" w:hAnsi="仿宋" w:eastAsia="仿宋" w:cs="仿宋"/>
          <w:color w:val="000000"/>
          <w:sz w:val="28"/>
          <w:szCs w:val="28"/>
          <w:lang w:val="en-US" w:eastAsia="zh-CN"/>
        </w:rPr>
        <w:t>案例：新能源设备、材料、资金保证措施</w:t>
      </w:r>
    </w:p>
    <w:p w14:paraId="401ABE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11.</w:t>
      </w:r>
      <w:r>
        <w:rPr>
          <w:rFonts w:hint="eastAsia" w:ascii="仿宋" w:hAnsi="仿宋" w:eastAsia="仿宋" w:cs="仿宋"/>
          <w:color w:val="000000"/>
          <w:sz w:val="28"/>
          <w:szCs w:val="28"/>
          <w:lang w:val="en-US" w:eastAsia="zh-CN"/>
        </w:rPr>
        <w:t>新能源EPC项目关键技术及质量标准</w:t>
      </w:r>
    </w:p>
    <w:p w14:paraId="5A7FC1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12.</w:t>
      </w:r>
      <w:r>
        <w:rPr>
          <w:rFonts w:hint="eastAsia" w:ascii="仿宋" w:hAnsi="仿宋" w:eastAsia="仿宋" w:cs="仿宋"/>
          <w:color w:val="000000"/>
          <w:sz w:val="28"/>
          <w:szCs w:val="28"/>
          <w:lang w:val="en-US" w:eastAsia="zh-CN"/>
        </w:rPr>
        <w:t>构建完善的新能源EPC项目质量控制方案</w:t>
      </w:r>
    </w:p>
    <w:p w14:paraId="32BC7D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13.</w:t>
      </w:r>
      <w:r>
        <w:rPr>
          <w:rFonts w:hint="eastAsia" w:ascii="仿宋" w:hAnsi="仿宋" w:eastAsia="仿宋" w:cs="仿宋"/>
          <w:color w:val="000000"/>
          <w:sz w:val="28"/>
          <w:szCs w:val="28"/>
          <w:lang w:val="en-US" w:eastAsia="zh-CN"/>
        </w:rPr>
        <w:t>确定质量影响因素</w:t>
      </w:r>
    </w:p>
    <w:p w14:paraId="46A6D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14.</w:t>
      </w:r>
      <w:r>
        <w:rPr>
          <w:rFonts w:hint="eastAsia" w:ascii="仿宋" w:hAnsi="仿宋" w:eastAsia="仿宋" w:cs="仿宋"/>
          <w:color w:val="000000"/>
          <w:sz w:val="28"/>
          <w:szCs w:val="28"/>
          <w:lang w:val="en-US" w:eastAsia="zh-CN"/>
        </w:rPr>
        <w:t>加强项目过程控制检查</w:t>
      </w:r>
    </w:p>
    <w:p w14:paraId="6F9B91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15.</w:t>
      </w:r>
      <w:r>
        <w:rPr>
          <w:rFonts w:hint="eastAsia" w:ascii="仿宋" w:hAnsi="仿宋" w:eastAsia="仿宋" w:cs="仿宋"/>
          <w:color w:val="000000"/>
          <w:sz w:val="28"/>
          <w:szCs w:val="28"/>
          <w:lang w:val="en-US" w:eastAsia="zh-CN"/>
        </w:rPr>
        <w:t>三不交接、六不施工</w:t>
      </w:r>
    </w:p>
    <w:p w14:paraId="24B1F4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16.</w:t>
      </w:r>
      <w:r>
        <w:rPr>
          <w:rFonts w:hint="eastAsia" w:ascii="仿宋" w:hAnsi="仿宋" w:eastAsia="仿宋" w:cs="仿宋"/>
          <w:color w:val="000000"/>
          <w:sz w:val="28"/>
          <w:szCs w:val="28"/>
          <w:lang w:val="en-US" w:eastAsia="zh-CN"/>
        </w:rPr>
        <w:t>注重联调联试</w:t>
      </w:r>
    </w:p>
    <w:p w14:paraId="44728E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17.</w:t>
      </w:r>
      <w:r>
        <w:rPr>
          <w:rFonts w:hint="eastAsia" w:ascii="仿宋" w:hAnsi="仿宋" w:eastAsia="仿宋" w:cs="仿宋"/>
          <w:color w:val="000000"/>
          <w:sz w:val="28"/>
          <w:szCs w:val="28"/>
          <w:lang w:val="en-US" w:eastAsia="zh-CN"/>
        </w:rPr>
        <w:t>踏勘搜资阶段的质量控制要点</w:t>
      </w:r>
    </w:p>
    <w:p w14:paraId="634602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18.</w:t>
      </w:r>
      <w:r>
        <w:rPr>
          <w:rFonts w:hint="eastAsia" w:ascii="仿宋" w:hAnsi="仿宋" w:eastAsia="仿宋" w:cs="仿宋"/>
          <w:color w:val="000000"/>
          <w:sz w:val="28"/>
          <w:szCs w:val="28"/>
          <w:lang w:val="en-US" w:eastAsia="zh-CN"/>
        </w:rPr>
        <w:t>可研设计阶段的质量控制</w:t>
      </w:r>
    </w:p>
    <w:p w14:paraId="2DE24E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19.</w:t>
      </w:r>
      <w:r>
        <w:rPr>
          <w:rFonts w:hint="eastAsia" w:ascii="仿宋" w:hAnsi="仿宋" w:eastAsia="仿宋" w:cs="仿宋"/>
          <w:color w:val="000000"/>
          <w:sz w:val="28"/>
          <w:szCs w:val="28"/>
          <w:lang w:val="en-US" w:eastAsia="zh-CN"/>
        </w:rPr>
        <w:t>初步设计阶段质量控制</w:t>
      </w:r>
    </w:p>
    <w:p w14:paraId="6290CA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20.</w:t>
      </w:r>
      <w:r>
        <w:rPr>
          <w:rFonts w:hint="eastAsia" w:ascii="仿宋" w:hAnsi="仿宋" w:eastAsia="仿宋" w:cs="仿宋"/>
          <w:color w:val="000000"/>
          <w:sz w:val="28"/>
          <w:szCs w:val="28"/>
          <w:lang w:val="en-US" w:eastAsia="zh-CN"/>
        </w:rPr>
        <w:t>施工图设计阶段质量控制</w:t>
      </w:r>
    </w:p>
    <w:p w14:paraId="4B71A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21.</w:t>
      </w:r>
      <w:r>
        <w:rPr>
          <w:rFonts w:hint="eastAsia" w:ascii="仿宋" w:hAnsi="仿宋" w:eastAsia="仿宋" w:cs="仿宋"/>
          <w:color w:val="000000"/>
          <w:sz w:val="28"/>
          <w:szCs w:val="28"/>
          <w:lang w:val="en-US" w:eastAsia="zh-CN"/>
        </w:rPr>
        <w:t>分包质量控制要点</w:t>
      </w:r>
    </w:p>
    <w:p w14:paraId="27CF3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22.</w:t>
      </w:r>
      <w:r>
        <w:rPr>
          <w:rFonts w:hint="eastAsia" w:ascii="仿宋" w:hAnsi="仿宋" w:eastAsia="仿宋" w:cs="仿宋"/>
          <w:color w:val="000000"/>
          <w:sz w:val="28"/>
          <w:szCs w:val="28"/>
          <w:lang w:val="en-US" w:eastAsia="zh-CN"/>
        </w:rPr>
        <w:t>做好新能源EPC项目验收工作</w:t>
      </w:r>
    </w:p>
    <w:p w14:paraId="676521F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23.</w:t>
      </w:r>
      <w:r>
        <w:rPr>
          <w:rFonts w:hint="eastAsia" w:ascii="仿宋" w:hAnsi="仿宋" w:eastAsia="仿宋" w:cs="仿宋"/>
          <w:color w:val="000000"/>
          <w:sz w:val="28"/>
          <w:szCs w:val="28"/>
          <w:lang w:val="en-US" w:eastAsia="zh-CN"/>
        </w:rPr>
        <w:t>项目档案移交清单、移交流程</w:t>
      </w:r>
    </w:p>
    <w:p w14:paraId="33C91B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24.</w:t>
      </w:r>
      <w:r>
        <w:rPr>
          <w:rFonts w:hint="eastAsia" w:ascii="仿宋" w:hAnsi="仿宋" w:eastAsia="仿宋" w:cs="仿宋"/>
          <w:color w:val="000000"/>
          <w:sz w:val="28"/>
          <w:szCs w:val="28"/>
          <w:lang w:val="en-US" w:eastAsia="zh-CN"/>
        </w:rPr>
        <w:t>电网给予分布式光伏的简化并网政策</w:t>
      </w:r>
    </w:p>
    <w:p w14:paraId="54FD17E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25.</w:t>
      </w:r>
      <w:r>
        <w:rPr>
          <w:rFonts w:hint="eastAsia" w:ascii="仿宋" w:hAnsi="仿宋" w:eastAsia="仿宋" w:cs="仿宋"/>
          <w:color w:val="000000"/>
          <w:sz w:val="28"/>
          <w:szCs w:val="28"/>
          <w:lang w:val="en-US" w:eastAsia="zh-CN"/>
        </w:rPr>
        <w:t>分布式光伏不同规模接入电压等级参考表</w:t>
      </w:r>
    </w:p>
    <w:p w14:paraId="37F11A5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26.</w:t>
      </w:r>
      <w:r>
        <w:rPr>
          <w:rFonts w:hint="eastAsia" w:ascii="仿宋" w:hAnsi="仿宋" w:eastAsia="仿宋" w:cs="仿宋"/>
          <w:color w:val="000000"/>
          <w:sz w:val="28"/>
          <w:szCs w:val="28"/>
          <w:lang w:val="en-US" w:eastAsia="zh-CN"/>
        </w:rPr>
        <w:t>案例：某风电项目施工质量控制方案</w:t>
      </w:r>
    </w:p>
    <w:p w14:paraId="62B87E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27.</w:t>
      </w:r>
      <w:r>
        <w:rPr>
          <w:rFonts w:hint="eastAsia" w:ascii="仿宋" w:hAnsi="仿宋" w:eastAsia="仿宋" w:cs="仿宋"/>
          <w:color w:val="000000"/>
          <w:sz w:val="28"/>
          <w:szCs w:val="28"/>
          <w:lang w:val="en-US" w:eastAsia="zh-CN"/>
        </w:rPr>
        <w:t>案例：光伏项目竣备验收</w:t>
      </w:r>
    </w:p>
    <w:p w14:paraId="4F71AD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28.</w:t>
      </w:r>
      <w:r>
        <w:rPr>
          <w:rFonts w:hint="eastAsia" w:ascii="仿宋" w:hAnsi="仿宋" w:eastAsia="仿宋" w:cs="仿宋"/>
          <w:color w:val="000000"/>
          <w:sz w:val="28"/>
          <w:szCs w:val="28"/>
          <w:lang w:val="en-US" w:eastAsia="zh-CN"/>
        </w:rPr>
        <w:t>举例：光伏电站质量控制难点及措施</w:t>
      </w:r>
    </w:p>
    <w:p w14:paraId="4F1EA26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29.</w:t>
      </w:r>
      <w:r>
        <w:rPr>
          <w:rFonts w:hint="eastAsia" w:ascii="仿宋" w:hAnsi="仿宋" w:eastAsia="仿宋" w:cs="仿宋"/>
          <w:color w:val="000000"/>
          <w:sz w:val="28"/>
          <w:szCs w:val="28"/>
          <w:lang w:val="en-US" w:eastAsia="zh-CN"/>
        </w:rPr>
        <w:t>案例：风电场工程现场质量控制难点及措施</w:t>
      </w:r>
    </w:p>
    <w:p w14:paraId="2EA23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30.</w:t>
      </w:r>
      <w:r>
        <w:rPr>
          <w:rFonts w:hint="eastAsia" w:ascii="仿宋" w:hAnsi="仿宋" w:eastAsia="仿宋" w:cs="仿宋"/>
          <w:color w:val="000000"/>
          <w:sz w:val="28"/>
          <w:szCs w:val="28"/>
          <w:lang w:val="en-US" w:eastAsia="zh-CN"/>
        </w:rPr>
        <w:t>案例：抽水蓄能电站质量控制难点及措施</w:t>
      </w:r>
    </w:p>
    <w:p w14:paraId="59B862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31.</w:t>
      </w:r>
      <w:r>
        <w:rPr>
          <w:rFonts w:hint="eastAsia" w:ascii="仿宋" w:hAnsi="仿宋" w:eastAsia="仿宋" w:cs="仿宋"/>
          <w:color w:val="000000"/>
          <w:sz w:val="28"/>
          <w:szCs w:val="28"/>
          <w:lang w:val="en-US" w:eastAsia="zh-CN"/>
        </w:rPr>
        <w:t>案例：电化学储能电站质量控制难点及措施</w:t>
      </w:r>
    </w:p>
    <w:p w14:paraId="32B62A7C">
      <w:pPr>
        <w:keepNext w:val="0"/>
        <w:keepLines w:val="0"/>
        <w:pageBreakBefore w:val="0"/>
        <w:widowControl w:val="0"/>
        <w:kinsoku/>
        <w:wordWrap/>
        <w:overflowPunct/>
        <w:topLinePunct w:val="0"/>
        <w:autoSpaceDE/>
        <w:autoSpaceDN/>
        <w:bidi w:val="0"/>
        <w:adjustRightInd/>
        <w:snapToGrid/>
        <w:spacing w:line="400" w:lineRule="exact"/>
        <w:ind w:left="280" w:hanging="280" w:hanging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32.</w:t>
      </w:r>
      <w:r>
        <w:rPr>
          <w:rFonts w:hint="eastAsia" w:ascii="仿宋" w:hAnsi="仿宋" w:eastAsia="仿宋" w:cs="仿宋"/>
          <w:color w:val="000000"/>
          <w:sz w:val="28"/>
          <w:szCs w:val="28"/>
          <w:lang w:val="en-US" w:eastAsia="zh-CN"/>
        </w:rPr>
        <w:t>DeepSeek在质量管理中的应用——利用AI进行质量数据分析、缺陷预测和验收优化</w:t>
      </w:r>
    </w:p>
    <w:p w14:paraId="4B098D3F">
      <w:pPr>
        <w:keepNext w:val="0"/>
        <w:keepLines w:val="0"/>
        <w:pageBreakBefore w:val="0"/>
        <w:widowControl w:val="0"/>
        <w:kinsoku/>
        <w:wordWrap/>
        <w:overflowPunct/>
        <w:topLinePunct w:val="0"/>
        <w:autoSpaceDE/>
        <w:autoSpaceDN/>
        <w:bidi w:val="0"/>
        <w:adjustRightInd/>
        <w:snapToGrid/>
        <w:spacing w:line="400" w:lineRule="exact"/>
        <w:ind w:left="280" w:hanging="280" w:hangingChars="1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w:t>
      </w:r>
      <w:r>
        <w:rPr>
          <w:rFonts w:hint="eastAsia" w:cs="仿宋"/>
          <w:color w:val="000000"/>
          <w:sz w:val="28"/>
          <w:szCs w:val="28"/>
          <w:lang w:val="en-US" w:eastAsia="zh-CN"/>
        </w:rPr>
        <w:t>33.</w:t>
      </w:r>
      <w:r>
        <w:rPr>
          <w:rFonts w:hint="eastAsia" w:ascii="仿宋" w:hAnsi="仿宋" w:eastAsia="仿宋" w:cs="仿宋"/>
          <w:color w:val="000000"/>
          <w:sz w:val="28"/>
          <w:szCs w:val="28"/>
          <w:lang w:val="en-US" w:eastAsia="zh-CN"/>
        </w:rPr>
        <w:t>示例：DeepSeek在进度管理中的应用——利用AI进行进度预测、资源优化和风险预警</w:t>
      </w:r>
    </w:p>
    <w:p w14:paraId="24361B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（九）新能源EPC项目施工过程阶段成本管控实务</w:t>
      </w:r>
    </w:p>
    <w:p w14:paraId="7A391C28">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新能源EPC项目施工阶段的成本控制</w:t>
      </w:r>
    </w:p>
    <w:p w14:paraId="5B1B0637">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示例：新能源EPC项目成本控制框图</w:t>
      </w:r>
    </w:p>
    <w:p w14:paraId="2D7F266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r>
        <w:rPr>
          <w:rFonts w:hint="eastAsia" w:cs="仿宋"/>
          <w:color w:val="000000"/>
          <w:sz w:val="28"/>
          <w:szCs w:val="28"/>
          <w:lang w:val="en-US" w:eastAsia="zh-CN"/>
        </w:rPr>
        <w:t>案例：运用WBS方法实现成本精细化管控</w:t>
      </w:r>
    </w:p>
    <w:p w14:paraId="5DDC2EE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ascii="仿宋" w:hAnsi="仿宋" w:eastAsia="仿宋" w:cs="仿宋"/>
          <w:color w:val="000000"/>
          <w:sz w:val="28"/>
          <w:szCs w:val="28"/>
          <w:lang w:val="en-US" w:eastAsia="zh-CN"/>
        </w:rPr>
        <w:t>4.</w:t>
      </w:r>
      <w:r>
        <w:rPr>
          <w:rFonts w:hint="eastAsia" w:cs="仿宋"/>
          <w:color w:val="000000"/>
          <w:sz w:val="28"/>
          <w:szCs w:val="28"/>
          <w:lang w:val="en-US" w:eastAsia="zh-CN"/>
        </w:rPr>
        <w:t>新能源设计优化的提质降本增效方法与实践技巧</w:t>
      </w:r>
    </w:p>
    <w:p w14:paraId="31D792FA">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（1）标前设计变更、标后设计优化原则</w:t>
      </w:r>
    </w:p>
    <w:p w14:paraId="46E1772A">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（2）新能源项目优化设计的途径、方法</w:t>
      </w:r>
    </w:p>
    <w:p w14:paraId="1311EE86">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（3）案例——海上风电基础选择及优化设计方案</w:t>
      </w:r>
    </w:p>
    <w:p w14:paraId="17DA54F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（4）案例——储能电站的空间布局及送出线路设计优化方案</w:t>
      </w:r>
    </w:p>
    <w:p w14:paraId="5B12B4BD">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（5）EPC设计优化、施工优化二者如何结合？</w:t>
      </w:r>
    </w:p>
    <w:p w14:paraId="341407EA">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（6）示例：EPC项目设计对施工路线、技术、工艺的控制</w:t>
      </w:r>
    </w:p>
    <w:p w14:paraId="25DC2D8F">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5.新能源采购管理的提质降本增效方法与实践技巧</w:t>
      </w:r>
    </w:p>
    <w:p w14:paraId="09C3D1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（1）案例：新能源采购的管理价值（五重收益）</w:t>
      </w:r>
    </w:p>
    <w:p w14:paraId="473B7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（2）示例：采购成本细分控制方法</w:t>
      </w:r>
    </w:p>
    <w:p w14:paraId="4F18C6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（3）新能源工程材料、设备采购控制要点</w:t>
      </w:r>
    </w:p>
    <w:p w14:paraId="5D60AB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（4）规范采购管理流程1</w:t>
      </w:r>
    </w:p>
    <w:p w14:paraId="39C6AB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（5）规范采购管理流程2</w:t>
      </w:r>
    </w:p>
    <w:p w14:paraId="4AF53A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（6）采购进度控制流程及技巧</w:t>
      </w:r>
    </w:p>
    <w:p w14:paraId="519B117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6.新能源EPC项目分包的成本控制</w:t>
      </w:r>
    </w:p>
    <w:p w14:paraId="20B34C9A">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7.新能源EPC项目的工期成本控制</w:t>
      </w:r>
    </w:p>
    <w:p w14:paraId="0510C192">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8.新能源EPC项目的质量成本控制</w:t>
      </w:r>
    </w:p>
    <w:p w14:paraId="4C136AB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9.新能源EPC项目施工过程中的降本增效措施</w:t>
      </w:r>
    </w:p>
    <w:p w14:paraId="658D88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（1）施工新技术、新工艺“降本增效”</w:t>
      </w:r>
    </w:p>
    <w:p w14:paraId="705FCD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（2）人工费/劳务费管控“降本增效”</w:t>
      </w:r>
    </w:p>
    <w:p w14:paraId="36494C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（3）安全节能节水设备应用“降本增效”</w:t>
      </w:r>
    </w:p>
    <w:p w14:paraId="0C6538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（4）设备使用与维护管理“降本增效”</w:t>
      </w:r>
    </w:p>
    <w:p w14:paraId="12C1CA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（5）工程物资消耗“降本增效”</w:t>
      </w:r>
    </w:p>
    <w:p w14:paraId="5F7606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（6）示例：绿色节能施工技术在房屋建筑中的应用</w:t>
      </w:r>
    </w:p>
    <w:p w14:paraId="6625030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color w:val="000000"/>
          <w:sz w:val="28"/>
          <w:szCs w:val="28"/>
          <w:lang w:val="en-US" w:eastAsia="zh-CN"/>
        </w:rPr>
      </w:pPr>
      <w:r>
        <w:rPr>
          <w:rFonts w:hint="eastAsia" w:cs="仿宋"/>
          <w:color w:val="000000"/>
          <w:sz w:val="28"/>
          <w:szCs w:val="28"/>
          <w:lang w:val="en-US" w:eastAsia="zh-CN"/>
        </w:rPr>
        <w:t>（7）案例：江苏句容抽水蓄能电站上水库施工工艺</w:t>
      </w:r>
    </w:p>
    <w:p w14:paraId="71A8561D">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（8）示例：海上风电重力式基础的质量控制示意图</w:t>
      </w:r>
    </w:p>
    <w:p w14:paraId="73AD8431">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10.新能源EPC项目变更签证索赔的实务与技巧</w:t>
      </w:r>
    </w:p>
    <w:p w14:paraId="68C0A2F0">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11.新能源EPC项目的设计变更流程及成本管控</w:t>
      </w:r>
    </w:p>
    <w:p w14:paraId="6CC684B6">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12.3个案例分析</w:t>
      </w:r>
    </w:p>
    <w:p w14:paraId="6A7B79C6">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13.示例：DeepSeek在成本管控中的应用——利用AI进行成本实时监控、变更管理和风险控制</w:t>
      </w:r>
    </w:p>
    <w:p w14:paraId="35BA5F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bCs/>
          <w:color w:val="000000"/>
          <w:sz w:val="28"/>
          <w:szCs w:val="28"/>
          <w:lang w:val="en-US" w:eastAsia="zh-CN"/>
        </w:rPr>
      </w:pPr>
      <w:r>
        <w:rPr>
          <w:rFonts w:hint="eastAsia" w:cs="仿宋"/>
          <w:b/>
          <w:bCs/>
          <w:color w:val="000000"/>
          <w:sz w:val="28"/>
          <w:szCs w:val="28"/>
          <w:lang w:val="en-US" w:eastAsia="zh-CN"/>
        </w:rPr>
        <w:t>（十）新能源EPC项目工程结算阶段成本管控实务</w:t>
      </w:r>
    </w:p>
    <w:p w14:paraId="4B7DA8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val="0"/>
          <w:bCs w:val="0"/>
          <w:color w:val="000000"/>
          <w:sz w:val="28"/>
          <w:szCs w:val="28"/>
          <w:lang w:val="en-US" w:eastAsia="zh-CN"/>
        </w:rPr>
      </w:pPr>
      <w:r>
        <w:rPr>
          <w:rFonts w:hint="eastAsia" w:cs="仿宋"/>
          <w:b/>
          <w:bCs/>
          <w:color w:val="000000"/>
          <w:sz w:val="28"/>
          <w:szCs w:val="28"/>
          <w:lang w:val="en-US" w:eastAsia="zh-CN"/>
        </w:rPr>
        <w:t></w:t>
      </w:r>
      <w:r>
        <w:rPr>
          <w:rFonts w:hint="eastAsia" w:cs="仿宋"/>
          <w:b w:val="0"/>
          <w:bCs w:val="0"/>
          <w:color w:val="000000"/>
          <w:sz w:val="28"/>
          <w:szCs w:val="28"/>
          <w:lang w:val="en-US" w:eastAsia="zh-CN"/>
        </w:rPr>
        <w:t>1.新能源EPC项目工程造价的多次性计价特点</w:t>
      </w:r>
    </w:p>
    <w:p w14:paraId="590222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2.新能源EPC项目结算的概念</w:t>
      </w:r>
    </w:p>
    <w:p w14:paraId="2B77CF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3.新能源EPC项目结算的重要性</w:t>
      </w:r>
    </w:p>
    <w:p w14:paraId="65F915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4.新能源EPC项目结算的依据</w:t>
      </w:r>
    </w:p>
    <w:p w14:paraId="4DE09E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5.新能源EPC项目结算流程、审计单位的选择？</w:t>
      </w:r>
    </w:p>
    <w:p w14:paraId="59FE0BF9">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6.《2024清单计价规范》下的过程结算实施技巧</w:t>
      </w:r>
    </w:p>
    <w:p w14:paraId="2D44C470">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7.结算审计的流程及各环节应对思路（检查资料、看现场、实测实量、合同内清单、合同外组价）</w:t>
      </w:r>
    </w:p>
    <w:p w14:paraId="5485B827">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8.结算资料汇编的要求，如何防止漏项、漏报</w:t>
      </w:r>
    </w:p>
    <w:p w14:paraId="1EEC381F">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9.审计公司的惯用套路，与审计公司PK必须要注意什么？</w:t>
      </w:r>
    </w:p>
    <w:p w14:paraId="696869DD">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10.结算阶段争议问题处理原则，解决四种办法</w:t>
      </w:r>
    </w:p>
    <w:p w14:paraId="643A4B86">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11.新能源EPC项目结算审核实务与技巧</w:t>
      </w:r>
    </w:p>
    <w:p w14:paraId="2B9F7C1D">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12.新能源EPC项目结算中体现动态结算</w:t>
      </w:r>
    </w:p>
    <w:p w14:paraId="308A90BD">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13.新能源EPC项目结算第三方审计的选择</w:t>
      </w:r>
    </w:p>
    <w:p w14:paraId="463BD23F">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14.3个案例：新能源EPC项目结算实例</w:t>
      </w:r>
    </w:p>
    <w:p w14:paraId="6F61A47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15.案例：《2024清单计价规范》下5.57MW分布式光伏项目结算审计</w:t>
      </w:r>
    </w:p>
    <w:p w14:paraId="60C03619">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b w:val="0"/>
          <w:bCs w:val="0"/>
          <w:color w:val="000000"/>
          <w:sz w:val="28"/>
          <w:szCs w:val="28"/>
          <w:lang w:val="en-US" w:eastAsia="zh-CN"/>
        </w:rPr>
      </w:pPr>
      <w:r>
        <w:rPr>
          <w:rFonts w:hint="eastAsia" w:cs="仿宋"/>
          <w:b w:val="0"/>
          <w:bCs w:val="0"/>
          <w:color w:val="000000"/>
          <w:sz w:val="28"/>
          <w:szCs w:val="28"/>
          <w:lang w:val="en-US" w:eastAsia="zh-CN"/>
        </w:rPr>
        <w:t>16.示例：DeepSeek在结算管理中的应用——利用AI进行结算数据核对、争议问题分析和审计支持</w:t>
      </w:r>
    </w:p>
    <w:p w14:paraId="1F7B1B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s="仿宋"/>
          <w:b/>
          <w:bCs/>
          <w:color w:val="000000"/>
          <w:sz w:val="28"/>
          <w:szCs w:val="28"/>
          <w:lang w:val="en-US" w:eastAsia="zh-CN"/>
        </w:rPr>
      </w:pPr>
      <w:r>
        <w:rPr>
          <w:rFonts w:hint="default" w:cs="仿宋"/>
          <w:b/>
          <w:bCs/>
          <w:color w:val="000000"/>
          <w:sz w:val="28"/>
          <w:szCs w:val="28"/>
          <w:lang w:val="en-US" w:eastAsia="zh-CN"/>
        </w:rPr>
        <w:t>第二部分：《新能源光伏风电运维与DeepSeek赋能提效》</w:t>
      </w:r>
    </w:p>
    <w:p w14:paraId="28FE3D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000000"/>
          <w:sz w:val="28"/>
          <w:szCs w:val="28"/>
          <w:lang w:val="en-US" w:eastAsia="zh-CN"/>
        </w:rPr>
      </w:pPr>
      <w:r>
        <w:rPr>
          <w:rFonts w:hint="eastAsia" w:cs="仿宋"/>
          <w:b/>
          <w:bCs/>
          <w:color w:val="000000"/>
          <w:sz w:val="28"/>
          <w:szCs w:val="28"/>
          <w:lang w:val="en-US" w:eastAsia="zh-CN"/>
        </w:rPr>
        <w:t>（十一）新能源运维行业概述</w:t>
      </w:r>
    </w:p>
    <w:p w14:paraId="68213810">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新能源运维现状</w:t>
      </w:r>
    </w:p>
    <w:p w14:paraId="0DAF44C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w:t>
      </w:r>
      <w:r>
        <w:rPr>
          <w:rFonts w:hint="eastAsia" w:ascii="仿宋" w:hAnsi="仿宋" w:eastAsia="仿宋" w:cs="仿宋"/>
          <w:color w:val="000000"/>
          <w:sz w:val="28"/>
          <w:szCs w:val="28"/>
          <w:lang w:val="en-US" w:eastAsia="zh-CN"/>
        </w:rPr>
        <w:t>光伏风电瓦斯发电运维现状</w:t>
      </w:r>
    </w:p>
    <w:p w14:paraId="5F10568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DeepSeek在运维现状分析中的应用——利用AI技术对运维数据进行趋势分析和预测</w:t>
      </w:r>
    </w:p>
    <w:p w14:paraId="0B5003B0">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r>
        <w:rPr>
          <w:rFonts w:hint="eastAsia" w:cs="仿宋"/>
          <w:color w:val="000000"/>
          <w:sz w:val="28"/>
          <w:szCs w:val="28"/>
          <w:lang w:val="en-US" w:eastAsia="zh-CN"/>
        </w:rPr>
        <w:t>.</w:t>
      </w:r>
      <w:r>
        <w:rPr>
          <w:rFonts w:hint="eastAsia" w:ascii="仿宋" w:hAnsi="仿宋" w:eastAsia="仿宋" w:cs="仿宋"/>
          <w:color w:val="000000"/>
          <w:sz w:val="28"/>
          <w:szCs w:val="28"/>
          <w:lang w:val="en-US" w:eastAsia="zh-CN"/>
        </w:rPr>
        <w:t>新能源运维的痛点分析</w:t>
      </w:r>
    </w:p>
    <w:p w14:paraId="4F0CE139">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（1）光伏风电瓦斯发电痛点</w:t>
      </w:r>
    </w:p>
    <w:p w14:paraId="6EEC5FEB">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（2）DeepSeek在痛点分析中的应用——通过AI识别运维中的高频问题，提供优化建议</w:t>
      </w:r>
    </w:p>
    <w:p w14:paraId="200A5B7F">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3.新能源运维的发展方向</w:t>
      </w:r>
    </w:p>
    <w:p w14:paraId="46953D07">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（1）光伏、风电设备户外实证和综合利用资源增值服务</w:t>
      </w:r>
    </w:p>
    <w:p w14:paraId="4D14668E">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（2）DeepSeek在资源增值服务中的应用——利用AI优化资源分配和增值服务模式</w:t>
      </w:r>
    </w:p>
    <w:p w14:paraId="05FDD5CC">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4.新能源行业运行维护标准</w:t>
      </w:r>
    </w:p>
    <w:p w14:paraId="49F5FB9A">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（1）光伏风电瓦斯发电运维国家标准、行业标准、企业标准</w:t>
      </w:r>
    </w:p>
    <w:p w14:paraId="0E34C0E1">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（2）DeepSeek在标准解读中的应用——通过AI快速解读标准文件，生成运维操作指南</w:t>
      </w:r>
    </w:p>
    <w:p w14:paraId="41A2F66C">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5.新能源行业运维技术</w:t>
      </w:r>
    </w:p>
    <w:p w14:paraId="3A0DBB5C">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（1）无人机、物联网技术运维</w:t>
      </w:r>
    </w:p>
    <w:p w14:paraId="4C358791">
      <w:pPr>
        <w:keepNext w:val="0"/>
        <w:keepLines w:val="0"/>
        <w:pageBreakBefore w:val="0"/>
        <w:widowControl w:val="0"/>
        <w:kinsoku/>
        <w:wordWrap/>
        <w:overflowPunct/>
        <w:topLinePunct w:val="0"/>
        <w:autoSpaceDE/>
        <w:autoSpaceDN/>
        <w:bidi w:val="0"/>
        <w:adjustRightInd/>
        <w:snapToGrid/>
        <w:spacing w:line="400" w:lineRule="exact"/>
        <w:ind w:left="280" w:leftChars="1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（2）DeepSeek在无人机和物联网运维中的应用——通过AI优化巡检路径、数据分析及故障预警</w:t>
      </w:r>
    </w:p>
    <w:p w14:paraId="7BA616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24"/>
          <w:szCs w:val="24"/>
          <w:lang w:val="en-US" w:eastAsia="zh-CN"/>
        </w:rPr>
      </w:pPr>
      <w:r>
        <w:rPr>
          <w:rFonts w:hint="eastAsia" w:cs="仿宋"/>
          <w:b/>
          <w:bCs/>
          <w:color w:val="000000"/>
          <w:sz w:val="28"/>
          <w:szCs w:val="28"/>
          <w:lang w:val="en-US" w:eastAsia="zh-CN"/>
        </w:rPr>
        <w:t>（十二）光伏电站运维专题</w:t>
      </w:r>
    </w:p>
    <w:p w14:paraId="664896D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w:t>
      </w:r>
      <w:r>
        <w:rPr>
          <w:rFonts w:hint="eastAsia" w:cs="仿宋"/>
          <w:color w:val="000000"/>
          <w:sz w:val="28"/>
          <w:szCs w:val="28"/>
          <w:lang w:val="en-US" w:eastAsia="zh-CN"/>
        </w:rPr>
        <w:t xml:space="preserve"> </w:t>
      </w:r>
      <w:r>
        <w:rPr>
          <w:rFonts w:hint="eastAsia" w:ascii="仿宋" w:hAnsi="仿宋" w:eastAsia="仿宋" w:cs="仿宋"/>
          <w:b/>
          <w:bCs/>
          <w:color w:val="000000"/>
          <w:sz w:val="28"/>
          <w:szCs w:val="28"/>
          <w:lang w:val="en-US" w:eastAsia="zh-CN"/>
        </w:rPr>
        <w:t>光伏运维中如何消除系统内耗，提升发电量</w:t>
      </w:r>
    </w:p>
    <w:p w14:paraId="4465D78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w:t>
      </w:r>
      <w:r>
        <w:rPr>
          <w:rFonts w:hint="eastAsia" w:ascii="仿宋" w:hAnsi="仿宋" w:eastAsia="仿宋" w:cs="仿宋"/>
          <w:color w:val="000000"/>
          <w:sz w:val="28"/>
          <w:szCs w:val="28"/>
          <w:lang w:val="en-US" w:eastAsia="zh-CN"/>
        </w:rPr>
        <w:t>串联失配损失</w:t>
      </w:r>
    </w:p>
    <w:p w14:paraId="09B4E1D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2.</w:t>
      </w:r>
      <w:r>
        <w:rPr>
          <w:rFonts w:hint="eastAsia" w:ascii="仿宋" w:hAnsi="仿宋" w:eastAsia="仿宋" w:cs="仿宋"/>
          <w:color w:val="000000"/>
          <w:sz w:val="28"/>
          <w:szCs w:val="28"/>
          <w:lang w:val="en-US" w:eastAsia="zh-CN"/>
        </w:rPr>
        <w:t>并联失配损失</w:t>
      </w:r>
    </w:p>
    <w:p w14:paraId="69B5E5C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3.</w:t>
      </w:r>
      <w:r>
        <w:rPr>
          <w:rFonts w:hint="eastAsia" w:ascii="仿宋" w:hAnsi="仿宋" w:eastAsia="仿宋" w:cs="仿宋"/>
          <w:color w:val="000000"/>
          <w:sz w:val="28"/>
          <w:szCs w:val="28"/>
          <w:lang w:val="en-US" w:eastAsia="zh-CN"/>
        </w:rPr>
        <w:t>组件隐性成本损失</w:t>
      </w:r>
    </w:p>
    <w:p w14:paraId="3503F6D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4.</w:t>
      </w:r>
      <w:r>
        <w:rPr>
          <w:rFonts w:hint="eastAsia" w:ascii="仿宋" w:hAnsi="仿宋" w:eastAsia="仿宋" w:cs="仿宋"/>
          <w:color w:val="000000"/>
          <w:sz w:val="28"/>
          <w:szCs w:val="28"/>
          <w:lang w:val="en-US" w:eastAsia="zh-CN"/>
        </w:rPr>
        <w:t>组件隐裂损失和火灾风险</w:t>
      </w:r>
    </w:p>
    <w:p w14:paraId="2E82A24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5.</w:t>
      </w:r>
      <w:r>
        <w:rPr>
          <w:rFonts w:hint="eastAsia" w:ascii="仿宋" w:hAnsi="仿宋" w:eastAsia="仿宋" w:cs="仿宋"/>
          <w:color w:val="000000"/>
          <w:sz w:val="28"/>
          <w:szCs w:val="28"/>
          <w:lang w:val="en-US" w:eastAsia="zh-CN"/>
        </w:rPr>
        <w:t>MC4接头损失的电量</w:t>
      </w:r>
    </w:p>
    <w:p w14:paraId="3A5C04E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6.</w:t>
      </w:r>
      <w:r>
        <w:rPr>
          <w:rFonts w:hint="eastAsia" w:ascii="仿宋" w:hAnsi="仿宋" w:eastAsia="仿宋" w:cs="仿宋"/>
          <w:color w:val="000000"/>
          <w:sz w:val="28"/>
          <w:szCs w:val="28"/>
          <w:lang w:val="en-US" w:eastAsia="zh-CN"/>
        </w:rPr>
        <w:t>光伏电缆损失的电量</w:t>
      </w:r>
    </w:p>
    <w:p w14:paraId="74AD8FB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7.</w:t>
      </w:r>
      <w:r>
        <w:rPr>
          <w:rFonts w:hint="eastAsia" w:ascii="仿宋" w:hAnsi="仿宋" w:eastAsia="仿宋" w:cs="仿宋"/>
          <w:color w:val="000000"/>
          <w:sz w:val="28"/>
          <w:szCs w:val="28"/>
          <w:lang w:val="en-US" w:eastAsia="zh-CN"/>
        </w:rPr>
        <w:t>逆变器运维的丢失的效率</w:t>
      </w:r>
    </w:p>
    <w:p w14:paraId="2966A54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8.</w:t>
      </w:r>
      <w:r>
        <w:rPr>
          <w:rFonts w:hint="eastAsia" w:ascii="仿宋" w:hAnsi="仿宋" w:eastAsia="仿宋" w:cs="仿宋"/>
          <w:color w:val="000000"/>
          <w:sz w:val="28"/>
          <w:szCs w:val="28"/>
          <w:lang w:val="en-US" w:eastAsia="zh-CN"/>
        </w:rPr>
        <w:t>变压器运维中丢失的效率</w:t>
      </w:r>
    </w:p>
    <w:p w14:paraId="1439756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9.</w:t>
      </w:r>
      <w:r>
        <w:rPr>
          <w:rFonts w:hint="eastAsia" w:ascii="仿宋" w:hAnsi="仿宋" w:eastAsia="仿宋" w:cs="仿宋"/>
          <w:color w:val="000000"/>
          <w:sz w:val="28"/>
          <w:szCs w:val="28"/>
          <w:lang w:val="en-US" w:eastAsia="zh-CN"/>
        </w:rPr>
        <w:t>DeepSeek在系统内耗分析中的应用——通过AI识别系统内耗来源，提出优化方案</w:t>
      </w:r>
    </w:p>
    <w:p w14:paraId="4F5CD51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10.</w:t>
      </w:r>
      <w:r>
        <w:rPr>
          <w:rFonts w:hint="eastAsia" w:ascii="仿宋" w:hAnsi="仿宋" w:eastAsia="仿宋" w:cs="仿宋"/>
          <w:color w:val="000000"/>
          <w:sz w:val="28"/>
          <w:szCs w:val="28"/>
          <w:lang w:val="en-US" w:eastAsia="zh-CN"/>
        </w:rPr>
        <w:t>无人机运维和一键机库</w:t>
      </w:r>
    </w:p>
    <w:p w14:paraId="1DC4DAD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ascii="仿宋" w:hAnsi="仿宋" w:eastAsia="仿宋" w:cs="仿宋"/>
          <w:color w:val="000000"/>
          <w:sz w:val="28"/>
          <w:szCs w:val="28"/>
          <w:lang w:val="en-US" w:eastAsia="zh-CN"/>
        </w:rPr>
      </w:pPr>
      <w:r>
        <w:rPr>
          <w:rFonts w:hint="eastAsia" w:cs="仿宋"/>
          <w:color w:val="000000"/>
          <w:sz w:val="28"/>
          <w:szCs w:val="28"/>
          <w:lang w:val="en-US" w:eastAsia="zh-CN"/>
        </w:rPr>
        <w:t>11.</w:t>
      </w:r>
      <w:r>
        <w:rPr>
          <w:rFonts w:hint="eastAsia" w:ascii="仿宋" w:hAnsi="仿宋" w:eastAsia="仿宋" w:cs="仿宋"/>
          <w:color w:val="000000"/>
          <w:sz w:val="28"/>
          <w:szCs w:val="28"/>
          <w:lang w:val="en-US" w:eastAsia="zh-CN"/>
        </w:rPr>
        <w:t>物联网运维平台</w:t>
      </w:r>
    </w:p>
    <w:p w14:paraId="6AE0B45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default" w:ascii="仿宋" w:hAnsi="仿宋" w:eastAsia="仿宋" w:cs="仿宋"/>
          <w:color w:val="000000"/>
          <w:sz w:val="28"/>
          <w:szCs w:val="28"/>
          <w:lang w:val="en-US" w:eastAsia="zh-CN"/>
        </w:rPr>
      </w:pPr>
      <w:r>
        <w:rPr>
          <w:rFonts w:hint="eastAsia" w:cs="仿宋"/>
          <w:color w:val="000000"/>
          <w:sz w:val="28"/>
          <w:szCs w:val="28"/>
          <w:lang w:val="en-US" w:eastAsia="zh-CN"/>
        </w:rPr>
        <w:t>12.DeepSeek在物联网平台中的应用——通过AI实现数据实时监控和智能决策</w:t>
      </w:r>
    </w:p>
    <w:p w14:paraId="67DB828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textAlignment w:val="auto"/>
        <w:rPr>
          <w:rFonts w:hint="eastAsia" w:cs="仿宋"/>
          <w:b/>
          <w:bCs/>
          <w:color w:val="000000"/>
          <w:sz w:val="28"/>
          <w:szCs w:val="28"/>
          <w:lang w:val="en-US" w:eastAsia="zh-CN"/>
        </w:rPr>
      </w:pPr>
      <w:r>
        <w:rPr>
          <w:rFonts w:hint="eastAsia" w:cs="仿宋"/>
          <w:b/>
          <w:bCs/>
          <w:color w:val="000000"/>
          <w:sz w:val="28"/>
          <w:szCs w:val="28"/>
          <w:lang w:val="en-US" w:eastAsia="zh-CN"/>
        </w:rPr>
        <w:t>（十三）风电场运维专题</w:t>
      </w:r>
    </w:p>
    <w:p w14:paraId="36EACD1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1.风电飞车故障等灾害预防</w:t>
      </w:r>
    </w:p>
    <w:p w14:paraId="11CB3A5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560" w:leftChars="2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DeepSeek在灾害预防中的应用——利用AI进行故障预测和预防性维护</w:t>
      </w:r>
    </w:p>
    <w:p w14:paraId="11A20A8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2.风电场预防性试验</w:t>
      </w:r>
    </w:p>
    <w:p w14:paraId="57D2657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560" w:leftChars="200" w:firstLine="0" w:firstLineChars="0"/>
        <w:textAlignment w:val="auto"/>
        <w:rPr>
          <w:rFonts w:hint="default" w:cs="仿宋"/>
          <w:color w:val="000000"/>
          <w:sz w:val="28"/>
          <w:szCs w:val="28"/>
          <w:lang w:val="en-US" w:eastAsia="zh-CN"/>
        </w:rPr>
      </w:pPr>
      <w:r>
        <w:rPr>
          <w:rFonts w:hint="eastAsia" w:cs="仿宋"/>
          <w:color w:val="000000"/>
          <w:sz w:val="28"/>
          <w:szCs w:val="28"/>
          <w:lang w:val="en-US" w:eastAsia="zh-CN"/>
        </w:rPr>
        <w:t>DeepSeek在预防性试验中的应用——通过AI优化试验流程和数据分析</w:t>
      </w:r>
    </w:p>
    <w:p w14:paraId="40DF32E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3.无人机巡检风机叶片</w:t>
      </w:r>
    </w:p>
    <w:p w14:paraId="46F6242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273" w:firstLineChars="100"/>
        <w:textAlignment w:val="auto"/>
        <w:rPr>
          <w:rFonts w:hint="default" w:cs="仿宋"/>
          <w:color w:val="000000"/>
          <w:sz w:val="28"/>
          <w:szCs w:val="28"/>
          <w:lang w:val="en-US" w:eastAsia="zh-CN"/>
        </w:rPr>
      </w:pPr>
      <w:r>
        <w:rPr>
          <w:rFonts w:hint="default" w:cs="仿宋"/>
          <w:color w:val="000000"/>
          <w:spacing w:val="1"/>
          <w:w w:val="97"/>
          <w:kern w:val="0"/>
          <w:sz w:val="28"/>
          <w:szCs w:val="28"/>
          <w:fitText w:val="8960" w:id="2008113324"/>
          <w:lang w:val="en-US" w:eastAsia="zh-CN"/>
        </w:rPr>
        <w:t>DeepSeek在无人机巡检中的应用——通过AI识别叶片缺陷并生成修复建</w:t>
      </w:r>
      <w:r>
        <w:rPr>
          <w:rFonts w:hint="default" w:cs="仿宋"/>
          <w:color w:val="000000"/>
          <w:spacing w:val="6"/>
          <w:w w:val="97"/>
          <w:kern w:val="0"/>
          <w:sz w:val="28"/>
          <w:szCs w:val="28"/>
          <w:fitText w:val="8960" w:id="2008113324"/>
          <w:lang w:val="en-US" w:eastAsia="zh-CN"/>
        </w:rPr>
        <w:t>议</w:t>
      </w:r>
    </w:p>
    <w:p w14:paraId="42BE9A9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4.风机定检管理和故障分析</w:t>
      </w:r>
    </w:p>
    <w:p w14:paraId="06DBB615">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DeepSeek在故障分析中的应用——利用AI进行故障根因分析和解决方案推荐</w:t>
      </w:r>
    </w:p>
    <w:p w14:paraId="077530EB">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5.风电集电线路运维</w:t>
      </w:r>
    </w:p>
    <w:p w14:paraId="00A1F6B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DeepSeek在集电线路运维中的应用——通过AI优化线路巡检和维护计划</w:t>
      </w:r>
    </w:p>
    <w:p w14:paraId="1806EE19">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eastAsia" w:cs="仿宋"/>
          <w:color w:val="000000"/>
          <w:sz w:val="28"/>
          <w:szCs w:val="28"/>
          <w:lang w:val="en-US" w:eastAsia="zh-CN"/>
        </w:rPr>
      </w:pPr>
      <w:r>
        <w:rPr>
          <w:rFonts w:hint="eastAsia" w:cs="仿宋"/>
          <w:color w:val="000000"/>
          <w:sz w:val="28"/>
          <w:szCs w:val="28"/>
          <w:lang w:val="en-US" w:eastAsia="zh-CN"/>
        </w:rPr>
        <w:t>6.无人机和物联网运维平台</w:t>
      </w:r>
    </w:p>
    <w:p w14:paraId="3D0E008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273" w:firstLineChars="100"/>
        <w:textAlignment w:val="auto"/>
        <w:rPr>
          <w:rFonts w:hint="eastAsia" w:ascii="仿宋" w:hAnsi="仿宋" w:eastAsia="仿宋" w:cs="仿宋"/>
          <w:color w:val="000000"/>
          <w:sz w:val="28"/>
          <w:szCs w:val="28"/>
          <w:lang w:val="en-US" w:eastAsia="zh-CN"/>
        </w:rPr>
      </w:pPr>
      <w:r>
        <w:rPr>
          <w:rFonts w:hint="eastAsia" w:cs="仿宋"/>
          <w:color w:val="000000"/>
          <w:spacing w:val="1"/>
          <w:w w:val="97"/>
          <w:kern w:val="0"/>
          <w:sz w:val="28"/>
          <w:szCs w:val="28"/>
          <w:fitText w:val="8960" w:id="1598517887"/>
          <w:lang w:val="en-US" w:eastAsia="zh-CN"/>
        </w:rPr>
        <w:t>DeepSeek在平台整合中的应用——通过AI实现多平台数据融合和智能运</w:t>
      </w:r>
      <w:r>
        <w:rPr>
          <w:rFonts w:hint="eastAsia" w:cs="仿宋"/>
          <w:color w:val="000000"/>
          <w:spacing w:val="5"/>
          <w:w w:val="97"/>
          <w:kern w:val="0"/>
          <w:sz w:val="28"/>
          <w:szCs w:val="28"/>
          <w:fitText w:val="8960" w:id="1598517887"/>
          <w:lang w:val="en-US" w:eastAsia="zh-CN"/>
        </w:rPr>
        <w:t>维</w:t>
      </w:r>
    </w:p>
    <w:p w14:paraId="1FE74C4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color w:val="000000"/>
          <w:sz w:val="24"/>
          <w:szCs w:val="24"/>
          <w:lang w:val="en-US" w:eastAsia="zh-CN"/>
        </w:rPr>
      </w:pPr>
      <w:r>
        <w:rPr>
          <w:rFonts w:hint="eastAsia" w:cs="仿宋"/>
          <w:b/>
          <w:bCs/>
          <w:color w:val="000000"/>
          <w:sz w:val="28"/>
          <w:szCs w:val="28"/>
          <w:lang w:val="en-US" w:eastAsia="zh-CN"/>
        </w:rPr>
        <w:t>（十四）瓦斯发电运维专题</w:t>
      </w:r>
    </w:p>
    <w:p w14:paraId="7BAEDD7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eastAsia" w:cs="仿宋"/>
          <w:color w:val="000000"/>
          <w:sz w:val="28"/>
          <w:szCs w:val="28"/>
          <w:lang w:val="en-US" w:eastAsia="zh-CN"/>
        </w:rPr>
      </w:pPr>
      <w:r>
        <w:rPr>
          <w:rFonts w:hint="eastAsia" w:ascii="仿宋" w:hAnsi="仿宋" w:eastAsia="仿宋" w:cs="仿宋"/>
          <w:color w:val="000000"/>
          <w:sz w:val="28"/>
          <w:szCs w:val="28"/>
          <w:lang w:val="en-US" w:eastAsia="zh-CN"/>
        </w:rPr>
        <w:t>1</w:t>
      </w:r>
      <w:r>
        <w:rPr>
          <w:rFonts w:hint="eastAsia" w:cs="仿宋"/>
          <w:color w:val="000000"/>
          <w:sz w:val="28"/>
          <w:szCs w:val="28"/>
          <w:lang w:val="en-US" w:eastAsia="zh-CN"/>
        </w:rPr>
        <w:t>.瓦斯发电运维工作要点</w:t>
      </w:r>
    </w:p>
    <w:p w14:paraId="687A4F5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（1）瓦斯发电运维要点</w:t>
      </w:r>
    </w:p>
    <w:p w14:paraId="413D250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（2）DeepSeek在运维要点优化中的应用——通过AI生成运维最佳实践</w:t>
      </w:r>
    </w:p>
    <w:p w14:paraId="3ADEC33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color w:val="000000"/>
          <w:sz w:val="28"/>
          <w:szCs w:val="28"/>
          <w:lang w:val="en-US" w:eastAsia="zh-CN"/>
        </w:rPr>
      </w:pPr>
      <w:r>
        <w:rPr>
          <w:rFonts w:hint="eastAsia" w:cs="仿宋"/>
          <w:color w:val="000000"/>
          <w:sz w:val="28"/>
          <w:szCs w:val="28"/>
          <w:lang w:val="en-US" w:eastAsia="zh-CN"/>
        </w:rPr>
        <w:t>2.发电厂安规测试和预防性试验</w:t>
      </w:r>
    </w:p>
    <w:p w14:paraId="53D37CA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80" w:firstLineChars="100"/>
        <w:textAlignment w:val="auto"/>
        <w:rPr>
          <w:rFonts w:hint="eastAsia" w:cs="仿宋"/>
          <w:color w:val="000000"/>
          <w:kern w:val="2"/>
          <w:sz w:val="28"/>
          <w:szCs w:val="28"/>
          <w:lang w:val="en-US" w:eastAsia="zh-CN" w:bidi="ar-SA"/>
        </w:rPr>
      </w:pPr>
      <w:r>
        <w:rPr>
          <w:rFonts w:hint="eastAsia" w:cs="仿宋"/>
          <w:color w:val="000000"/>
          <w:kern w:val="2"/>
          <w:sz w:val="28"/>
          <w:szCs w:val="28"/>
          <w:lang w:val="en-US" w:eastAsia="zh-CN" w:bidi="ar-SA"/>
        </w:rPr>
        <w:t>（1）发电厂安规</w:t>
      </w:r>
    </w:p>
    <w:p w14:paraId="272512F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80" w:firstLineChars="100"/>
        <w:textAlignment w:val="auto"/>
        <w:rPr>
          <w:rFonts w:hint="eastAsia" w:cs="仿宋"/>
          <w:color w:val="000000"/>
          <w:sz w:val="28"/>
          <w:szCs w:val="28"/>
          <w:lang w:val="en-US" w:eastAsia="zh-CN"/>
        </w:rPr>
      </w:pPr>
      <w:r>
        <w:rPr>
          <w:rFonts w:hint="eastAsia" w:cs="仿宋"/>
          <w:color w:val="000000"/>
          <w:kern w:val="2"/>
          <w:sz w:val="28"/>
          <w:szCs w:val="28"/>
          <w:lang w:val="en-US" w:eastAsia="zh-CN" w:bidi="ar-SA"/>
        </w:rPr>
        <w:t>（2）DeepSeek在安规测试中的应用——通过AI优化测试流程和结果分析</w:t>
      </w:r>
    </w:p>
    <w:p w14:paraId="18963B8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280" w:firstLineChars="100"/>
        <w:textAlignment w:val="auto"/>
        <w:rPr>
          <w:rFonts w:hint="eastAsia" w:cs="仿宋"/>
          <w:color w:val="000000"/>
          <w:sz w:val="28"/>
          <w:szCs w:val="28"/>
          <w:lang w:val="en-US" w:eastAsia="zh-CN"/>
        </w:rPr>
      </w:pPr>
      <w:r>
        <w:rPr>
          <w:rFonts w:hint="eastAsia" w:cs="仿宋"/>
          <w:color w:val="000000"/>
          <w:sz w:val="28"/>
          <w:szCs w:val="28"/>
          <w:lang w:val="en-US" w:eastAsia="zh-CN"/>
        </w:rPr>
        <w:t>3.瓦斯发电厂运维和检修</w:t>
      </w:r>
    </w:p>
    <w:p w14:paraId="2B21BF9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560" w:firstLineChars="200"/>
        <w:textAlignment w:val="auto"/>
        <w:rPr>
          <w:rFonts w:hint="eastAsia" w:cs="仿宋"/>
          <w:color w:val="000000"/>
          <w:kern w:val="2"/>
          <w:sz w:val="28"/>
          <w:szCs w:val="28"/>
          <w:lang w:val="en-US" w:eastAsia="zh-CN" w:bidi="ar-SA"/>
        </w:rPr>
      </w:pPr>
      <w:r>
        <w:rPr>
          <w:rFonts w:hint="eastAsia" w:cs="仿宋"/>
          <w:color w:val="000000"/>
          <w:kern w:val="2"/>
          <w:sz w:val="28"/>
          <w:szCs w:val="28"/>
          <w:lang w:val="en-US" w:eastAsia="zh-CN" w:bidi="ar-SA"/>
        </w:rPr>
        <w:t>DeepSeek在检修中的应用——利用AI进行设备健康评估和检修计划优化</w:t>
      </w:r>
    </w:p>
    <w:p w14:paraId="41E8C2E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cs="仿宋"/>
          <w:b/>
          <w:bCs/>
          <w:color w:val="000000"/>
          <w:kern w:val="2"/>
          <w:sz w:val="28"/>
          <w:szCs w:val="28"/>
          <w:lang w:val="en-US" w:eastAsia="zh-CN" w:bidi="ar-SA"/>
        </w:rPr>
      </w:pPr>
      <w:r>
        <w:rPr>
          <w:rFonts w:hint="eastAsia" w:ascii="仿宋" w:hAnsi="仿宋" w:eastAsia="仿宋" w:cs="仿宋"/>
          <w:b/>
          <w:bCs/>
          <w:color w:val="000000"/>
          <w:kern w:val="2"/>
          <w:sz w:val="28"/>
          <w:szCs w:val="28"/>
          <w:lang w:val="en-US" w:eastAsia="zh-CN" w:bidi="ar-SA"/>
        </w:rPr>
        <w:t>（十五）</w:t>
      </w:r>
      <w:r>
        <w:rPr>
          <w:rFonts w:hint="eastAsia" w:cs="仿宋"/>
          <w:b/>
          <w:bCs/>
          <w:color w:val="000000"/>
          <w:kern w:val="2"/>
          <w:sz w:val="28"/>
          <w:szCs w:val="28"/>
          <w:lang w:val="en-US" w:eastAsia="zh-CN" w:bidi="ar-SA"/>
        </w:rPr>
        <w:t>运维行业发展的路线和核心竞争力</w:t>
      </w:r>
    </w:p>
    <w:p w14:paraId="6A0D4E6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1" w:firstLineChars="100"/>
        <w:textAlignment w:val="auto"/>
        <w:rPr>
          <w:rFonts w:hint="eastAsia" w:cs="仿宋"/>
          <w:b/>
          <w:bCs/>
          <w:color w:val="000000"/>
          <w:kern w:val="2"/>
          <w:sz w:val="28"/>
          <w:szCs w:val="28"/>
          <w:lang w:val="en-US" w:eastAsia="zh-CN" w:bidi="ar-SA"/>
        </w:rPr>
      </w:pPr>
      <w:r>
        <w:rPr>
          <w:rFonts w:hint="eastAsia" w:cs="仿宋"/>
          <w:b/>
          <w:bCs/>
          <w:color w:val="000000"/>
          <w:kern w:val="2"/>
          <w:sz w:val="28"/>
          <w:szCs w:val="28"/>
          <w:lang w:val="en-US" w:eastAsia="zh-CN" w:bidi="ar-SA"/>
        </w:rPr>
        <w:t>运维人员必备的新技术、新装备、新素养，提高运维技术的核心竞争力</w:t>
      </w:r>
    </w:p>
    <w:p w14:paraId="05A1E1F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1.</w:t>
      </w:r>
      <w:r>
        <w:rPr>
          <w:rFonts w:hint="default" w:cs="仿宋"/>
          <w:b w:val="0"/>
          <w:bCs w:val="0"/>
          <w:color w:val="000000"/>
          <w:kern w:val="2"/>
          <w:sz w:val="28"/>
          <w:szCs w:val="28"/>
          <w:lang w:val="en-US" w:eastAsia="zh-CN" w:bidi="ar-SA"/>
        </w:rPr>
        <w:t>光伏行业运维技术路线</w:t>
      </w:r>
    </w:p>
    <w:p w14:paraId="578192F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2.</w:t>
      </w:r>
      <w:r>
        <w:rPr>
          <w:rFonts w:hint="default" w:cs="仿宋"/>
          <w:b w:val="0"/>
          <w:bCs w:val="0"/>
          <w:color w:val="000000"/>
          <w:kern w:val="2"/>
          <w:sz w:val="28"/>
          <w:szCs w:val="28"/>
          <w:lang w:val="en-US" w:eastAsia="zh-CN" w:bidi="ar-SA"/>
        </w:rPr>
        <w:t>光伏行业技术改造路线</w:t>
      </w:r>
    </w:p>
    <w:p w14:paraId="4BB069C7">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3.</w:t>
      </w:r>
      <w:r>
        <w:rPr>
          <w:rFonts w:hint="default" w:cs="仿宋"/>
          <w:b w:val="0"/>
          <w:bCs w:val="0"/>
          <w:color w:val="000000"/>
          <w:kern w:val="2"/>
          <w:sz w:val="28"/>
          <w:szCs w:val="28"/>
          <w:lang w:val="en-US" w:eastAsia="zh-CN" w:bidi="ar-SA"/>
        </w:rPr>
        <w:t>光伏电站故障分析</w:t>
      </w:r>
    </w:p>
    <w:p w14:paraId="0CA2844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4.</w:t>
      </w:r>
      <w:r>
        <w:rPr>
          <w:rFonts w:hint="default" w:cs="仿宋"/>
          <w:b w:val="0"/>
          <w:bCs w:val="0"/>
          <w:color w:val="000000"/>
          <w:kern w:val="2"/>
          <w:sz w:val="28"/>
          <w:szCs w:val="28"/>
          <w:lang w:val="en-US" w:eastAsia="zh-CN" w:bidi="ar-SA"/>
        </w:rPr>
        <w:t>光伏电站提升发电量的新技术和运维新机制</w:t>
      </w:r>
    </w:p>
    <w:p w14:paraId="19461E8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5.</w:t>
      </w:r>
      <w:r>
        <w:rPr>
          <w:rFonts w:hint="default" w:cs="仿宋"/>
          <w:b w:val="0"/>
          <w:bCs w:val="0"/>
          <w:color w:val="000000"/>
          <w:kern w:val="2"/>
          <w:sz w:val="28"/>
          <w:szCs w:val="28"/>
          <w:lang w:val="en-US" w:eastAsia="zh-CN" w:bidi="ar-SA"/>
        </w:rPr>
        <w:t>DeepSeek在光伏运维技术中的应用——通过AI提供技术改造建议和故障分析支持</w:t>
      </w:r>
    </w:p>
    <w:p w14:paraId="0859A3E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6.</w:t>
      </w:r>
      <w:r>
        <w:rPr>
          <w:rFonts w:hint="default" w:cs="仿宋"/>
          <w:b w:val="0"/>
          <w:bCs w:val="0"/>
          <w:color w:val="000000"/>
          <w:kern w:val="2"/>
          <w:sz w:val="28"/>
          <w:szCs w:val="28"/>
          <w:lang w:val="en-US" w:eastAsia="zh-CN" w:bidi="ar-SA"/>
        </w:rPr>
        <w:t>风电场运维新工具</w:t>
      </w:r>
    </w:p>
    <w:p w14:paraId="26E98A5C">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7.</w:t>
      </w:r>
      <w:r>
        <w:rPr>
          <w:rFonts w:hint="default" w:cs="仿宋"/>
          <w:b w:val="0"/>
          <w:bCs w:val="0"/>
          <w:color w:val="000000"/>
          <w:kern w:val="2"/>
          <w:sz w:val="28"/>
          <w:szCs w:val="28"/>
          <w:lang w:val="en-US" w:eastAsia="zh-CN" w:bidi="ar-SA"/>
        </w:rPr>
        <w:t>风电场故障分析</w:t>
      </w:r>
    </w:p>
    <w:p w14:paraId="497E019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8.</w:t>
      </w:r>
      <w:r>
        <w:rPr>
          <w:rFonts w:hint="default" w:cs="仿宋"/>
          <w:b w:val="0"/>
          <w:bCs w:val="0"/>
          <w:color w:val="000000"/>
          <w:kern w:val="2"/>
          <w:sz w:val="28"/>
          <w:szCs w:val="28"/>
          <w:lang w:val="en-US" w:eastAsia="zh-CN" w:bidi="ar-SA"/>
        </w:rPr>
        <w:t>风电场技术改造</w:t>
      </w:r>
    </w:p>
    <w:p w14:paraId="2725608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9.</w:t>
      </w:r>
      <w:r>
        <w:rPr>
          <w:rFonts w:hint="default" w:cs="仿宋"/>
          <w:b w:val="0"/>
          <w:bCs w:val="0"/>
          <w:color w:val="000000"/>
          <w:kern w:val="2"/>
          <w:sz w:val="28"/>
          <w:szCs w:val="28"/>
          <w:lang w:val="en-US" w:eastAsia="zh-CN" w:bidi="ar-SA"/>
        </w:rPr>
        <w:t>风电场提升发电量的新技术和运维新机制</w:t>
      </w:r>
    </w:p>
    <w:p w14:paraId="63AFCAB6">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10.</w:t>
      </w:r>
      <w:r>
        <w:rPr>
          <w:rFonts w:hint="default" w:cs="仿宋"/>
          <w:b w:val="0"/>
          <w:bCs w:val="0"/>
          <w:color w:val="000000"/>
          <w:kern w:val="2"/>
          <w:sz w:val="28"/>
          <w:szCs w:val="28"/>
          <w:lang w:val="en-US" w:eastAsia="zh-CN" w:bidi="ar-SA"/>
        </w:rPr>
        <w:t>DeepSeek在风电运维技术中的应用——通过AI优化运维工具和技术改造方案</w:t>
      </w:r>
    </w:p>
    <w:p w14:paraId="4E8B2414">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11.</w:t>
      </w:r>
      <w:r>
        <w:rPr>
          <w:rFonts w:hint="default" w:cs="仿宋"/>
          <w:b w:val="0"/>
          <w:bCs w:val="0"/>
          <w:color w:val="000000"/>
          <w:kern w:val="2"/>
          <w:sz w:val="28"/>
          <w:szCs w:val="28"/>
          <w:lang w:val="en-US" w:eastAsia="zh-CN" w:bidi="ar-SA"/>
        </w:rPr>
        <w:t>运维人员具备的新技术</w:t>
      </w:r>
    </w:p>
    <w:p w14:paraId="16A415D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12.</w:t>
      </w:r>
      <w:r>
        <w:rPr>
          <w:rFonts w:hint="default" w:cs="仿宋"/>
          <w:b w:val="0"/>
          <w:bCs w:val="0"/>
          <w:color w:val="000000"/>
          <w:kern w:val="2"/>
          <w:sz w:val="28"/>
          <w:szCs w:val="28"/>
          <w:lang w:val="en-US" w:eastAsia="zh-CN" w:bidi="ar-SA"/>
        </w:rPr>
        <w:t>运维人员使用的新装备</w:t>
      </w:r>
    </w:p>
    <w:p w14:paraId="2F3F7F7D">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280" w:firstLineChars="10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13.</w:t>
      </w:r>
      <w:r>
        <w:rPr>
          <w:rFonts w:hint="default" w:cs="仿宋"/>
          <w:b w:val="0"/>
          <w:bCs w:val="0"/>
          <w:color w:val="000000"/>
          <w:kern w:val="2"/>
          <w:sz w:val="28"/>
          <w:szCs w:val="28"/>
          <w:lang w:val="en-US" w:eastAsia="zh-CN" w:bidi="ar-SA"/>
        </w:rPr>
        <w:t>运维人员安全教育和风险保护</w:t>
      </w:r>
    </w:p>
    <w:p w14:paraId="4C784441">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280" w:leftChars="100" w:firstLine="0" w:firstLineChars="0"/>
        <w:textAlignment w:val="auto"/>
        <w:rPr>
          <w:rFonts w:hint="default" w:cs="仿宋"/>
          <w:b w:val="0"/>
          <w:bCs w:val="0"/>
          <w:color w:val="000000"/>
          <w:kern w:val="2"/>
          <w:sz w:val="28"/>
          <w:szCs w:val="28"/>
          <w:lang w:val="en-US" w:eastAsia="zh-CN" w:bidi="ar-SA"/>
        </w:rPr>
      </w:pPr>
      <w:r>
        <w:rPr>
          <w:rFonts w:hint="eastAsia" w:cs="仿宋"/>
          <w:b w:val="0"/>
          <w:bCs w:val="0"/>
          <w:color w:val="000000"/>
          <w:kern w:val="2"/>
          <w:sz w:val="28"/>
          <w:szCs w:val="28"/>
          <w:lang w:val="en-US" w:eastAsia="zh-CN" w:bidi="ar-SA"/>
        </w:rPr>
        <w:t>14.</w:t>
      </w:r>
      <w:r>
        <w:rPr>
          <w:rFonts w:hint="default" w:cs="仿宋"/>
          <w:b w:val="0"/>
          <w:bCs w:val="0"/>
          <w:color w:val="000000"/>
          <w:kern w:val="2"/>
          <w:sz w:val="28"/>
          <w:szCs w:val="28"/>
          <w:lang w:val="en-US" w:eastAsia="zh-CN" w:bidi="ar-SA"/>
        </w:rPr>
        <w:t>DeepSeek在运维人员培训中的应用——通过AI生成个性化培训内容和风险评估报告</w:t>
      </w:r>
    </w:p>
    <w:p w14:paraId="30365393">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仿宋" w:hAnsi="仿宋" w:eastAsia="仿宋" w:cs="仿宋"/>
          <w:b/>
          <w:bCs/>
          <w:sz w:val="28"/>
          <w:szCs w:val="28"/>
          <w:lang w:val="en-US" w:eastAsia="zh-CN"/>
        </w:rPr>
      </w:pPr>
      <w:r>
        <w:rPr>
          <w:rFonts w:hint="eastAsia" w:cs="仿宋"/>
          <w:b/>
          <w:bCs/>
          <w:sz w:val="28"/>
          <w:szCs w:val="28"/>
          <w:lang w:val="en-US" w:eastAsia="zh-CN"/>
        </w:rPr>
        <w:t>二、</w:t>
      </w:r>
      <w:r>
        <w:rPr>
          <w:rFonts w:hint="eastAsia" w:ascii="仿宋" w:hAnsi="仿宋" w:eastAsia="仿宋" w:cs="仿宋"/>
          <w:b/>
          <w:bCs/>
          <w:sz w:val="28"/>
          <w:szCs w:val="28"/>
          <w:lang w:val="en-US" w:eastAsia="zh-CN"/>
        </w:rPr>
        <w:t>培训师资介绍：</w:t>
      </w:r>
    </w:p>
    <w:p w14:paraId="4A1B3F72">
      <w:pPr>
        <w:pStyle w:val="9"/>
        <w:keepNext w:val="0"/>
        <w:keepLines w:val="0"/>
        <w:pageBreakBefore w:val="0"/>
        <w:widowControl w:val="0"/>
        <w:kinsoku/>
        <w:wordWrap/>
        <w:overflowPunct/>
        <w:topLinePunct w:val="0"/>
        <w:autoSpaceDE/>
        <w:autoSpaceDN/>
        <w:bidi w:val="0"/>
        <w:adjustRightInd/>
        <w:snapToGrid/>
        <w:spacing w:line="400" w:lineRule="exact"/>
        <w:ind w:left="176"/>
        <w:textAlignment w:val="auto"/>
        <w:rPr>
          <w:rFonts w:hint="default"/>
          <w:lang w:val="en-US" w:eastAsia="zh-CN"/>
        </w:rPr>
      </w:pPr>
      <w:r>
        <w:rPr>
          <w:rFonts w:hint="eastAsia" w:ascii="仿宋" w:hAnsi="仿宋" w:eastAsia="仿宋" w:cs="仿宋"/>
          <w:b/>
          <w:bCs/>
          <w:kern w:val="2"/>
          <w:sz w:val="28"/>
          <w:szCs w:val="28"/>
          <w:lang w:val="en-US" w:eastAsia="zh-CN" w:bidi="ar-SA"/>
        </w:rPr>
        <w:t>赵红卫：</w:t>
      </w:r>
      <w:r>
        <w:rPr>
          <w:rFonts w:hint="eastAsia" w:hAnsi="仿宋" w:cs="仿宋"/>
          <w:color w:val="000000"/>
          <w:kern w:val="2"/>
          <w:sz w:val="28"/>
          <w:szCs w:val="28"/>
          <w:lang w:val="en-US" w:eastAsia="zh-CN" w:bidi="ar-SA"/>
        </w:rPr>
        <w:t>基建投融资和政府投资项目管理专家、国家电网公司十大专业领军人才、浙江大学客座教授、同济大学客座教授、世界金融控股集团有限公司投行副总经理</w:t>
      </w:r>
      <w:r>
        <w:rPr>
          <w:rFonts w:hint="eastAsia" w:ascii="仿宋" w:hAnsi="仿宋" w:eastAsia="仿宋" w:cs="仿宋"/>
          <w:color w:val="000000"/>
          <w:kern w:val="2"/>
          <w:sz w:val="28"/>
          <w:szCs w:val="28"/>
          <w:lang w:val="en-US" w:eastAsia="zh-CN" w:bidi="ar-SA"/>
        </w:rPr>
        <w:t>。</w:t>
      </w:r>
      <w:r>
        <w:rPr>
          <w:rFonts w:hint="eastAsia" w:hAnsi="仿宋" w:cs="仿宋"/>
          <w:color w:val="000000"/>
          <w:kern w:val="2"/>
          <w:sz w:val="28"/>
          <w:szCs w:val="28"/>
          <w:lang w:val="en-US" w:eastAsia="zh-CN" w:bidi="ar-SA"/>
        </w:rPr>
        <w:t>曾任华东电网高级工程师和副总经济师、上海4家知名建工及房地产集团副总裁及总裁、上海正道国际商学院执行院长、中国工程管理科学研究院理事、国内多家知名企业战略投资顾问、江苏某政府平台城投公司副总经理、国家电网评标专家。复旦大学MBA财务管理方向硕士研究生、中国计量学院本科热控计量专业。</w:t>
      </w:r>
    </w:p>
    <w:p w14:paraId="371764D8">
      <w:pPr>
        <w:pStyle w:val="9"/>
        <w:keepNext w:val="0"/>
        <w:keepLines w:val="0"/>
        <w:pageBreakBefore w:val="0"/>
        <w:widowControl w:val="0"/>
        <w:kinsoku/>
        <w:wordWrap/>
        <w:overflowPunct/>
        <w:topLinePunct w:val="0"/>
        <w:autoSpaceDE/>
        <w:autoSpaceDN/>
        <w:bidi w:val="0"/>
        <w:adjustRightInd/>
        <w:snapToGrid/>
        <w:spacing w:line="400" w:lineRule="exact"/>
        <w:ind w:left="176" w:firstLine="56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zh-CN" w:eastAsia="zh-CN" w:bidi="ar-SA"/>
        </w:rPr>
        <w:t>张存彪：</w:t>
      </w:r>
      <w:r>
        <w:rPr>
          <w:rFonts w:hint="eastAsia" w:ascii="仿宋" w:hAnsi="仿宋" w:eastAsia="仿宋" w:cs="仿宋"/>
          <w:b w:val="0"/>
          <w:bCs/>
          <w:sz w:val="28"/>
          <w:szCs w:val="28"/>
          <w:highlight w:val="none"/>
          <w:lang w:val="zh-CN"/>
        </w:rPr>
        <w:t>工业和信息化部教育与考试中心专家库专家、曾任中国太阳能产业研究会副理事长、中国新能源产业协会理事、中国航天科工集团湖南航天天麓新材料检测公司新能源分公司总经理。出版《光伏电池制备工艺 》《光伏产品工艺》《太阳能光伏理化基础》《太阳能光伏技术概论》《光伏发电系统集成与设计》《光伏电站建设与施工》《硅片加工工艺》等新能源行业著作。在光伏行业培训500多场次，为新能源行业培养了5万多名行业技术人才。</w:t>
      </w:r>
    </w:p>
    <w:p w14:paraId="0F7AC084">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培训对象</w:t>
      </w:r>
    </w:p>
    <w:p w14:paraId="1CAD5835">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theme="minorBidi"/>
          <w:kern w:val="2"/>
          <w:sz w:val="28"/>
          <w:szCs w:val="32"/>
          <w:highlight w:val="none"/>
          <w:lang w:val="en-US" w:eastAsia="zh-CN" w:bidi="ar-SA"/>
        </w:rPr>
      </w:pPr>
      <w:r>
        <w:rPr>
          <w:rFonts w:hint="eastAsia" w:ascii="仿宋" w:hAnsi="仿宋" w:eastAsia="仿宋" w:cstheme="minorBidi"/>
          <w:kern w:val="2"/>
          <w:sz w:val="28"/>
          <w:szCs w:val="32"/>
          <w:highlight w:val="none"/>
          <w:lang w:val="en-US" w:eastAsia="zh-CN" w:bidi="ar-SA"/>
        </w:rPr>
        <w:t>1.</w:t>
      </w:r>
      <w:r>
        <w:rPr>
          <w:rFonts w:hint="eastAsia" w:ascii="仿宋" w:hAnsi="仿宋" w:eastAsia="仿宋" w:cstheme="minorBidi"/>
          <w:kern w:val="2"/>
          <w:sz w:val="28"/>
          <w:szCs w:val="32"/>
          <w:highlight w:val="none"/>
          <w:lang w:val="zh-CN" w:eastAsia="zh-CN" w:bidi="ar-SA"/>
        </w:rPr>
        <w:t>各地发改、能源、工信、</w:t>
      </w:r>
      <w:r>
        <w:rPr>
          <w:rFonts w:hint="eastAsia" w:ascii="仿宋" w:hAnsi="仿宋" w:eastAsia="仿宋" w:cstheme="minorBidi"/>
          <w:kern w:val="2"/>
          <w:sz w:val="28"/>
          <w:szCs w:val="32"/>
          <w:highlight w:val="none"/>
          <w:lang w:val="en-US" w:eastAsia="zh-CN" w:bidi="ar-SA"/>
        </w:rPr>
        <w:t>自然资源、交通</w:t>
      </w:r>
      <w:r>
        <w:rPr>
          <w:rFonts w:hint="eastAsia" w:ascii="仿宋" w:hAnsi="仿宋" w:eastAsia="仿宋" w:cstheme="minorBidi"/>
          <w:kern w:val="2"/>
          <w:sz w:val="28"/>
          <w:szCs w:val="32"/>
          <w:highlight w:val="none"/>
          <w:lang w:val="zh-CN" w:eastAsia="zh-CN" w:bidi="ar-SA"/>
        </w:rPr>
        <w:t>等相关政府部门</w:t>
      </w:r>
      <w:r>
        <w:rPr>
          <w:rFonts w:hint="eastAsia" w:ascii="仿宋" w:hAnsi="仿宋" w:eastAsia="仿宋" w:cstheme="minorBidi"/>
          <w:kern w:val="2"/>
          <w:sz w:val="28"/>
          <w:szCs w:val="32"/>
          <w:highlight w:val="none"/>
          <w:lang w:val="en-US" w:eastAsia="zh-CN" w:bidi="ar-SA"/>
        </w:rPr>
        <w:t>管理人员；</w:t>
      </w:r>
    </w:p>
    <w:p w14:paraId="29260833">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theme="minorBidi"/>
          <w:kern w:val="2"/>
          <w:sz w:val="28"/>
          <w:szCs w:val="32"/>
          <w:highlight w:val="none"/>
          <w:lang w:val="zh-CN" w:eastAsia="zh-CN" w:bidi="ar-SA"/>
        </w:rPr>
      </w:pPr>
      <w:r>
        <w:rPr>
          <w:rFonts w:hint="eastAsia" w:ascii="仿宋" w:hAnsi="仿宋" w:eastAsia="仿宋" w:cstheme="minorBidi"/>
          <w:kern w:val="2"/>
          <w:sz w:val="28"/>
          <w:szCs w:val="32"/>
          <w:highlight w:val="none"/>
          <w:lang w:val="en-US" w:eastAsia="zh-CN" w:bidi="ar-SA"/>
        </w:rPr>
        <w:t>2.各地电力、发电、电网、能源、平台公司等</w:t>
      </w:r>
      <w:r>
        <w:rPr>
          <w:rFonts w:hint="eastAsia" w:ascii="仿宋" w:hAnsi="仿宋" w:eastAsia="仿宋" w:cstheme="minorBidi"/>
          <w:kern w:val="2"/>
          <w:sz w:val="28"/>
          <w:szCs w:val="32"/>
          <w:highlight w:val="none"/>
          <w:lang w:val="zh-CN" w:eastAsia="zh-CN" w:bidi="ar-SA"/>
        </w:rPr>
        <w:t>业主单位从事新能源项目</w:t>
      </w:r>
      <w:r>
        <w:rPr>
          <w:rFonts w:hint="eastAsia" w:cstheme="minorBidi"/>
          <w:kern w:val="2"/>
          <w:sz w:val="28"/>
          <w:szCs w:val="32"/>
          <w:highlight w:val="none"/>
          <w:lang w:val="en-US" w:eastAsia="zh-CN" w:bidi="ar-SA"/>
        </w:rPr>
        <w:t>投资</w:t>
      </w:r>
      <w:r>
        <w:rPr>
          <w:rFonts w:hint="eastAsia" w:ascii="仿宋" w:hAnsi="仿宋" w:eastAsia="仿宋" w:cstheme="minorBidi"/>
          <w:kern w:val="2"/>
          <w:sz w:val="28"/>
          <w:szCs w:val="32"/>
          <w:highlight w:val="none"/>
          <w:lang w:val="zh-CN" w:eastAsia="zh-CN" w:bidi="ar-SA"/>
        </w:rPr>
        <w:t>管理、工程项目建设</w:t>
      </w:r>
      <w:r>
        <w:rPr>
          <w:rFonts w:hint="eastAsia" w:cstheme="minorBidi"/>
          <w:kern w:val="2"/>
          <w:sz w:val="28"/>
          <w:szCs w:val="32"/>
          <w:highlight w:val="none"/>
          <w:lang w:val="en-US" w:eastAsia="zh-CN" w:bidi="ar-SA"/>
        </w:rPr>
        <w:t>实施</w:t>
      </w:r>
      <w:r>
        <w:rPr>
          <w:rFonts w:hint="eastAsia" w:ascii="仿宋" w:hAnsi="仿宋" w:eastAsia="仿宋" w:cstheme="minorBidi"/>
          <w:kern w:val="2"/>
          <w:sz w:val="28"/>
          <w:szCs w:val="32"/>
          <w:highlight w:val="none"/>
          <w:lang w:val="zh-CN" w:eastAsia="zh-CN" w:bidi="ar-SA"/>
        </w:rPr>
        <w:t>等相关部门人员；</w:t>
      </w:r>
    </w:p>
    <w:p w14:paraId="6DCC6BB9">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eastAsia" w:cstheme="minorBidi"/>
          <w:kern w:val="2"/>
          <w:sz w:val="28"/>
          <w:szCs w:val="32"/>
          <w:highlight w:val="none"/>
          <w:lang w:val="en-US" w:eastAsia="zh-CN" w:bidi="ar-SA"/>
        </w:rPr>
      </w:pPr>
      <w:r>
        <w:rPr>
          <w:rFonts w:hint="eastAsia" w:ascii="仿宋" w:hAnsi="仿宋" w:eastAsia="仿宋" w:cstheme="minorBidi"/>
          <w:kern w:val="2"/>
          <w:sz w:val="28"/>
          <w:szCs w:val="32"/>
          <w:highlight w:val="none"/>
          <w:lang w:val="en-US" w:eastAsia="zh-CN" w:bidi="ar-SA"/>
        </w:rPr>
        <w:t>3</w:t>
      </w:r>
      <w:r>
        <w:rPr>
          <w:rFonts w:hint="eastAsia" w:cstheme="minorBidi"/>
          <w:kern w:val="2"/>
          <w:sz w:val="28"/>
          <w:szCs w:val="32"/>
          <w:highlight w:val="none"/>
          <w:lang w:val="en-US" w:eastAsia="zh-CN" w:bidi="ar-SA"/>
        </w:rPr>
        <w:t>.</w:t>
      </w:r>
      <w:r>
        <w:rPr>
          <w:rFonts w:hint="eastAsia" w:ascii="仿宋" w:hAnsi="仿宋" w:eastAsia="仿宋" w:cstheme="minorBidi"/>
          <w:kern w:val="2"/>
          <w:sz w:val="28"/>
          <w:szCs w:val="32"/>
          <w:highlight w:val="none"/>
          <w:lang w:val="en-US" w:eastAsia="zh-CN" w:bidi="ar-SA"/>
        </w:rPr>
        <w:t>各大央企及各区域指挥部、相关单位从事</w:t>
      </w:r>
      <w:r>
        <w:rPr>
          <w:rFonts w:hint="eastAsia" w:cstheme="minorBidi"/>
          <w:kern w:val="2"/>
          <w:sz w:val="28"/>
          <w:szCs w:val="32"/>
          <w:highlight w:val="none"/>
          <w:lang w:val="en-US" w:eastAsia="zh-CN" w:bidi="ar-SA"/>
        </w:rPr>
        <w:t>新能源</w:t>
      </w:r>
      <w:r>
        <w:rPr>
          <w:rFonts w:hint="eastAsia" w:ascii="仿宋" w:hAnsi="仿宋" w:eastAsia="仿宋" w:cstheme="minorBidi"/>
          <w:kern w:val="2"/>
          <w:sz w:val="28"/>
          <w:szCs w:val="32"/>
          <w:highlight w:val="none"/>
          <w:lang w:val="en-US" w:eastAsia="zh-CN" w:bidi="ar-SA"/>
        </w:rPr>
        <w:t>市场开发、</w:t>
      </w:r>
      <w:r>
        <w:rPr>
          <w:rFonts w:hint="eastAsia" w:cstheme="minorBidi"/>
          <w:kern w:val="2"/>
          <w:sz w:val="28"/>
          <w:szCs w:val="32"/>
          <w:highlight w:val="none"/>
          <w:lang w:val="en-US" w:eastAsia="zh-CN" w:bidi="ar-SA"/>
        </w:rPr>
        <w:t>经营、</w:t>
      </w:r>
      <w:r>
        <w:rPr>
          <w:rFonts w:hint="eastAsia" w:ascii="仿宋" w:hAnsi="仿宋" w:eastAsia="仿宋" w:cstheme="minorBidi"/>
          <w:kern w:val="2"/>
          <w:sz w:val="28"/>
          <w:szCs w:val="32"/>
          <w:highlight w:val="none"/>
          <w:lang w:val="en-US" w:eastAsia="zh-CN" w:bidi="ar-SA"/>
        </w:rPr>
        <w:t>投融资、法务合约、新能源相关业务负责人和</w:t>
      </w:r>
      <w:r>
        <w:rPr>
          <w:rFonts w:hint="eastAsia" w:cstheme="minorBidi"/>
          <w:kern w:val="2"/>
          <w:sz w:val="28"/>
          <w:szCs w:val="32"/>
          <w:highlight w:val="none"/>
          <w:lang w:val="en-US" w:eastAsia="zh-CN" w:bidi="ar-SA"/>
        </w:rPr>
        <w:t>工程项目施工</w:t>
      </w:r>
      <w:r>
        <w:rPr>
          <w:rFonts w:hint="eastAsia" w:ascii="仿宋" w:hAnsi="仿宋" w:eastAsia="仿宋" w:cstheme="minorBidi"/>
          <w:kern w:val="2"/>
          <w:sz w:val="28"/>
          <w:szCs w:val="32"/>
          <w:highlight w:val="none"/>
          <w:lang w:val="en-US" w:eastAsia="zh-CN" w:bidi="ar-SA"/>
        </w:rPr>
        <w:t>骨干员工</w:t>
      </w:r>
      <w:r>
        <w:rPr>
          <w:rFonts w:hint="eastAsia" w:cstheme="minorBidi"/>
          <w:kern w:val="2"/>
          <w:sz w:val="28"/>
          <w:szCs w:val="32"/>
          <w:highlight w:val="none"/>
          <w:lang w:val="en-US" w:eastAsia="zh-CN" w:bidi="ar-SA"/>
        </w:rPr>
        <w:t>；</w:t>
      </w:r>
    </w:p>
    <w:p w14:paraId="56C31772">
      <w:pPr>
        <w:keepNext w:val="0"/>
        <w:keepLines w:val="0"/>
        <w:pageBreakBefore w:val="0"/>
        <w:kinsoku/>
        <w:wordWrap/>
        <w:overflowPunct/>
        <w:topLinePunct w:val="0"/>
        <w:autoSpaceDE/>
        <w:autoSpaceDN/>
        <w:bidi w:val="0"/>
        <w:adjustRightInd/>
        <w:snapToGrid/>
        <w:spacing w:line="400" w:lineRule="exact"/>
        <w:ind w:firstLine="560" w:firstLineChars="200"/>
        <w:jc w:val="both"/>
        <w:textAlignment w:val="auto"/>
        <w:rPr>
          <w:rFonts w:hint="default" w:cstheme="minorBidi"/>
          <w:kern w:val="2"/>
          <w:sz w:val="28"/>
          <w:szCs w:val="32"/>
          <w:highlight w:val="none"/>
          <w:lang w:val="en-US" w:eastAsia="zh-CN" w:bidi="ar-SA"/>
        </w:rPr>
      </w:pPr>
      <w:r>
        <w:rPr>
          <w:rFonts w:hint="eastAsia" w:cstheme="minorBidi"/>
          <w:kern w:val="2"/>
          <w:sz w:val="28"/>
          <w:szCs w:val="32"/>
          <w:highlight w:val="none"/>
          <w:lang w:val="en-US" w:eastAsia="zh-CN" w:bidi="ar-SA"/>
        </w:rPr>
        <w:t>4.咨询、监理、资源方等单位相关人员。</w:t>
      </w:r>
    </w:p>
    <w:p w14:paraId="4CDBC289">
      <w:pPr>
        <w:keepNext w:val="0"/>
        <w:keepLines w:val="0"/>
        <w:pageBreakBefore w:val="0"/>
        <w:widowControl w:val="0"/>
        <w:kinsoku/>
        <w:wordWrap/>
        <w:overflowPunct/>
        <w:topLinePunct w:val="0"/>
        <w:autoSpaceDE/>
        <w:autoSpaceDN/>
        <w:bidi w:val="0"/>
        <w:adjustRightInd/>
        <w:snapToGrid w:val="0"/>
        <w:spacing w:line="400" w:lineRule="exact"/>
        <w:ind w:left="0"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四、时间及地点</w:t>
      </w:r>
    </w:p>
    <w:p w14:paraId="650CA55C">
      <w:pPr>
        <w:pStyle w:val="9"/>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default"/>
          <w:sz w:val="28"/>
          <w:szCs w:val="28"/>
          <w:lang w:val="en-US" w:eastAsia="zh-CN"/>
        </w:rPr>
      </w:pPr>
      <w:r>
        <w:rPr>
          <w:rFonts w:hint="eastAsia" w:ascii="仿宋" w:hAnsi="仿宋" w:eastAsia="仿宋" w:cs="仿宋"/>
          <w:sz w:val="28"/>
          <w:szCs w:val="28"/>
          <w:lang w:val="zh-CN" w:eastAsia="zh-CN"/>
        </w:rPr>
        <w:t>202</w:t>
      </w:r>
      <w:r>
        <w:rPr>
          <w:rFonts w:hint="eastAsia" w:hAnsi="仿宋" w:cs="仿宋"/>
          <w:sz w:val="28"/>
          <w:szCs w:val="28"/>
          <w:lang w:val="en-US" w:eastAsia="zh-CN"/>
        </w:rPr>
        <w:t>5</w:t>
      </w:r>
      <w:r>
        <w:rPr>
          <w:rFonts w:hint="eastAsia" w:ascii="仿宋" w:hAnsi="仿宋" w:eastAsia="仿宋" w:cs="仿宋"/>
          <w:sz w:val="28"/>
          <w:szCs w:val="28"/>
          <w:lang w:val="zh-CN" w:eastAsia="zh-CN"/>
        </w:rPr>
        <w:t>年</w:t>
      </w:r>
      <w:r>
        <w:rPr>
          <w:rFonts w:hint="eastAsia" w:hAnsi="仿宋" w:cs="仿宋"/>
          <w:sz w:val="28"/>
          <w:szCs w:val="28"/>
          <w:lang w:val="en-US" w:eastAsia="zh-CN"/>
        </w:rPr>
        <w:t>04</w:t>
      </w:r>
      <w:r>
        <w:rPr>
          <w:rFonts w:hint="eastAsia" w:ascii="仿宋" w:hAnsi="仿宋" w:eastAsia="仿宋" w:cs="仿宋"/>
          <w:sz w:val="28"/>
          <w:szCs w:val="28"/>
          <w:lang w:val="zh-CN" w:eastAsia="zh-CN"/>
        </w:rPr>
        <w:t>月</w:t>
      </w:r>
      <w:r>
        <w:rPr>
          <w:rFonts w:hint="eastAsia" w:hAnsi="仿宋" w:cs="仿宋"/>
          <w:sz w:val="28"/>
          <w:szCs w:val="28"/>
          <w:lang w:val="en-US" w:eastAsia="zh-CN"/>
        </w:rPr>
        <w:t>10</w:t>
      </w:r>
      <w:r>
        <w:rPr>
          <w:rFonts w:hint="eastAsia" w:ascii="仿宋" w:hAnsi="仿宋" w:eastAsia="仿宋" w:cs="仿宋"/>
          <w:sz w:val="28"/>
          <w:szCs w:val="28"/>
          <w:lang w:val="en-US" w:eastAsia="zh-CN"/>
        </w:rPr>
        <w:t>日-</w:t>
      </w:r>
      <w:r>
        <w:rPr>
          <w:rFonts w:hint="eastAsia" w:hAnsi="仿宋" w:cs="仿宋"/>
          <w:sz w:val="28"/>
          <w:szCs w:val="28"/>
          <w:lang w:val="en-US" w:eastAsia="zh-CN"/>
        </w:rPr>
        <w:t>13</w:t>
      </w:r>
      <w:r>
        <w:rPr>
          <w:rFonts w:hint="eastAsia" w:ascii="仿宋" w:hAnsi="仿宋" w:eastAsia="仿宋" w:cs="仿宋"/>
          <w:sz w:val="28"/>
          <w:szCs w:val="28"/>
          <w:lang w:val="zh-CN" w:eastAsia="zh-CN"/>
        </w:rPr>
        <w:t>日（</w:t>
      </w:r>
      <w:r>
        <w:rPr>
          <w:rFonts w:hint="eastAsia" w:cs="仿宋"/>
          <w:sz w:val="28"/>
          <w:szCs w:val="28"/>
          <w:lang w:val="en-US" w:eastAsia="zh-CN"/>
        </w:rPr>
        <w:t>10</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hAnsi="仿宋" w:cs="仿宋"/>
          <w:sz w:val="28"/>
          <w:szCs w:val="28"/>
          <w:lang w:val="en-US" w:eastAsia="zh-CN"/>
        </w:rPr>
        <w:t>重庆市</w:t>
      </w:r>
    </w:p>
    <w:p w14:paraId="0E309BC6">
      <w:pPr>
        <w:pStyle w:val="9"/>
        <w:keepNext w:val="0"/>
        <w:keepLines w:val="0"/>
        <w:pageBreakBefore w:val="0"/>
        <w:kinsoku/>
        <w:wordWrap/>
        <w:overflowPunct/>
        <w:topLinePunct w:val="0"/>
        <w:autoSpaceDE/>
        <w:autoSpaceDN/>
        <w:bidi w:val="0"/>
        <w:adjustRightInd/>
        <w:snapToGrid/>
        <w:spacing w:line="400" w:lineRule="exact"/>
        <w:ind w:left="0" w:leftChars="0" w:firstLine="560" w:firstLineChars="200"/>
        <w:textAlignment w:val="auto"/>
        <w:rPr>
          <w:rFonts w:hint="default"/>
          <w:sz w:val="28"/>
          <w:szCs w:val="28"/>
          <w:lang w:val="en-US" w:eastAsia="zh-CN"/>
        </w:rPr>
      </w:pPr>
      <w:r>
        <w:rPr>
          <w:rFonts w:hint="eastAsia" w:ascii="仿宋" w:hAnsi="仿宋" w:eastAsia="仿宋" w:cs="仿宋"/>
          <w:sz w:val="28"/>
          <w:szCs w:val="28"/>
          <w:lang w:val="zh-CN" w:eastAsia="zh-CN"/>
        </w:rPr>
        <w:t>202</w:t>
      </w:r>
      <w:r>
        <w:rPr>
          <w:rFonts w:hint="eastAsia" w:hAnsi="仿宋" w:cs="仿宋"/>
          <w:sz w:val="28"/>
          <w:szCs w:val="28"/>
          <w:lang w:val="en-US" w:eastAsia="zh-CN"/>
        </w:rPr>
        <w:t>5</w:t>
      </w:r>
      <w:r>
        <w:rPr>
          <w:rFonts w:hint="eastAsia" w:ascii="仿宋" w:hAnsi="仿宋" w:eastAsia="仿宋" w:cs="仿宋"/>
          <w:sz w:val="28"/>
          <w:szCs w:val="28"/>
          <w:lang w:val="zh-CN" w:eastAsia="zh-CN"/>
        </w:rPr>
        <w:t>年</w:t>
      </w:r>
      <w:r>
        <w:rPr>
          <w:rFonts w:hint="eastAsia" w:hAnsi="仿宋" w:cs="仿宋"/>
          <w:sz w:val="28"/>
          <w:szCs w:val="28"/>
          <w:lang w:val="en-US" w:eastAsia="zh-CN"/>
        </w:rPr>
        <w:t>04</w:t>
      </w:r>
      <w:r>
        <w:rPr>
          <w:rFonts w:hint="eastAsia" w:ascii="仿宋" w:hAnsi="仿宋" w:eastAsia="仿宋" w:cs="仿宋"/>
          <w:sz w:val="28"/>
          <w:szCs w:val="28"/>
          <w:lang w:val="zh-CN" w:eastAsia="zh-CN"/>
        </w:rPr>
        <w:t>月</w:t>
      </w:r>
      <w:r>
        <w:rPr>
          <w:rFonts w:hint="eastAsia" w:hAnsi="仿宋" w:cs="仿宋"/>
          <w:sz w:val="28"/>
          <w:szCs w:val="28"/>
          <w:lang w:val="en-US" w:eastAsia="zh-CN"/>
        </w:rPr>
        <w:t>24</w:t>
      </w:r>
      <w:r>
        <w:rPr>
          <w:rFonts w:hint="eastAsia" w:ascii="仿宋" w:hAnsi="仿宋" w:eastAsia="仿宋" w:cs="仿宋"/>
          <w:sz w:val="28"/>
          <w:szCs w:val="28"/>
          <w:lang w:val="en-US" w:eastAsia="zh-CN"/>
        </w:rPr>
        <w:t>日-</w:t>
      </w:r>
      <w:r>
        <w:rPr>
          <w:rFonts w:hint="eastAsia" w:hAnsi="仿宋" w:cs="仿宋"/>
          <w:sz w:val="28"/>
          <w:szCs w:val="28"/>
          <w:lang w:val="en-US" w:eastAsia="zh-CN"/>
        </w:rPr>
        <w:t>27</w:t>
      </w:r>
      <w:r>
        <w:rPr>
          <w:rFonts w:hint="eastAsia" w:ascii="仿宋" w:hAnsi="仿宋" w:eastAsia="仿宋" w:cs="仿宋"/>
          <w:sz w:val="28"/>
          <w:szCs w:val="28"/>
          <w:lang w:val="zh-CN" w:eastAsia="zh-CN"/>
        </w:rPr>
        <w:t>日（</w:t>
      </w:r>
      <w:r>
        <w:rPr>
          <w:rFonts w:hint="eastAsia" w:hAnsi="仿宋" w:cs="仿宋"/>
          <w:sz w:val="28"/>
          <w:szCs w:val="28"/>
          <w:lang w:val="en-US" w:eastAsia="zh-CN"/>
        </w:rPr>
        <w:t>24</w:t>
      </w:r>
      <w:r>
        <w:rPr>
          <w:rFonts w:hint="eastAsia" w:ascii="仿宋" w:hAnsi="仿宋" w:eastAsia="仿宋" w:cs="仿宋"/>
          <w:sz w:val="28"/>
          <w:szCs w:val="28"/>
          <w:lang w:val="en-US" w:eastAsia="zh-CN"/>
        </w:rPr>
        <w:t>日为报到日</w:t>
      </w:r>
      <w:r>
        <w:rPr>
          <w:rFonts w:hint="eastAsia" w:ascii="仿宋" w:hAnsi="仿宋" w:eastAsia="仿宋" w:cs="仿宋"/>
          <w:sz w:val="28"/>
          <w:szCs w:val="28"/>
          <w:lang w:val="zh-CN" w:eastAsia="zh-CN"/>
        </w:rPr>
        <w:t>）</w:t>
      </w:r>
      <w:r>
        <w:rPr>
          <w:rFonts w:hint="eastAsia" w:hAnsi="仿宋" w:cs="仿宋"/>
          <w:sz w:val="28"/>
          <w:szCs w:val="28"/>
          <w:lang w:val="en-US" w:eastAsia="zh-CN"/>
        </w:rPr>
        <w:t>济南市</w:t>
      </w:r>
    </w:p>
    <w:p w14:paraId="66661812">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textAlignment w:val="auto"/>
        <w:rPr>
          <w:rFonts w:hint="eastAsia" w:ascii="仿宋" w:hAnsi="仿宋" w:eastAsia="仿宋" w:cs="仿宋"/>
          <w:bCs/>
          <w:color w:val="auto"/>
          <w:kern w:val="2"/>
          <w:sz w:val="28"/>
          <w:szCs w:val="28"/>
          <w:lang w:val="en-US" w:eastAsia="zh-CN" w:bidi="ar-SA"/>
        </w:rPr>
      </w:pPr>
      <w:r>
        <w:rPr>
          <w:rFonts w:hint="eastAsia" w:cs="仿宋"/>
          <w:b/>
          <w:bCs w:val="0"/>
          <w:color w:val="auto"/>
          <w:kern w:val="2"/>
          <w:sz w:val="28"/>
          <w:szCs w:val="28"/>
          <w:lang w:val="en-US" w:eastAsia="zh-CN" w:bidi="ar-SA"/>
        </w:rPr>
        <w:t>五、</w:t>
      </w:r>
      <w:r>
        <w:rPr>
          <w:rFonts w:hint="eastAsia" w:ascii="仿宋" w:hAnsi="仿宋" w:eastAsia="仿宋" w:cs="仿宋"/>
          <w:b/>
          <w:bCs w:val="0"/>
          <w:color w:val="auto"/>
          <w:kern w:val="2"/>
          <w:sz w:val="28"/>
          <w:szCs w:val="28"/>
          <w:lang w:val="en-US" w:eastAsia="zh-CN" w:bidi="ar-SA"/>
        </w:rPr>
        <w:t>培训费用</w:t>
      </w:r>
      <w:r>
        <w:rPr>
          <w:rFonts w:hint="eastAsia" w:ascii="仿宋" w:hAnsi="仿宋" w:eastAsia="仿宋" w:cs="仿宋"/>
          <w:bCs/>
          <w:color w:val="auto"/>
          <w:kern w:val="2"/>
          <w:sz w:val="28"/>
          <w:szCs w:val="28"/>
          <w:lang w:val="en-US" w:eastAsia="zh-CN" w:bidi="ar-SA"/>
        </w:rPr>
        <w:tab/>
      </w:r>
    </w:p>
    <w:p w14:paraId="5C61878B">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培训费：3800元/人（费用含会务费、资料费、午餐费）</w:t>
      </w:r>
    </w:p>
    <w:p w14:paraId="1602736C">
      <w:pPr>
        <w:pStyle w:val="9"/>
        <w:keepNext w:val="0"/>
        <w:keepLines w:val="0"/>
        <w:pageBreakBefore w:val="0"/>
        <w:widowControl w:val="0"/>
        <w:numPr>
          <w:ilvl w:val="0"/>
          <w:numId w:val="0"/>
        </w:numPr>
        <w:kinsoku/>
        <w:wordWrap/>
        <w:overflowPunct/>
        <w:topLinePunct w:val="0"/>
        <w:autoSpaceDE/>
        <w:autoSpaceDN/>
        <w:bidi w:val="0"/>
        <w:adjustRightInd/>
        <w:spacing w:line="400" w:lineRule="exact"/>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培训期满：</w:t>
      </w:r>
      <w:r>
        <w:rPr>
          <w:rFonts w:hint="eastAsia" w:cs="仿宋"/>
          <w:bCs/>
          <w:color w:val="auto"/>
          <w:kern w:val="2"/>
          <w:sz w:val="28"/>
          <w:szCs w:val="28"/>
          <w:lang w:val="en-US" w:eastAsia="zh-CN" w:bidi="ar-SA"/>
        </w:rPr>
        <w:t>由</w:t>
      </w:r>
      <w:r>
        <w:rPr>
          <w:rFonts w:hint="eastAsia" w:ascii="仿宋" w:hAnsi="仿宋" w:eastAsia="仿宋" w:cs="仿宋"/>
          <w:bCs/>
          <w:color w:val="auto"/>
          <w:kern w:val="2"/>
          <w:sz w:val="28"/>
          <w:szCs w:val="28"/>
          <w:lang w:val="en-US" w:eastAsia="zh-CN" w:bidi="ar-SA"/>
        </w:rPr>
        <w:t>中国投资协会培训中心颁发结业证书。</w:t>
      </w:r>
    </w:p>
    <w:p w14:paraId="64A23776">
      <w:pPr>
        <w:keepNext w:val="0"/>
        <w:keepLines w:val="0"/>
        <w:pageBreakBefore w:val="0"/>
        <w:widowControl w:val="0"/>
        <w:kinsoku/>
        <w:wordWrap/>
        <w:overflowPunct/>
        <w:topLinePunct w:val="0"/>
        <w:autoSpaceDE/>
        <w:autoSpaceDN/>
        <w:bidi w:val="0"/>
        <w:adjustRightInd/>
        <w:snapToGrid w:val="0"/>
        <w:spacing w:line="400" w:lineRule="exact"/>
        <w:ind w:left="0" w:firstLine="0" w:firstLineChars="0"/>
        <w:textAlignment w:val="auto"/>
        <w:rPr>
          <w:rFonts w:hint="eastAsia" w:ascii="仿宋" w:hAnsi="仿宋" w:eastAsia="仿宋" w:cs="仿宋"/>
          <w:b/>
          <w:bCs/>
          <w:sz w:val="28"/>
          <w:szCs w:val="28"/>
        </w:rPr>
      </w:pPr>
      <w:r>
        <w:rPr>
          <w:rFonts w:hint="eastAsia" w:cs="仿宋"/>
          <w:b/>
          <w:bCs/>
          <w:sz w:val="28"/>
          <w:szCs w:val="28"/>
          <w:lang w:val="en-US" w:eastAsia="zh-CN"/>
        </w:rPr>
        <w:t>六</w:t>
      </w:r>
      <w:r>
        <w:rPr>
          <w:rFonts w:hint="eastAsia" w:ascii="仿宋" w:hAnsi="仿宋" w:eastAsia="仿宋" w:cs="仿宋"/>
          <w:b/>
          <w:bCs/>
          <w:sz w:val="28"/>
          <w:szCs w:val="28"/>
        </w:rPr>
        <w:t>、报名办法及联系方式</w:t>
      </w:r>
    </w:p>
    <w:p w14:paraId="147438D8">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请参加培训班同志认真填写报名回执表</w:t>
      </w:r>
      <w:r>
        <w:rPr>
          <w:rFonts w:hint="eastAsia" w:ascii="仿宋" w:hAnsi="仿宋" w:eastAsia="仿宋" w:cs="仿宋"/>
          <w:bCs/>
          <w:sz w:val="28"/>
          <w:szCs w:val="28"/>
          <w:lang w:eastAsia="zh-CN"/>
        </w:rPr>
        <w:t>，</w:t>
      </w:r>
      <w:r>
        <w:rPr>
          <w:rFonts w:hint="eastAsia" w:ascii="仿宋" w:hAnsi="仿宋" w:eastAsia="仿宋" w:cs="仿宋"/>
          <w:bCs/>
          <w:sz w:val="28"/>
          <w:szCs w:val="28"/>
        </w:rPr>
        <w:t>通过传真或电子邮件发至会务组。</w:t>
      </w:r>
    </w:p>
    <w:p w14:paraId="4D7F31AE">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eastAsia="仿宋"/>
          <w:lang w:val="en-US" w:eastAsia="zh-CN"/>
        </w:rPr>
      </w:pPr>
      <w:permStart w:id="0" w:edGrp="everyone"/>
      <w:r>
        <w:rPr>
          <w:rFonts w:hint="eastAsia" w:ascii="仿宋" w:hAnsi="仿宋" w:eastAsia="仿宋" w:cs="仿宋"/>
          <w:bCs/>
          <w:sz w:val="28"/>
          <w:szCs w:val="28"/>
        </w:rPr>
        <w:t>联 系 人：</w:t>
      </w:r>
      <w:r>
        <w:rPr>
          <w:rFonts w:hint="eastAsia"/>
        </w:rPr>
        <w:t>聂红军</w:t>
      </w:r>
    </w:p>
    <w:p w14:paraId="4B6BC123">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rPr>
        <w:t>联系电话：</w:t>
      </w:r>
      <w:r>
        <w:rPr>
          <w:rFonts w:hint="eastAsia"/>
        </w:rPr>
        <w:t>18211071700</w:t>
      </w:r>
      <w:r>
        <w:rPr>
          <w:rFonts w:hint="eastAsia" w:cs="仿宋"/>
          <w:bCs/>
          <w:sz w:val="28"/>
          <w:szCs w:val="28"/>
          <w:lang w:val="en-US" w:eastAsia="zh-CN"/>
        </w:rPr>
        <w:t>（微信）</w:t>
      </w:r>
    </w:p>
    <w:p w14:paraId="6A05A2F1">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邮    箱：</w:t>
      </w:r>
      <w:r>
        <w:rPr>
          <w:rFonts w:hint="eastAsia"/>
        </w:rPr>
        <w:t>zqgphwz</w:t>
      </w:r>
      <w:r>
        <w:rPr>
          <w:rFonts w:hint="eastAsia" w:cs="仿宋"/>
          <w:bCs/>
          <w:sz w:val="28"/>
          <w:szCs w:val="28"/>
          <w:lang w:val="en-US" w:eastAsia="zh-CN"/>
        </w:rPr>
        <w:t>@1</w:t>
      </w:r>
      <w:r>
        <w:rPr>
          <w:rFonts w:hint="eastAsia"/>
        </w:rPr>
        <w:t>26</w:t>
      </w:r>
      <w:r>
        <w:rPr>
          <w:rFonts w:hint="eastAsia" w:cs="仿宋"/>
          <w:bCs/>
          <w:sz w:val="28"/>
          <w:szCs w:val="28"/>
          <w:lang w:val="en-US" w:eastAsia="zh-CN"/>
        </w:rPr>
        <w:t>.com</w:t>
      </w:r>
    </w:p>
    <w:permEnd w:id="0"/>
    <w:p w14:paraId="70C62077">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color w:val="000000"/>
          <w:kern w:val="0"/>
          <w:sz w:val="28"/>
          <w:szCs w:val="28"/>
        </w:rPr>
        <w:t>培训中心监督电话</w:t>
      </w:r>
      <w:r>
        <w:rPr>
          <w:rFonts w:hint="eastAsia" w:cs="仿宋"/>
          <w:color w:val="000000"/>
          <w:kern w:val="0"/>
          <w:sz w:val="28"/>
          <w:szCs w:val="28"/>
          <w:lang w:eastAsia="zh-CN"/>
        </w:rPr>
        <w:t>：</w:t>
      </w:r>
      <w:r>
        <w:rPr>
          <w:rFonts w:hint="eastAsia" w:ascii="仿宋" w:hAnsi="仿宋" w:eastAsia="仿宋" w:cs="仿宋"/>
          <w:color w:val="000000"/>
          <w:kern w:val="0"/>
          <w:sz w:val="28"/>
          <w:szCs w:val="28"/>
        </w:rPr>
        <w:t>010-63361773     许桂荣</w:t>
      </w:r>
    </w:p>
    <w:p w14:paraId="7BD1A4D9">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ascii="仿宋" w:hAnsi="仿宋" w:eastAsia="仿宋" w:cs="仿宋"/>
          <w:bCs/>
          <w:sz w:val="28"/>
          <w:szCs w:val="28"/>
          <w:lang w:eastAsia="zh-CN"/>
        </w:rPr>
      </w:pPr>
      <w:r>
        <w:rPr>
          <w:rFonts w:hint="eastAsia" w:ascii="仿宋" w:hAnsi="仿宋" w:eastAsia="仿宋" w:cs="仿宋"/>
          <w:bCs/>
          <w:sz w:val="28"/>
          <w:szCs w:val="28"/>
        </w:rPr>
        <w:t>通讯地址：北京市复兴路2号院A座</w:t>
      </w:r>
    </w:p>
    <w:p w14:paraId="0085B4E2">
      <w:pPr>
        <w:keepNext w:val="0"/>
        <w:keepLines w:val="0"/>
        <w:pageBreakBefore w:val="0"/>
        <w:widowControl w:val="0"/>
        <w:kinsoku/>
        <w:wordWrap/>
        <w:overflowPunct/>
        <w:topLinePunct w:val="0"/>
        <w:autoSpaceDE/>
        <w:autoSpaceDN/>
        <w:bidi w:val="0"/>
        <w:adjustRightInd/>
        <w:snapToGrid w:val="0"/>
        <w:spacing w:line="400" w:lineRule="exact"/>
        <w:ind w:left="0"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 xml:space="preserve">邮政编码：100038    </w:t>
      </w:r>
    </w:p>
    <w:p w14:paraId="4B5C673D">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cs="仿宋"/>
          <w:bCs/>
          <w:sz w:val="28"/>
          <w:szCs w:val="28"/>
          <w:lang w:val="en-US" w:eastAsia="zh-CN"/>
        </w:rPr>
      </w:pPr>
      <w:r>
        <w:drawing>
          <wp:anchor distT="0" distB="0" distL="114300" distR="114300" simplePos="0" relativeHeight="251660288" behindDoc="1" locked="0" layoutInCell="1" allowOverlap="1">
            <wp:simplePos x="0" y="0"/>
            <wp:positionH relativeFrom="column">
              <wp:posOffset>3970020</wp:posOffset>
            </wp:positionH>
            <wp:positionV relativeFrom="paragraph">
              <wp:posOffset>81280</wp:posOffset>
            </wp:positionV>
            <wp:extent cx="1573530" cy="1532890"/>
            <wp:effectExtent l="0" t="0" r="762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573530" cy="1532890"/>
                    </a:xfrm>
                    <a:prstGeom prst="rect">
                      <a:avLst/>
                    </a:prstGeom>
                    <a:noFill/>
                    <a:ln>
                      <a:noFill/>
                    </a:ln>
                  </pic:spPr>
                </pic:pic>
              </a:graphicData>
            </a:graphic>
          </wp:anchor>
        </w:drawing>
      </w:r>
      <w:r>
        <w:rPr>
          <w:rFonts w:hint="eastAsia" w:ascii="仿宋" w:hAnsi="仿宋" w:eastAsia="仿宋" w:cs="仿宋"/>
          <w:bCs/>
          <w:sz w:val="28"/>
          <w:szCs w:val="28"/>
        </w:rPr>
        <w:t>附件：报名回执表</w:t>
      </w:r>
      <w:r>
        <w:rPr>
          <w:rFonts w:hint="eastAsia" w:cs="仿宋"/>
          <w:bCs/>
          <w:sz w:val="28"/>
          <w:szCs w:val="28"/>
          <w:lang w:val="en-US" w:eastAsia="zh-CN"/>
        </w:rPr>
        <w:t xml:space="preserve">                             </w:t>
      </w:r>
    </w:p>
    <w:p w14:paraId="491C7DE2">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cs="仿宋"/>
          <w:bCs/>
          <w:sz w:val="28"/>
          <w:szCs w:val="28"/>
          <w:lang w:val="en-US" w:eastAsia="zh-CN"/>
        </w:rPr>
      </w:pPr>
    </w:p>
    <w:p w14:paraId="7CED49EA">
      <w:pPr>
        <w:keepNext w:val="0"/>
        <w:keepLines w:val="0"/>
        <w:pageBreakBefore w:val="0"/>
        <w:widowControl w:val="0"/>
        <w:kinsoku/>
        <w:wordWrap/>
        <w:overflowPunct/>
        <w:topLinePunct w:val="0"/>
        <w:autoSpaceDE/>
        <w:autoSpaceDN/>
        <w:bidi w:val="0"/>
        <w:adjustRightInd/>
        <w:snapToGrid w:val="0"/>
        <w:spacing w:line="420" w:lineRule="exact"/>
        <w:ind w:firstLine="6160" w:firstLineChars="2200"/>
        <w:jc w:val="both"/>
        <w:textAlignment w:val="auto"/>
        <w:rPr>
          <w:rFonts w:hint="eastAsia" w:cs="仿宋"/>
          <w:bCs/>
          <w:sz w:val="28"/>
          <w:szCs w:val="28"/>
          <w:lang w:val="en-US" w:eastAsia="zh-CN"/>
        </w:rPr>
      </w:pPr>
      <w:r>
        <w:rPr>
          <w:rFonts w:hint="eastAsia" w:cs="仿宋"/>
          <w:bCs/>
          <w:sz w:val="28"/>
          <w:szCs w:val="28"/>
          <w:lang w:val="en-US" w:eastAsia="zh-CN"/>
        </w:rPr>
        <w:t>中国投资协会培训中心</w:t>
      </w:r>
    </w:p>
    <w:p w14:paraId="5B7BFCD3">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cs="仿宋"/>
          <w:b/>
          <w:bCs/>
          <w:sz w:val="32"/>
          <w:szCs w:val="32"/>
          <w:lang w:val="en-US" w:eastAsia="zh-CN"/>
        </w:rPr>
      </w:pPr>
      <w:r>
        <w:rPr>
          <w:rFonts w:hint="eastAsia" w:cs="仿宋"/>
          <w:bCs/>
          <w:sz w:val="28"/>
          <w:szCs w:val="28"/>
          <w:lang w:val="en-US" w:eastAsia="zh-CN"/>
        </w:rPr>
        <w:t xml:space="preserve">                                              2025年01月06日</w:t>
      </w:r>
    </w:p>
    <w:p w14:paraId="01F1A9D3">
      <w:pPr>
        <w:keepNext w:val="0"/>
        <w:keepLines w:val="0"/>
        <w:pageBreakBefore w:val="0"/>
        <w:widowControl w:val="0"/>
        <w:tabs>
          <w:tab w:val="left" w:pos="-1440"/>
        </w:tabs>
        <w:kinsoku/>
        <w:wordWrap/>
        <w:overflowPunct/>
        <w:topLinePunct w:val="0"/>
        <w:autoSpaceDE/>
        <w:autoSpaceDN/>
        <w:bidi w:val="0"/>
        <w:adjustRightInd/>
        <w:spacing w:after="159" w:afterLines="50" w:afterAutospacing="0" w:line="360" w:lineRule="exact"/>
        <w:ind w:left="2891" w:hanging="2891" w:hangingChars="900"/>
        <w:jc w:val="both"/>
        <w:rPr>
          <w:rFonts w:hint="eastAsia" w:cs="仿宋"/>
          <w:b/>
          <w:bCs/>
          <w:sz w:val="32"/>
          <w:szCs w:val="32"/>
          <w:lang w:val="en-US" w:eastAsia="zh-CN"/>
        </w:rPr>
      </w:pPr>
    </w:p>
    <w:p w14:paraId="6ADDCBE9">
      <w:pPr>
        <w:keepNext w:val="0"/>
        <w:keepLines w:val="0"/>
        <w:pageBreakBefore w:val="0"/>
        <w:widowControl w:val="0"/>
        <w:tabs>
          <w:tab w:val="left" w:pos="-1440"/>
        </w:tabs>
        <w:kinsoku/>
        <w:wordWrap/>
        <w:overflowPunct/>
        <w:topLinePunct w:val="0"/>
        <w:autoSpaceDE/>
        <w:autoSpaceDN/>
        <w:bidi w:val="0"/>
        <w:adjustRightInd/>
        <w:snapToGrid/>
        <w:spacing w:afterAutospacing="0" w:line="400" w:lineRule="exact"/>
        <w:jc w:val="both"/>
        <w:textAlignment w:val="auto"/>
        <w:rPr>
          <w:rFonts w:hint="eastAsia" w:cs="仿宋"/>
          <w:b/>
          <w:bCs/>
          <w:sz w:val="28"/>
          <w:szCs w:val="28"/>
          <w:lang w:val="en-US" w:eastAsia="zh-CN"/>
        </w:rPr>
      </w:pPr>
    </w:p>
    <w:p w14:paraId="71DE31FB">
      <w:pPr>
        <w:keepNext w:val="0"/>
        <w:keepLines w:val="0"/>
        <w:pageBreakBefore w:val="0"/>
        <w:widowControl w:val="0"/>
        <w:tabs>
          <w:tab w:val="left" w:pos="-1440"/>
        </w:tabs>
        <w:kinsoku/>
        <w:wordWrap/>
        <w:overflowPunct/>
        <w:topLinePunct w:val="0"/>
        <w:autoSpaceDE/>
        <w:autoSpaceDN/>
        <w:bidi w:val="0"/>
        <w:adjustRightInd/>
        <w:snapToGrid/>
        <w:spacing w:afterAutospacing="0" w:line="400" w:lineRule="exact"/>
        <w:jc w:val="both"/>
        <w:textAlignment w:val="auto"/>
        <w:rPr>
          <w:rFonts w:hint="eastAsia" w:cs="仿宋"/>
          <w:b/>
          <w:bCs/>
          <w:sz w:val="28"/>
          <w:szCs w:val="28"/>
          <w:lang w:val="en-US" w:eastAsia="zh-CN"/>
        </w:rPr>
      </w:pPr>
      <w:permStart w:id="1" w:edGrp="everyone"/>
      <w:r>
        <w:rPr>
          <w:rFonts w:hint="eastAsia" w:cs="仿宋"/>
          <w:b/>
          <w:bCs/>
          <w:sz w:val="28"/>
          <w:szCs w:val="28"/>
          <w:lang w:val="en-US" w:eastAsia="zh-CN"/>
        </w:rPr>
        <w:t>附件：</w:t>
      </w:r>
    </w:p>
    <w:p w14:paraId="0DFFEC27">
      <w:pPr>
        <w:keepNext w:val="0"/>
        <w:keepLines w:val="0"/>
        <w:pageBreakBefore w:val="0"/>
        <w:widowControl w:val="0"/>
        <w:tabs>
          <w:tab w:val="left" w:pos="-1440"/>
        </w:tabs>
        <w:kinsoku/>
        <w:wordWrap/>
        <w:overflowPunct/>
        <w:topLinePunct w:val="0"/>
        <w:autoSpaceDE/>
        <w:autoSpaceDN/>
        <w:bidi w:val="0"/>
        <w:adjustRightInd/>
        <w:snapToGrid/>
        <w:spacing w:beforeAutospacing="0" w:after="159" w:afterLines="50" w:afterAutospacing="0" w:line="400" w:lineRule="exact"/>
        <w:jc w:val="center"/>
        <w:textAlignment w:val="auto"/>
        <w:rPr>
          <w:rFonts w:ascii="仿宋" w:hAnsi="Times New Roman" w:eastAsia="仿宋" w:cs="仿宋"/>
          <w:b/>
          <w:bCs/>
          <w:kern w:val="2"/>
          <w:sz w:val="28"/>
          <w:szCs w:val="28"/>
          <w:lang w:val="en-US" w:eastAsia="zh-CN" w:bidi="ar-SA"/>
        </w:rPr>
      </w:pPr>
      <w:r>
        <w:rPr>
          <w:rFonts w:hint="eastAsia" w:cs="仿宋"/>
          <w:b/>
          <w:bCs/>
          <w:sz w:val="28"/>
          <w:szCs w:val="28"/>
          <w:lang w:val="en-US" w:eastAsia="zh-CN"/>
        </w:rPr>
        <w:t>“</w:t>
      </w:r>
      <w:r>
        <w:rPr>
          <w:rFonts w:hint="eastAsia" w:ascii="仿宋" w:hAnsi="仿宋" w:eastAsia="仿宋" w:cs="仿宋"/>
          <w:b/>
          <w:bCs/>
          <w:sz w:val="28"/>
          <w:szCs w:val="28"/>
          <w:lang w:eastAsia="zh-CN"/>
        </w:rPr>
        <w:t>新能源最新政策解读及投资、建设、施工、运维全业务精细化管控实务与DeepSeek赋能提效</w:t>
      </w:r>
      <w:r>
        <w:rPr>
          <w:rFonts w:hint="eastAsia" w:cs="仿宋"/>
          <w:b/>
          <w:bCs/>
          <w:sz w:val="28"/>
          <w:szCs w:val="28"/>
          <w:lang w:eastAsia="zh-CN"/>
        </w:rPr>
        <w:t>”</w:t>
      </w:r>
      <w:r>
        <w:rPr>
          <w:rFonts w:hint="eastAsia" w:cs="仿宋"/>
          <w:b/>
          <w:bCs/>
          <w:sz w:val="28"/>
          <w:szCs w:val="28"/>
          <w:lang w:val="en-US" w:eastAsia="zh-CN"/>
        </w:rPr>
        <w:t>专题培训班</w:t>
      </w:r>
      <w:r>
        <w:rPr>
          <w:rFonts w:hint="eastAsia" w:ascii="仿宋" w:hAnsi="Times New Roman" w:eastAsia="仿宋" w:cs="仿宋"/>
          <w:b/>
          <w:bCs/>
          <w:kern w:val="2"/>
          <w:sz w:val="28"/>
          <w:szCs w:val="28"/>
          <w:lang w:val="en-US" w:eastAsia="zh-CN" w:bidi="ar-SA"/>
        </w:rPr>
        <w:t>回执表</w:t>
      </w:r>
    </w:p>
    <w:tbl>
      <w:tblPr>
        <w:tblStyle w:val="10"/>
        <w:tblW w:w="9525" w:type="dxa"/>
        <w:tblInd w:w="93" w:type="dxa"/>
        <w:tblLayout w:type="autofit"/>
        <w:tblCellMar>
          <w:top w:w="0" w:type="dxa"/>
          <w:left w:w="108" w:type="dxa"/>
          <w:bottom w:w="0" w:type="dxa"/>
          <w:right w:w="108" w:type="dxa"/>
        </w:tblCellMar>
      </w:tblPr>
      <w:tblGrid>
        <w:gridCol w:w="1305"/>
        <w:gridCol w:w="645"/>
        <w:gridCol w:w="330"/>
        <w:gridCol w:w="330"/>
        <w:gridCol w:w="840"/>
        <w:gridCol w:w="1200"/>
        <w:gridCol w:w="765"/>
        <w:gridCol w:w="870"/>
        <w:gridCol w:w="540"/>
        <w:gridCol w:w="555"/>
        <w:gridCol w:w="750"/>
        <w:gridCol w:w="1395"/>
      </w:tblGrid>
      <w:tr w14:paraId="6F880609">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85B2">
            <w:pPr>
              <w:widowControl/>
              <w:spacing w:beforeAutospacing="0"/>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单位名称</w:t>
            </w:r>
          </w:p>
        </w:tc>
        <w:tc>
          <w:tcPr>
            <w:tcW w:w="55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E891">
            <w:pPr>
              <w:jc w:val="center"/>
              <w:rPr>
                <w:rFonts w:hint="eastAsia" w:ascii="仿宋" w:hAnsi="仿宋" w:eastAsia="仿宋" w:cs="仿宋"/>
                <w:color w:val="000000"/>
                <w:sz w:val="24"/>
                <w:szCs w:val="24"/>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A1F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行业类别</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0258">
            <w:pPr>
              <w:rPr>
                <w:rFonts w:hint="eastAsia" w:ascii="仿宋" w:hAnsi="仿宋" w:eastAsia="仿宋" w:cs="仿宋"/>
                <w:color w:val="000000"/>
                <w:sz w:val="24"/>
                <w:szCs w:val="24"/>
              </w:rPr>
            </w:pPr>
          </w:p>
        </w:tc>
      </w:tr>
      <w:tr w14:paraId="345279D7">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61B1">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单位地址</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D3E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0FC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邮编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6E9F">
            <w:pPr>
              <w:rPr>
                <w:rFonts w:hint="eastAsia" w:ascii="仿宋" w:hAnsi="仿宋" w:eastAsia="仿宋" w:cs="仿宋"/>
                <w:color w:val="000000"/>
                <w:sz w:val="24"/>
                <w:szCs w:val="24"/>
              </w:rPr>
            </w:pPr>
          </w:p>
        </w:tc>
      </w:tr>
      <w:tr w14:paraId="7F23C6A6">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6D54">
            <w:pPr>
              <w:widowControl/>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联系人</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B2286">
            <w:pPr>
              <w:jc w:val="center"/>
              <w:rPr>
                <w:rFonts w:hint="eastAsia" w:ascii="仿宋" w:hAnsi="仿宋" w:eastAsia="仿宋" w:cs="仿宋"/>
                <w:color w:val="000000"/>
                <w:sz w:val="24"/>
                <w:szCs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3FA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2111">
            <w:pPr>
              <w:jc w:val="center"/>
              <w:rPr>
                <w:rFonts w:hint="eastAsia" w:ascii="仿宋" w:hAnsi="仿宋" w:eastAsia="仿宋" w:cs="仿宋"/>
                <w:color w:val="000000"/>
                <w:sz w:val="24"/>
                <w:szCs w:val="24"/>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3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54B2">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7BF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600">
            <w:pPr>
              <w:rPr>
                <w:rFonts w:hint="eastAsia" w:ascii="仿宋" w:hAnsi="仿宋" w:eastAsia="仿宋" w:cs="仿宋"/>
                <w:color w:val="000000"/>
                <w:sz w:val="24"/>
                <w:szCs w:val="24"/>
              </w:rPr>
            </w:pPr>
          </w:p>
        </w:tc>
      </w:tr>
      <w:tr w14:paraId="10B254C1">
        <w:tblPrEx>
          <w:tblCellMar>
            <w:top w:w="0" w:type="dxa"/>
            <w:left w:w="108" w:type="dxa"/>
            <w:bottom w:w="0" w:type="dxa"/>
            <w:right w:w="108" w:type="dxa"/>
          </w:tblCellMar>
        </w:tblPrEx>
        <w:trPr>
          <w:trHeight w:val="395"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3013A">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电话/区号</w:t>
            </w:r>
          </w:p>
        </w:tc>
        <w:tc>
          <w:tcPr>
            <w:tcW w:w="33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73734B">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DB9D">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传真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ABE0">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88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E-mail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05A9">
            <w:pPr>
              <w:rPr>
                <w:rFonts w:hint="eastAsia" w:ascii="仿宋" w:hAnsi="仿宋" w:eastAsia="仿宋" w:cs="仿宋"/>
                <w:color w:val="000000"/>
                <w:sz w:val="24"/>
                <w:szCs w:val="24"/>
              </w:rPr>
            </w:pPr>
          </w:p>
        </w:tc>
      </w:tr>
      <w:tr w14:paraId="09148B4B">
        <w:tblPrEx>
          <w:tblCellMar>
            <w:top w:w="0" w:type="dxa"/>
            <w:left w:w="108" w:type="dxa"/>
            <w:bottom w:w="0" w:type="dxa"/>
            <w:right w:w="108" w:type="dxa"/>
          </w:tblCellMar>
        </w:tblPrEx>
        <w:trPr>
          <w:trHeight w:val="34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F3680">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代表姓名</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67FF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性别</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8D3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7A5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职务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82FA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电话</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CFE8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手机</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7D1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r>
      <w:tr w14:paraId="3EDAAD42">
        <w:tblPrEx>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63E">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027">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156C">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D0E3">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9241">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FEC1">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CF74">
            <w:pPr>
              <w:rPr>
                <w:rFonts w:hint="eastAsia" w:ascii="仿宋" w:hAnsi="仿宋" w:eastAsia="仿宋" w:cs="仿宋"/>
                <w:color w:val="000000"/>
                <w:sz w:val="24"/>
                <w:szCs w:val="24"/>
              </w:rPr>
            </w:pPr>
          </w:p>
        </w:tc>
      </w:tr>
      <w:tr w14:paraId="1C1B87D9">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ED82">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3D9E">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2CD8">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EE86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5480">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5E10">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25A">
            <w:pPr>
              <w:rPr>
                <w:rFonts w:hint="eastAsia" w:ascii="仿宋" w:hAnsi="仿宋" w:eastAsia="仿宋" w:cs="仿宋"/>
                <w:color w:val="000000"/>
                <w:sz w:val="24"/>
                <w:szCs w:val="24"/>
              </w:rPr>
            </w:pPr>
          </w:p>
        </w:tc>
      </w:tr>
      <w:tr w14:paraId="7AA4CCD6">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0FBF">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D7A2">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5394">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A9EC">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9A8">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C3A5">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519A">
            <w:pPr>
              <w:rPr>
                <w:rFonts w:hint="eastAsia" w:ascii="仿宋" w:hAnsi="仿宋" w:eastAsia="仿宋" w:cs="仿宋"/>
                <w:color w:val="000000"/>
                <w:sz w:val="24"/>
                <w:szCs w:val="24"/>
              </w:rPr>
            </w:pPr>
          </w:p>
        </w:tc>
      </w:tr>
      <w:tr w14:paraId="30BDA599">
        <w:tblPrEx>
          <w:tblCellMar>
            <w:top w:w="0" w:type="dxa"/>
            <w:left w:w="108" w:type="dxa"/>
            <w:bottom w:w="0" w:type="dxa"/>
            <w:right w:w="108"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BC20">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BA46">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B798">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855">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E244">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09C74">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E201">
            <w:pPr>
              <w:rPr>
                <w:rFonts w:hint="eastAsia" w:ascii="仿宋" w:hAnsi="仿宋" w:eastAsia="仿宋" w:cs="仿宋"/>
                <w:color w:val="000000"/>
                <w:sz w:val="24"/>
                <w:szCs w:val="24"/>
              </w:rPr>
            </w:pPr>
          </w:p>
        </w:tc>
      </w:tr>
      <w:tr w14:paraId="20ADDFB6">
        <w:tblPrEx>
          <w:tblCellMar>
            <w:top w:w="0" w:type="dxa"/>
            <w:left w:w="108" w:type="dxa"/>
            <w:bottom w:w="0" w:type="dxa"/>
            <w:right w:w="108" w:type="dxa"/>
          </w:tblCellMar>
        </w:tblPrEx>
        <w:trPr>
          <w:trHeight w:val="3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3ED2">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0356">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B033">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DA70">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944F">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EB1">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7B71">
            <w:pPr>
              <w:rPr>
                <w:rFonts w:hint="eastAsia" w:ascii="仿宋" w:hAnsi="仿宋" w:eastAsia="仿宋" w:cs="仿宋"/>
                <w:color w:val="000000"/>
                <w:sz w:val="24"/>
                <w:szCs w:val="24"/>
              </w:rPr>
            </w:pPr>
          </w:p>
        </w:tc>
      </w:tr>
      <w:tr w14:paraId="5DAAD884">
        <w:tblPrEx>
          <w:tblCellMar>
            <w:top w:w="0" w:type="dxa"/>
            <w:left w:w="108" w:type="dxa"/>
            <w:bottom w:w="0" w:type="dxa"/>
            <w:right w:w="108"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B795">
            <w:pP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D8B1">
            <w:pPr>
              <w:jc w:val="center"/>
              <w:rPr>
                <w:rFonts w:hint="eastAsia" w:ascii="仿宋" w:hAnsi="仿宋" w:eastAsia="仿宋" w:cs="仿宋"/>
                <w:color w:val="000000"/>
                <w:sz w:val="24"/>
                <w:szCs w:val="24"/>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A603">
            <w:pPr>
              <w:jc w:val="center"/>
              <w:rPr>
                <w:rFonts w:hint="eastAsia" w:ascii="仿宋" w:hAnsi="仿宋" w:eastAsia="仿宋" w:cs="仿宋"/>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504A">
            <w:pPr>
              <w:jc w:val="center"/>
              <w:rPr>
                <w:rFonts w:hint="eastAsia" w:ascii="仿宋" w:hAnsi="仿宋" w:eastAsia="仿宋" w:cs="仿宋"/>
                <w:color w:val="000000"/>
                <w:sz w:val="24"/>
                <w:szCs w:val="24"/>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707E">
            <w:pPr>
              <w:jc w:val="center"/>
              <w:rPr>
                <w:rFonts w:hint="eastAsia" w:ascii="仿宋" w:hAnsi="仿宋" w:eastAsia="仿宋" w:cs="仿宋"/>
                <w:color w:val="000000"/>
                <w:sz w:val="24"/>
                <w:szCs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EBA">
            <w:pPr>
              <w:jc w:val="center"/>
              <w:rPr>
                <w:rFonts w:hint="eastAsia" w:ascii="仿宋" w:hAnsi="仿宋" w:eastAsia="仿宋" w:cs="仿宋"/>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8299">
            <w:pPr>
              <w:rPr>
                <w:rFonts w:hint="eastAsia" w:ascii="仿宋" w:hAnsi="仿宋" w:eastAsia="仿宋" w:cs="仿宋"/>
                <w:color w:val="000000"/>
                <w:sz w:val="24"/>
                <w:szCs w:val="24"/>
              </w:rPr>
            </w:pPr>
          </w:p>
        </w:tc>
      </w:tr>
      <w:tr w14:paraId="2B07E499">
        <w:tblPrEx>
          <w:tblCellMar>
            <w:top w:w="0" w:type="dxa"/>
            <w:left w:w="108" w:type="dxa"/>
            <w:bottom w:w="0" w:type="dxa"/>
            <w:right w:w="108" w:type="dxa"/>
          </w:tblCellMar>
        </w:tblPrEx>
        <w:trPr>
          <w:trHeight w:val="37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DAE">
            <w:pPr>
              <w:widowControl/>
              <w:jc w:val="center"/>
              <w:textAlignment w:val="center"/>
              <w:rPr>
                <w:rFonts w:hint="default" w:ascii="仿宋" w:hAnsi="仿宋" w:eastAsia="仿宋" w:cs="仿宋"/>
                <w:color w:val="000000"/>
                <w:sz w:val="24"/>
                <w:szCs w:val="24"/>
                <w:lang w:val="en-US" w:eastAsia="zh-CN"/>
              </w:rPr>
            </w:pPr>
            <w:r>
              <w:rPr>
                <w:rFonts w:hint="eastAsia" w:cs="仿宋"/>
                <w:color w:val="000000"/>
                <w:sz w:val="24"/>
                <w:szCs w:val="24"/>
                <w:lang w:val="en-US" w:eastAsia="zh-CN"/>
              </w:rPr>
              <w:t>地    点</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043417">
            <w:pPr>
              <w:widowControl/>
              <w:tabs>
                <w:tab w:val="left" w:pos="6825"/>
              </w:tabs>
              <w:jc w:val="center"/>
              <w:textAlignment w:val="center"/>
              <w:rPr>
                <w:rFonts w:hint="eastAsia" w:cs="仿宋"/>
                <w:color w:val="000000"/>
                <w:sz w:val="24"/>
                <w:szCs w:val="24"/>
                <w:lang w:eastAsia="zh-CN"/>
              </w:rPr>
            </w:pPr>
            <w:r>
              <w:rPr>
                <w:rFonts w:hint="eastAsia" w:cs="仿宋"/>
                <w:color w:val="000000"/>
                <w:sz w:val="24"/>
                <w:szCs w:val="24"/>
                <w:lang w:val="en-US" w:eastAsia="zh-CN"/>
              </w:rPr>
              <w:t>□重庆            □济南</w:t>
            </w:r>
          </w:p>
        </w:tc>
      </w:tr>
      <w:tr w14:paraId="5EDC7809">
        <w:tblPrEx>
          <w:tblCellMar>
            <w:top w:w="0" w:type="dxa"/>
            <w:left w:w="108" w:type="dxa"/>
            <w:bottom w:w="0" w:type="dxa"/>
            <w:right w:w="108" w:type="dxa"/>
          </w:tblCellMar>
        </w:tblPrEx>
        <w:trPr>
          <w:trHeight w:val="480"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18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发票要求</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A0DB3F">
            <w:pPr>
              <w:widowControl/>
              <w:tabs>
                <w:tab w:val="left" w:pos="5289"/>
              </w:tabs>
              <w:jc w:val="center"/>
              <w:textAlignment w:val="center"/>
              <w:rPr>
                <w:rFonts w:hint="default" w:ascii="仿宋" w:hAnsi="仿宋" w:eastAsia="仿宋" w:cs="仿宋"/>
                <w:color w:val="000000"/>
                <w:sz w:val="24"/>
                <w:szCs w:val="24"/>
                <w:lang w:val="en-US" w:eastAsia="zh-CN"/>
              </w:rPr>
            </w:pPr>
            <w:r>
              <w:rPr>
                <w:rFonts w:hint="eastAsia" w:cs="仿宋"/>
                <w:color w:val="000000"/>
                <w:kern w:val="0"/>
                <w:sz w:val="24"/>
                <w:szCs w:val="24"/>
                <w:lang w:eastAsia="zh-CN" w:bidi="ar"/>
              </w:rPr>
              <w:t>□</w:t>
            </w:r>
            <w:r>
              <w:rPr>
                <w:rFonts w:hint="eastAsia" w:ascii="仿宋" w:hAnsi="仿宋" w:eastAsia="仿宋" w:cs="仿宋"/>
                <w:color w:val="000000"/>
                <w:kern w:val="0"/>
                <w:sz w:val="24"/>
                <w:szCs w:val="24"/>
                <w:lang w:bidi="ar"/>
              </w:rPr>
              <w:t>增值税普通发票               □增值税专用发票</w:t>
            </w:r>
          </w:p>
        </w:tc>
      </w:tr>
      <w:tr w14:paraId="5B3921D8">
        <w:tblPrEx>
          <w:tblCellMar>
            <w:top w:w="0" w:type="dxa"/>
            <w:left w:w="108" w:type="dxa"/>
            <w:bottom w:w="0" w:type="dxa"/>
            <w:right w:w="108" w:type="dxa"/>
          </w:tblCellMar>
        </w:tblPrEx>
        <w:trPr>
          <w:trHeight w:val="434"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3C31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发票信息</w:t>
            </w:r>
          </w:p>
        </w:tc>
        <w:tc>
          <w:tcPr>
            <w:tcW w:w="7575" w:type="dxa"/>
            <w:gridSpan w:val="10"/>
            <w:vMerge w:val="restart"/>
            <w:tcBorders>
              <w:top w:val="single" w:color="000000" w:sz="4" w:space="0"/>
              <w:left w:val="single" w:color="000000" w:sz="4" w:space="0"/>
              <w:right w:val="single" w:color="000000" w:sz="4" w:space="0"/>
            </w:tcBorders>
            <w:shd w:val="clear" w:color="auto" w:fill="auto"/>
            <w:vAlign w:val="center"/>
          </w:tcPr>
          <w:p w14:paraId="3EB95AE9">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1.开票名称：</w:t>
            </w:r>
          </w:p>
          <w:p w14:paraId="6B31B685">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2.纳税人识别号：</w:t>
            </w:r>
          </w:p>
          <w:p w14:paraId="2C80129A">
            <w:pPr>
              <w:widowControl/>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3.地址、电话：</w:t>
            </w:r>
          </w:p>
          <w:p w14:paraId="2305B9C2">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4.开户行及账号：</w:t>
            </w:r>
          </w:p>
        </w:tc>
      </w:tr>
      <w:tr w14:paraId="66D8A2BF">
        <w:tblPrEx>
          <w:tblCellMar>
            <w:top w:w="0" w:type="dxa"/>
            <w:left w:w="108" w:type="dxa"/>
            <w:bottom w:w="0" w:type="dxa"/>
            <w:right w:w="108" w:type="dxa"/>
          </w:tblCellMar>
        </w:tblPrEx>
        <w:trPr>
          <w:trHeight w:val="775" w:hRule="atLeast"/>
        </w:trPr>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DF31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专票请填写</w:t>
            </w:r>
          </w:p>
          <w:p w14:paraId="6C78BD5A">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1-4全部信息</w:t>
            </w:r>
          </w:p>
          <w:p w14:paraId="4EEB6D17">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普票请填写 </w:t>
            </w:r>
          </w:p>
          <w:p w14:paraId="5CB5A6E3">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1-2全部信息</w:t>
            </w:r>
          </w:p>
        </w:tc>
        <w:tc>
          <w:tcPr>
            <w:tcW w:w="7575" w:type="dxa"/>
            <w:gridSpan w:val="10"/>
            <w:vMerge w:val="continue"/>
            <w:tcBorders>
              <w:left w:val="single" w:color="000000" w:sz="4" w:space="0"/>
              <w:bottom w:val="single" w:color="000000" w:sz="4" w:space="0"/>
              <w:right w:val="single" w:color="000000" w:sz="4" w:space="0"/>
            </w:tcBorders>
            <w:shd w:val="clear" w:color="auto" w:fill="auto"/>
            <w:vAlign w:val="center"/>
          </w:tcPr>
          <w:p w14:paraId="0A512923">
            <w:pPr>
              <w:widowControl/>
              <w:jc w:val="center"/>
              <w:textAlignment w:val="center"/>
              <w:rPr>
                <w:rFonts w:hint="eastAsia" w:ascii="仿宋" w:hAnsi="仿宋" w:eastAsia="仿宋" w:cs="仿宋"/>
                <w:color w:val="000000"/>
                <w:kern w:val="0"/>
                <w:sz w:val="24"/>
                <w:szCs w:val="24"/>
                <w:lang w:bidi="ar"/>
              </w:rPr>
            </w:pPr>
          </w:p>
        </w:tc>
      </w:tr>
      <w:tr w14:paraId="6974D766">
        <w:tblPrEx>
          <w:tblCellMar>
            <w:top w:w="0" w:type="dxa"/>
            <w:left w:w="108" w:type="dxa"/>
            <w:bottom w:w="0" w:type="dxa"/>
            <w:right w:w="108" w:type="dxa"/>
          </w:tblCellMar>
        </w:tblPrEx>
        <w:trPr>
          <w:trHeight w:val="48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346">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住宿安排</w:t>
            </w:r>
          </w:p>
        </w:tc>
        <w:tc>
          <w:tcPr>
            <w:tcW w:w="82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5C1BB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□单间  </w:t>
            </w:r>
            <w:r>
              <w:rPr>
                <w:rFonts w:hint="eastAsia" w:cs="仿宋"/>
                <w:color w:val="000000"/>
                <w:kern w:val="0"/>
                <w:sz w:val="24"/>
                <w:szCs w:val="24"/>
                <w:lang w:eastAsia="zh-CN" w:bidi="ar"/>
              </w:rPr>
              <w:t>□</w:t>
            </w:r>
            <w:r>
              <w:rPr>
                <w:rFonts w:hint="eastAsia" w:ascii="仿宋" w:hAnsi="仿宋" w:eastAsia="仿宋" w:cs="仿宋"/>
                <w:color w:val="000000"/>
                <w:kern w:val="0"/>
                <w:sz w:val="24"/>
                <w:szCs w:val="24"/>
                <w:lang w:bidi="ar"/>
              </w:rPr>
              <w:t>标间      订房数量</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间； □自行安排</w:t>
            </w:r>
            <w:r>
              <w:rPr>
                <w:rFonts w:hint="eastAsia" w:cs="仿宋"/>
                <w:color w:val="000000"/>
                <w:kern w:val="0"/>
                <w:sz w:val="24"/>
                <w:szCs w:val="24"/>
                <w:lang w:eastAsia="zh-CN" w:bidi="ar"/>
              </w:rPr>
              <w:t>；</w:t>
            </w:r>
            <w:r>
              <w:rPr>
                <w:rFonts w:hint="eastAsia" w:cs="仿宋"/>
                <w:color w:val="000000"/>
                <w:kern w:val="0"/>
                <w:sz w:val="24"/>
                <w:szCs w:val="24"/>
                <w:lang w:val="en-US" w:eastAsia="zh-CN" w:bidi="ar"/>
              </w:rPr>
              <w:t xml:space="preserve">  </w:t>
            </w:r>
            <w:r>
              <w:rPr>
                <w:rFonts w:hint="eastAsia" w:ascii="仿宋" w:hAnsi="仿宋" w:eastAsia="仿宋" w:cs="仿宋"/>
                <w:color w:val="000000"/>
                <w:kern w:val="0"/>
                <w:sz w:val="24"/>
                <w:szCs w:val="24"/>
                <w:lang w:bidi="ar"/>
              </w:rPr>
              <w:t>其他说明：</w:t>
            </w:r>
          </w:p>
        </w:tc>
      </w:tr>
      <w:tr w14:paraId="4A31ECF9">
        <w:tblPrEx>
          <w:tblCellMar>
            <w:top w:w="0" w:type="dxa"/>
            <w:left w:w="108" w:type="dxa"/>
            <w:bottom w:w="0" w:type="dxa"/>
            <w:right w:w="108" w:type="dxa"/>
          </w:tblCellMar>
        </w:tblPrEx>
        <w:trPr>
          <w:trHeight w:val="40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826F">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费用总额</w:t>
            </w:r>
          </w:p>
        </w:tc>
        <w:tc>
          <w:tcPr>
            <w:tcW w:w="60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21E37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万     仟     佰    拾     元整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B5DB">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小写</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D0F7">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r w14:paraId="7C106AB1">
        <w:tblPrEx>
          <w:tblCellMar>
            <w:top w:w="0" w:type="dxa"/>
            <w:left w:w="108" w:type="dxa"/>
            <w:bottom w:w="0" w:type="dxa"/>
            <w:right w:w="108" w:type="dxa"/>
          </w:tblCellMar>
        </w:tblPrEx>
        <w:trPr>
          <w:trHeight w:val="312"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85B9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备注</w:t>
            </w:r>
          </w:p>
        </w:tc>
        <w:tc>
          <w:tcPr>
            <w:tcW w:w="607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795D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请将《报名回执表》回传至会务组，</w:t>
            </w:r>
            <w:r>
              <w:rPr>
                <w:rFonts w:hint="eastAsia" w:ascii="仿宋" w:hAnsi="仿宋" w:eastAsia="仿宋" w:cs="仿宋"/>
                <w:sz w:val="24"/>
                <w:szCs w:val="24"/>
              </w:rPr>
              <w:t>会务组即发《报到通知附带汇款账号》</w:t>
            </w:r>
            <w:r>
              <w:rPr>
                <w:rFonts w:hint="eastAsia" w:ascii="仿宋" w:hAnsi="仿宋" w:eastAsia="仿宋" w:cs="仿宋"/>
                <w:color w:val="000000"/>
                <w:kern w:val="0"/>
                <w:sz w:val="24"/>
                <w:szCs w:val="24"/>
                <w:lang w:bidi="ar"/>
              </w:rPr>
              <w:t>并在报名3日内办理培训费</w:t>
            </w:r>
            <w:r>
              <w:rPr>
                <w:rFonts w:hint="eastAsia" w:ascii="仿宋" w:hAnsi="仿宋" w:eastAsia="仿宋" w:cs="仿宋"/>
                <w:sz w:val="24"/>
                <w:szCs w:val="24"/>
              </w:rPr>
              <w:t>，</w:t>
            </w:r>
            <w:r>
              <w:rPr>
                <w:rFonts w:hint="eastAsia" w:ascii="仿宋" w:hAnsi="仿宋" w:eastAsia="仿宋" w:cs="仿宋"/>
                <w:color w:val="000000"/>
                <w:kern w:val="0"/>
                <w:sz w:val="24"/>
                <w:szCs w:val="24"/>
                <w:lang w:bidi="ar"/>
              </w:rPr>
              <w:t>会务组确认到款后即发《日程安排》，详细说明培训安排具体事项。</w:t>
            </w:r>
          </w:p>
        </w:tc>
        <w:tc>
          <w:tcPr>
            <w:tcW w:w="21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6AD07E">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单位印章</w:t>
            </w:r>
          </w:p>
          <w:p w14:paraId="295C05E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202</w:t>
            </w:r>
            <w:r>
              <w:rPr>
                <w:rFonts w:hint="eastAsia" w:cs="仿宋"/>
                <w:color w:val="000000"/>
                <w:kern w:val="0"/>
                <w:sz w:val="24"/>
                <w:szCs w:val="24"/>
                <w:lang w:val="en-US" w:eastAsia="zh-CN" w:bidi="ar"/>
              </w:rPr>
              <w:t>5</w:t>
            </w:r>
            <w:r>
              <w:rPr>
                <w:rFonts w:hint="eastAsia" w:ascii="仿宋" w:hAnsi="仿宋" w:eastAsia="仿宋" w:cs="仿宋"/>
                <w:color w:val="000000"/>
                <w:kern w:val="0"/>
                <w:sz w:val="24"/>
                <w:szCs w:val="24"/>
                <w:lang w:bidi="ar"/>
              </w:rPr>
              <w:t>年  月  日</w:t>
            </w:r>
          </w:p>
        </w:tc>
      </w:tr>
      <w:tr w14:paraId="079BED19">
        <w:tblPrEx>
          <w:tblCellMar>
            <w:top w:w="0" w:type="dxa"/>
            <w:left w:w="108" w:type="dxa"/>
            <w:bottom w:w="0" w:type="dxa"/>
            <w:right w:w="108" w:type="dxa"/>
          </w:tblCellMar>
        </w:tblPrEx>
        <w:trPr>
          <w:trHeight w:val="77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A065">
            <w:pPr>
              <w:jc w:val="center"/>
              <w:rPr>
                <w:rFonts w:hint="eastAsia" w:ascii="仿宋" w:hAnsi="仿宋" w:eastAsia="仿宋" w:cs="仿宋"/>
                <w:color w:val="000000"/>
                <w:sz w:val="24"/>
                <w:szCs w:val="24"/>
              </w:rPr>
            </w:pPr>
          </w:p>
        </w:tc>
        <w:tc>
          <w:tcPr>
            <w:tcW w:w="607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A5BFC">
            <w:pPr>
              <w:jc w:val="left"/>
              <w:rPr>
                <w:rFonts w:hint="eastAsia" w:ascii="仿宋" w:hAnsi="仿宋" w:eastAsia="仿宋" w:cs="仿宋"/>
                <w:color w:val="000000"/>
                <w:sz w:val="24"/>
                <w:szCs w:val="24"/>
              </w:rPr>
            </w:pPr>
          </w:p>
        </w:tc>
        <w:tc>
          <w:tcPr>
            <w:tcW w:w="21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94C10">
            <w:pPr>
              <w:jc w:val="center"/>
              <w:rPr>
                <w:rFonts w:hint="eastAsia" w:ascii="仿宋" w:hAnsi="仿宋" w:eastAsia="仿宋" w:cs="仿宋"/>
                <w:color w:val="000000"/>
                <w:sz w:val="24"/>
                <w:szCs w:val="24"/>
              </w:rPr>
            </w:pPr>
          </w:p>
        </w:tc>
      </w:tr>
      <w:tr w14:paraId="724EC3FE">
        <w:tblPrEx>
          <w:tblCellMar>
            <w:top w:w="0" w:type="dxa"/>
            <w:left w:w="108" w:type="dxa"/>
            <w:bottom w:w="0" w:type="dxa"/>
            <w:right w:w="108" w:type="dxa"/>
          </w:tblCellMar>
        </w:tblPrEx>
        <w:trPr>
          <w:trHeight w:val="972"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tcPr>
          <w:p w14:paraId="3E62A0C4">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参加本次会议您想学习哪些内容？希望与专家交流的问题？</w:t>
            </w:r>
          </w:p>
        </w:tc>
      </w:tr>
      <w:tr w14:paraId="6868A33B">
        <w:tblPrEx>
          <w:tblCellMar>
            <w:top w:w="0" w:type="dxa"/>
            <w:left w:w="108" w:type="dxa"/>
            <w:bottom w:w="0" w:type="dxa"/>
            <w:right w:w="108" w:type="dxa"/>
          </w:tblCellMar>
        </w:tblPrEx>
        <w:trPr>
          <w:trHeight w:val="1311" w:hRule="atLeast"/>
        </w:trPr>
        <w:tc>
          <w:tcPr>
            <w:tcW w:w="95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8B62A3">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bidi="ar"/>
              </w:rPr>
              <w:t>联 系 人：</w:t>
            </w:r>
            <w:r>
              <w:rPr>
                <w:rFonts w:hint="eastAsia"/>
              </w:rPr>
              <w:t>聂红军</w:t>
            </w:r>
          </w:p>
          <w:p w14:paraId="6DDAEDD6">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联系电话：</w:t>
            </w:r>
            <w:r>
              <w:rPr>
                <w:rFonts w:hint="eastAsia"/>
              </w:rPr>
              <w:t>18211071700</w:t>
            </w:r>
            <w:bookmarkStart w:id="0" w:name="_GoBack"/>
            <w:bookmarkEnd w:id="0"/>
            <w:r>
              <w:rPr>
                <w:rFonts w:hint="eastAsia" w:ascii="仿宋" w:hAnsi="仿宋" w:eastAsia="仿宋" w:cs="仿宋"/>
                <w:color w:val="000000"/>
                <w:kern w:val="0"/>
                <w:sz w:val="28"/>
                <w:szCs w:val="28"/>
                <w:lang w:bidi="ar"/>
              </w:rPr>
              <w:t>（微信）</w:t>
            </w:r>
          </w:p>
          <w:p w14:paraId="701F56A2">
            <w:pPr>
              <w:keepNext w:val="0"/>
              <w:keepLines w:val="0"/>
              <w:pageBreakBefore w:val="0"/>
              <w:widowControl/>
              <w:kinsoku/>
              <w:wordWrap/>
              <w:overflowPunct/>
              <w:topLinePunct w:val="0"/>
              <w:autoSpaceDE/>
              <w:autoSpaceDN/>
              <w:bidi w:val="0"/>
              <w:adjustRightInd/>
              <w:snapToGrid/>
              <w:spacing w:line="0" w:lineRule="atLeast"/>
              <w:jc w:val="left"/>
              <w:textAlignment w:val="top"/>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8"/>
                <w:szCs w:val="28"/>
                <w:lang w:bidi="ar"/>
              </w:rPr>
              <w:t>邮    箱：</w:t>
            </w:r>
            <w:r>
              <w:rPr>
                <w:rFonts w:hint="eastAsia"/>
              </w:rPr>
              <w:t>zqgphwz</w:t>
            </w:r>
            <w:r>
              <w:rPr>
                <w:rFonts w:hint="eastAsia"/>
                <w:lang w:val="en-US" w:eastAsia="zh-CN"/>
              </w:rPr>
              <w:t>@1</w:t>
            </w:r>
            <w:r>
              <w:rPr>
                <w:rFonts w:hint="eastAsia"/>
              </w:rPr>
              <w:t>26</w:t>
            </w:r>
            <w:r>
              <w:rPr>
                <w:rFonts w:hint="eastAsia"/>
                <w:lang w:val="en-US" w:eastAsia="zh-CN"/>
              </w:rPr>
              <w:t>.com</w:t>
            </w:r>
          </w:p>
        </w:tc>
      </w:tr>
    </w:tbl>
    <w:p w14:paraId="7E6511AF">
      <w:pPr>
        <w:spacing w:line="400" w:lineRule="exact"/>
        <w:rPr>
          <w:rFonts w:hint="eastAsia" w:ascii="仿宋" w:hAnsi="仿宋" w:eastAsia="仿宋" w:cs="仿宋"/>
          <w:b/>
          <w:sz w:val="28"/>
          <w:szCs w:val="28"/>
        </w:rPr>
      </w:pPr>
      <w:r>
        <w:rPr>
          <w:rFonts w:hint="eastAsia"/>
          <w:b/>
          <w:bCs/>
          <w:snapToGrid w:val="0"/>
          <w:color w:val="000000"/>
          <w:spacing w:val="8"/>
          <w:kern w:val="0"/>
          <w:position w:val="1"/>
          <w:sz w:val="24"/>
          <w:szCs w:val="24"/>
        </w:rPr>
        <w:t>注</w:t>
      </w:r>
      <w:r>
        <w:rPr>
          <w:rFonts w:hint="eastAsia" w:eastAsia="仿宋"/>
          <w:b/>
          <w:bCs/>
          <w:snapToGrid w:val="0"/>
          <w:color w:val="000000"/>
          <w:spacing w:val="8"/>
          <w:kern w:val="0"/>
          <w:position w:val="1"/>
          <w:sz w:val="24"/>
          <w:szCs w:val="24"/>
          <w:lang w:eastAsia="zh-CN"/>
        </w:rPr>
        <w:t>：</w:t>
      </w:r>
      <w:r>
        <w:rPr>
          <w:rFonts w:hint="eastAsia"/>
          <w:b/>
          <w:bCs/>
          <w:snapToGrid w:val="0"/>
          <w:color w:val="000000"/>
          <w:spacing w:val="8"/>
          <w:kern w:val="0"/>
          <w:position w:val="1"/>
          <w:sz w:val="24"/>
          <w:szCs w:val="24"/>
        </w:rPr>
        <w:t>为保证培训质量，培训班名额有限，额满为止，请确定人员后及早报名；本次培训内容及建筑行业相关培训内容均可赴企业提供内训。</w:t>
      </w:r>
      <w:permEnd w:id="1"/>
    </w:p>
    <w:sectPr>
      <w:pgSz w:w="11906" w:h="16838"/>
      <w:pgMar w:top="1117" w:right="1026" w:bottom="1118"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1CC58"/>
    <w:multiLevelType w:val="singleLevel"/>
    <w:tmpl w:val="81F1CC58"/>
    <w:lvl w:ilvl="0" w:tentative="0">
      <w:start w:val="1"/>
      <w:numFmt w:val="chineseCounting"/>
      <w:suff w:val="nothing"/>
      <w:lvlText w:val="%1、"/>
      <w:lvlJc w:val="left"/>
      <w:rPr>
        <w:rFonts w:hint="eastAsia"/>
      </w:rPr>
    </w:lvl>
  </w:abstractNum>
  <w:abstractNum w:abstractNumId="1">
    <w:nsid w:val="1FF47D85"/>
    <w:multiLevelType w:val="singleLevel"/>
    <w:tmpl w:val="1FF47D85"/>
    <w:lvl w:ilvl="0" w:tentative="0">
      <w:start w:val="3"/>
      <w:numFmt w:val="chineseCounting"/>
      <w:suff w:val="nothing"/>
      <w:lvlText w:val="%1、"/>
      <w:lvlJc w:val="left"/>
      <w:rPr>
        <w:rFonts w:hint="eastAsia"/>
      </w:rPr>
    </w:lvl>
  </w:abstractNum>
  <w:abstractNum w:abstractNumId="2">
    <w:nsid w:val="694394EE"/>
    <w:multiLevelType w:val="singleLevel"/>
    <w:tmpl w:val="694394EE"/>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zBhAOHgwjJyw6MQTjUcuAmkX48U=" w:salt="wTunkpaM8Ng8ODgPUriku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YzBhOGFhNWYyMjA5YTg2NTA5MWE1Mjc1ZDYzNjAifQ=="/>
    <w:docVar w:name="KSO_WPS_MARK_KEY" w:val="cfc8d9be-f504-412a-b420-b6d2173d19df"/>
  </w:docVars>
  <w:rsids>
    <w:rsidRoot w:val="00747D83"/>
    <w:rsid w:val="001950E3"/>
    <w:rsid w:val="00302A6A"/>
    <w:rsid w:val="003A5579"/>
    <w:rsid w:val="0048665F"/>
    <w:rsid w:val="004C3F0A"/>
    <w:rsid w:val="00507717"/>
    <w:rsid w:val="005523AD"/>
    <w:rsid w:val="006A63E0"/>
    <w:rsid w:val="00747D83"/>
    <w:rsid w:val="007B7250"/>
    <w:rsid w:val="007E3266"/>
    <w:rsid w:val="00A168D3"/>
    <w:rsid w:val="00A364B9"/>
    <w:rsid w:val="00A650BD"/>
    <w:rsid w:val="00CB30D9"/>
    <w:rsid w:val="00D11736"/>
    <w:rsid w:val="00DA626C"/>
    <w:rsid w:val="00E07A64"/>
    <w:rsid w:val="00F13738"/>
    <w:rsid w:val="013C57CA"/>
    <w:rsid w:val="018541F5"/>
    <w:rsid w:val="019E4ED3"/>
    <w:rsid w:val="02B81FC4"/>
    <w:rsid w:val="02D84414"/>
    <w:rsid w:val="030F42DA"/>
    <w:rsid w:val="031028E9"/>
    <w:rsid w:val="03771E7F"/>
    <w:rsid w:val="04496B83"/>
    <w:rsid w:val="047A026B"/>
    <w:rsid w:val="04943EDE"/>
    <w:rsid w:val="056A6230"/>
    <w:rsid w:val="06361E67"/>
    <w:rsid w:val="06EF599D"/>
    <w:rsid w:val="07B94814"/>
    <w:rsid w:val="07F10A4D"/>
    <w:rsid w:val="081B727D"/>
    <w:rsid w:val="08CC113E"/>
    <w:rsid w:val="09B01C47"/>
    <w:rsid w:val="09B35FA1"/>
    <w:rsid w:val="09F1555A"/>
    <w:rsid w:val="09F15B6D"/>
    <w:rsid w:val="0A3F1AC2"/>
    <w:rsid w:val="0B0C0548"/>
    <w:rsid w:val="0B413304"/>
    <w:rsid w:val="0B6D4294"/>
    <w:rsid w:val="0BD26FB4"/>
    <w:rsid w:val="0BE30309"/>
    <w:rsid w:val="0BED2CDE"/>
    <w:rsid w:val="0C324B95"/>
    <w:rsid w:val="0C3721AC"/>
    <w:rsid w:val="0C3B3CFD"/>
    <w:rsid w:val="0D0F0BA7"/>
    <w:rsid w:val="0D2503E7"/>
    <w:rsid w:val="0D9D0734"/>
    <w:rsid w:val="0DB53CD0"/>
    <w:rsid w:val="0E506F75"/>
    <w:rsid w:val="0E8611C8"/>
    <w:rsid w:val="0EAA0C7A"/>
    <w:rsid w:val="0EF37726"/>
    <w:rsid w:val="0F5848BD"/>
    <w:rsid w:val="0F633E66"/>
    <w:rsid w:val="0FDA1FA5"/>
    <w:rsid w:val="0FE12B5A"/>
    <w:rsid w:val="101A5EF7"/>
    <w:rsid w:val="105E661A"/>
    <w:rsid w:val="112D7194"/>
    <w:rsid w:val="11CE72AB"/>
    <w:rsid w:val="11E71C7F"/>
    <w:rsid w:val="11E86714"/>
    <w:rsid w:val="12AA1929"/>
    <w:rsid w:val="12D13A40"/>
    <w:rsid w:val="130C7B21"/>
    <w:rsid w:val="131907D0"/>
    <w:rsid w:val="139323BD"/>
    <w:rsid w:val="144B471D"/>
    <w:rsid w:val="145E301F"/>
    <w:rsid w:val="159879CD"/>
    <w:rsid w:val="15F3064A"/>
    <w:rsid w:val="16461969"/>
    <w:rsid w:val="17233A58"/>
    <w:rsid w:val="18730A0F"/>
    <w:rsid w:val="188E5849"/>
    <w:rsid w:val="19C022A8"/>
    <w:rsid w:val="1A654E38"/>
    <w:rsid w:val="1A8C5C15"/>
    <w:rsid w:val="1A9A04D5"/>
    <w:rsid w:val="1AA03612"/>
    <w:rsid w:val="1B4B64D7"/>
    <w:rsid w:val="1BF14125"/>
    <w:rsid w:val="1D7B3A90"/>
    <w:rsid w:val="1D8D2573"/>
    <w:rsid w:val="1D9A259A"/>
    <w:rsid w:val="1DE33F41"/>
    <w:rsid w:val="1E7A04A5"/>
    <w:rsid w:val="1E9B6F5E"/>
    <w:rsid w:val="1EDF44F4"/>
    <w:rsid w:val="1EE53CE9"/>
    <w:rsid w:val="1F066139"/>
    <w:rsid w:val="1F1F79EA"/>
    <w:rsid w:val="20CA4E6D"/>
    <w:rsid w:val="21521B0A"/>
    <w:rsid w:val="21A51775"/>
    <w:rsid w:val="22552F34"/>
    <w:rsid w:val="22922731"/>
    <w:rsid w:val="229C1912"/>
    <w:rsid w:val="22AB7ADF"/>
    <w:rsid w:val="230E1A60"/>
    <w:rsid w:val="231E5CA0"/>
    <w:rsid w:val="2344756C"/>
    <w:rsid w:val="23953C04"/>
    <w:rsid w:val="23AD54CD"/>
    <w:rsid w:val="2475476C"/>
    <w:rsid w:val="249B1CD3"/>
    <w:rsid w:val="251C1CC4"/>
    <w:rsid w:val="25726D6F"/>
    <w:rsid w:val="25AF65EC"/>
    <w:rsid w:val="25CA4F57"/>
    <w:rsid w:val="26325F07"/>
    <w:rsid w:val="26722306"/>
    <w:rsid w:val="269C52F7"/>
    <w:rsid w:val="26D406C1"/>
    <w:rsid w:val="27976201"/>
    <w:rsid w:val="279A7D67"/>
    <w:rsid w:val="28705210"/>
    <w:rsid w:val="29671359"/>
    <w:rsid w:val="29673C78"/>
    <w:rsid w:val="29986528"/>
    <w:rsid w:val="2A0400B7"/>
    <w:rsid w:val="2A151926"/>
    <w:rsid w:val="2A1A1ABB"/>
    <w:rsid w:val="2A3404BB"/>
    <w:rsid w:val="2A9878AC"/>
    <w:rsid w:val="2AB70C30"/>
    <w:rsid w:val="2D416019"/>
    <w:rsid w:val="2E3B1AF8"/>
    <w:rsid w:val="2E5A7602"/>
    <w:rsid w:val="2F196302"/>
    <w:rsid w:val="2FF26266"/>
    <w:rsid w:val="31293F09"/>
    <w:rsid w:val="32665168"/>
    <w:rsid w:val="328A6C2A"/>
    <w:rsid w:val="34637732"/>
    <w:rsid w:val="34BF53D2"/>
    <w:rsid w:val="34E55522"/>
    <w:rsid w:val="35450939"/>
    <w:rsid w:val="356E72B8"/>
    <w:rsid w:val="35E705E4"/>
    <w:rsid w:val="3662694C"/>
    <w:rsid w:val="36A93B22"/>
    <w:rsid w:val="36F744C4"/>
    <w:rsid w:val="37906A90"/>
    <w:rsid w:val="37D26FE9"/>
    <w:rsid w:val="37EA2644"/>
    <w:rsid w:val="381355A8"/>
    <w:rsid w:val="38AB0E15"/>
    <w:rsid w:val="39111E53"/>
    <w:rsid w:val="393C068D"/>
    <w:rsid w:val="3971469F"/>
    <w:rsid w:val="39902263"/>
    <w:rsid w:val="399F120C"/>
    <w:rsid w:val="3A0B0650"/>
    <w:rsid w:val="3A992316"/>
    <w:rsid w:val="3B251BE5"/>
    <w:rsid w:val="3B9E022E"/>
    <w:rsid w:val="3BFC64A2"/>
    <w:rsid w:val="3C4767D9"/>
    <w:rsid w:val="3C5C33E5"/>
    <w:rsid w:val="3CBE7BFC"/>
    <w:rsid w:val="3D63486F"/>
    <w:rsid w:val="3D946844"/>
    <w:rsid w:val="3E0E6961"/>
    <w:rsid w:val="3F0A35CC"/>
    <w:rsid w:val="40196395"/>
    <w:rsid w:val="40CA0701"/>
    <w:rsid w:val="40F759FA"/>
    <w:rsid w:val="41382C11"/>
    <w:rsid w:val="418238EE"/>
    <w:rsid w:val="41DF2AEE"/>
    <w:rsid w:val="42955336"/>
    <w:rsid w:val="42A05D7C"/>
    <w:rsid w:val="438356FB"/>
    <w:rsid w:val="43DD3392"/>
    <w:rsid w:val="45266E75"/>
    <w:rsid w:val="45401AF6"/>
    <w:rsid w:val="458A2D71"/>
    <w:rsid w:val="45CA502C"/>
    <w:rsid w:val="45E074DB"/>
    <w:rsid w:val="46216874"/>
    <w:rsid w:val="462A00B0"/>
    <w:rsid w:val="467D4684"/>
    <w:rsid w:val="46921610"/>
    <w:rsid w:val="4758493B"/>
    <w:rsid w:val="475A3BA8"/>
    <w:rsid w:val="477F61D9"/>
    <w:rsid w:val="478E5F15"/>
    <w:rsid w:val="47CB5A57"/>
    <w:rsid w:val="488B4811"/>
    <w:rsid w:val="48BC175E"/>
    <w:rsid w:val="496B1EC3"/>
    <w:rsid w:val="49AA1C33"/>
    <w:rsid w:val="4C0F3FD0"/>
    <w:rsid w:val="4C2260A9"/>
    <w:rsid w:val="4CF15A7B"/>
    <w:rsid w:val="4CF5488A"/>
    <w:rsid w:val="4D2F37DC"/>
    <w:rsid w:val="4D41465D"/>
    <w:rsid w:val="4D535900"/>
    <w:rsid w:val="4D846439"/>
    <w:rsid w:val="4EC866B8"/>
    <w:rsid w:val="4ECA68D4"/>
    <w:rsid w:val="4F005E52"/>
    <w:rsid w:val="4F1D3BF8"/>
    <w:rsid w:val="4FAE6FFF"/>
    <w:rsid w:val="4FE87012"/>
    <w:rsid w:val="5009580A"/>
    <w:rsid w:val="508077C0"/>
    <w:rsid w:val="5095660F"/>
    <w:rsid w:val="513D04A2"/>
    <w:rsid w:val="531C6FD2"/>
    <w:rsid w:val="534B6E60"/>
    <w:rsid w:val="53E21FCA"/>
    <w:rsid w:val="5413586A"/>
    <w:rsid w:val="545B3282"/>
    <w:rsid w:val="54DE4D60"/>
    <w:rsid w:val="554F18E1"/>
    <w:rsid w:val="56703B74"/>
    <w:rsid w:val="56811F6E"/>
    <w:rsid w:val="571921A6"/>
    <w:rsid w:val="572F560E"/>
    <w:rsid w:val="57C567F9"/>
    <w:rsid w:val="58AD08CD"/>
    <w:rsid w:val="5A4667D0"/>
    <w:rsid w:val="5AB42466"/>
    <w:rsid w:val="5B112A20"/>
    <w:rsid w:val="5B631AE3"/>
    <w:rsid w:val="5BEB0232"/>
    <w:rsid w:val="5C281928"/>
    <w:rsid w:val="5CC1517E"/>
    <w:rsid w:val="5D4D2822"/>
    <w:rsid w:val="5DF627A9"/>
    <w:rsid w:val="5E385608"/>
    <w:rsid w:val="5E47584B"/>
    <w:rsid w:val="5EE45CF9"/>
    <w:rsid w:val="5EEE5CC7"/>
    <w:rsid w:val="5FFD1851"/>
    <w:rsid w:val="60231D59"/>
    <w:rsid w:val="60310561"/>
    <w:rsid w:val="604F08B5"/>
    <w:rsid w:val="605129B1"/>
    <w:rsid w:val="605C73D5"/>
    <w:rsid w:val="60EF2978"/>
    <w:rsid w:val="61484CD1"/>
    <w:rsid w:val="6155202D"/>
    <w:rsid w:val="63491BBC"/>
    <w:rsid w:val="636E22E4"/>
    <w:rsid w:val="639C3F43"/>
    <w:rsid w:val="63CF256B"/>
    <w:rsid w:val="64841913"/>
    <w:rsid w:val="65143FAD"/>
    <w:rsid w:val="657A4758"/>
    <w:rsid w:val="66065FEC"/>
    <w:rsid w:val="672A7AB8"/>
    <w:rsid w:val="673F17B5"/>
    <w:rsid w:val="67FC76A6"/>
    <w:rsid w:val="68514E4D"/>
    <w:rsid w:val="68AB69D7"/>
    <w:rsid w:val="68DA4825"/>
    <w:rsid w:val="68E51EE8"/>
    <w:rsid w:val="6A4315BC"/>
    <w:rsid w:val="6A7172B1"/>
    <w:rsid w:val="6A7F45BF"/>
    <w:rsid w:val="6A884B0A"/>
    <w:rsid w:val="6C303270"/>
    <w:rsid w:val="6C7D40F6"/>
    <w:rsid w:val="6CB11C5E"/>
    <w:rsid w:val="6D1C4347"/>
    <w:rsid w:val="6DCF32FD"/>
    <w:rsid w:val="6DEC3D19"/>
    <w:rsid w:val="6ED60994"/>
    <w:rsid w:val="6FA64AAB"/>
    <w:rsid w:val="6FA86DD3"/>
    <w:rsid w:val="70B328CC"/>
    <w:rsid w:val="70C31EEE"/>
    <w:rsid w:val="714D2D21"/>
    <w:rsid w:val="71F37C99"/>
    <w:rsid w:val="72713894"/>
    <w:rsid w:val="72956902"/>
    <w:rsid w:val="72C4360A"/>
    <w:rsid w:val="73AF381F"/>
    <w:rsid w:val="73FB7E0B"/>
    <w:rsid w:val="743279A2"/>
    <w:rsid w:val="74714F78"/>
    <w:rsid w:val="75053C12"/>
    <w:rsid w:val="7561323F"/>
    <w:rsid w:val="759F5B15"/>
    <w:rsid w:val="75A03D67"/>
    <w:rsid w:val="76261D92"/>
    <w:rsid w:val="763338AB"/>
    <w:rsid w:val="77AE2A8A"/>
    <w:rsid w:val="77E66B14"/>
    <w:rsid w:val="78E26444"/>
    <w:rsid w:val="799B610F"/>
    <w:rsid w:val="79E66164"/>
    <w:rsid w:val="7A70724A"/>
    <w:rsid w:val="7B276F1B"/>
    <w:rsid w:val="7B6A2721"/>
    <w:rsid w:val="7C481904"/>
    <w:rsid w:val="7CE908EA"/>
    <w:rsid w:val="7CED2249"/>
    <w:rsid w:val="7D1F4EFA"/>
    <w:rsid w:val="7DA45A61"/>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kern w:val="2"/>
      <w:sz w:val="28"/>
      <w:szCs w:val="28"/>
      <w:lang w:val="en-US" w:eastAsia="zh-CN" w:bidi="ar-SA"/>
    </w:rPr>
  </w:style>
  <w:style w:type="paragraph" w:styleId="2">
    <w:name w:val="heading 1"/>
    <w:basedOn w:val="1"/>
    <w:next w:val="1"/>
    <w:link w:val="19"/>
    <w:qFormat/>
    <w:uiPriority w:val="9"/>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tabs>
        <w:tab w:val="left" w:pos="-1440"/>
      </w:tabs>
      <w:spacing w:line="360" w:lineRule="auto"/>
      <w:ind w:left="176" w:firstLine="200" w:firstLineChars="200"/>
    </w:pPr>
    <w:rPr>
      <w:rFonts w:ascii="仿宋" w:hAnsi="Times New Roman" w:eastAsia="仿宋"/>
      <w:sz w:val="24"/>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99"/>
    <w:pPr>
      <w:ind w:firstLine="420"/>
    </w:p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semiHidden/>
    <w:unhideWhenUsed/>
    <w:qFormat/>
    <w:uiPriority w:val="99"/>
    <w:rPr>
      <w:color w:val="0000FF"/>
      <w:u w:val="single"/>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paragraph" w:customStyle="1" w:styleId="18">
    <w:name w:val="Body text|1"/>
    <w:basedOn w:val="1"/>
    <w:qFormat/>
    <w:uiPriority w:val="0"/>
    <w:pPr>
      <w:widowControl w:val="0"/>
      <w:shd w:val="clear" w:color="auto" w:fill="auto"/>
      <w:spacing w:after="20" w:line="331" w:lineRule="auto"/>
      <w:ind w:firstLine="400"/>
    </w:pPr>
    <w:rPr>
      <w:rFonts w:ascii="宋体" w:hAnsi="宋体" w:eastAsia="宋体" w:cs="宋体"/>
      <w:sz w:val="26"/>
      <w:szCs w:val="26"/>
      <w:u w:val="none"/>
      <w:shd w:val="clear" w:color="auto" w:fill="auto"/>
      <w:lang w:val="zh-TW" w:eastAsia="zh-TW" w:bidi="zh-TW"/>
    </w:rPr>
  </w:style>
  <w:style w:type="character" w:customStyle="1" w:styleId="19">
    <w:name w:val="标题 1 Char"/>
    <w:link w:val="2"/>
    <w:qFormat/>
    <w:uiPriority w:val="9"/>
    <w:rPr>
      <w:rFonts w:hint="eastAsia" w:ascii="宋体" w:hAnsi="宋体" w:eastAsia="宋体" w:cs="宋体"/>
      <w:kern w:val="44"/>
      <w:sz w:val="48"/>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3517</Words>
  <Characters>3788</Characters>
  <Lines>33</Lines>
  <Paragraphs>9</Paragraphs>
  <TotalTime>61</TotalTime>
  <ScaleCrop>false</ScaleCrop>
  <LinksUpToDate>false</LinksUpToDate>
  <CharactersWithSpaces>3828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2023-01-13T05:23:00Z</dcterms:created>
  <dc:creator>l l</dc:creator>
  <cp:lastModifiedBy>聂红军</cp:lastModifiedBy>
  <dcterms:modified xsi:type="dcterms:W3CDTF">2025-03-18T00:11:18Z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11BE6A428AE24E4BA650CE27D4969AE1_13</vt:lpwstr>
  </property>
  <property fmtid="{D5CDD505-2E9C-101B-9397-08002B2CF9AE}" pid="4" name="KSOTemplateDocerSaveRecord">
    <vt:lpwstr>eyJoZGlkIjoiZTUyMWM5NTU3NmQwMzYzZGY2NjUyMjZkNDUzMDVhNDkiLCJ1c2VySWQiOiI0OTM4MTE0ODQifQ==</vt:lpwstr>
  </property>
</Properties>
</file>