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6E28">
      <w:pPr>
        <w:adjustRightInd w:val="0"/>
        <w:snapToGrid w:val="0"/>
        <w:jc w:val="distribute"/>
        <w:rPr>
          <w:rFonts w:hint="eastAsia" w:asciiTheme="majorEastAsia" w:hAnsiTheme="majorEastAsia" w:eastAsiaTheme="majorEastAsia" w:cstheme="majorEastAsia"/>
          <w:b/>
          <w:bCs/>
          <w:color w:val="FF0000"/>
          <w:w w:val="80"/>
          <w:sz w:val="84"/>
          <w:szCs w:val="84"/>
        </w:rPr>
      </w:pPr>
    </w:p>
    <w:p w14:paraId="07D845C6">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3C4BFF64">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14:paraId="23B34105">
      <w:pPr>
        <w:widowControl/>
        <w:jc w:val="center"/>
        <w:rPr>
          <w:rFonts w:hint="eastAsia"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pPr>
      <w:r>
        <w:rPr>
          <w:rFonts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t>关于举办</w:t>
      </w:r>
      <w:r>
        <w:rPr>
          <w:rFonts w:hint="eastAsia"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t>2024版《建设工程工程量清单计价标准》深度解读</w:t>
      </w:r>
      <w:r>
        <w:rPr>
          <w:rFonts w:hint="eastAsia" w:ascii="华文中宋" w:hAnsi="华文中宋" w:eastAsia="华文中宋" w:cs="华文中宋"/>
          <w:b/>
          <w:bCs/>
          <w:color w:val="000000" w:themeColor="text1"/>
          <w:w w:val="90"/>
          <w:kern w:val="0"/>
          <w:sz w:val="32"/>
          <w:szCs w:val="32"/>
          <w:shd w:val="clear" w:color="000000" w:fill="auto"/>
          <w:lang w:eastAsia="zh-CN"/>
          <w14:textFill>
            <w14:solidFill>
              <w14:schemeClr w14:val="tx1"/>
            </w14:solidFill>
          </w14:textFill>
        </w:rPr>
        <w:t>、</w:t>
      </w:r>
      <w:r>
        <w:rPr>
          <w:rFonts w:hint="eastAsia"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t>实务指引</w:t>
      </w:r>
      <w:r>
        <w:rPr>
          <w:rFonts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t>与全过程造价管控、结算审计实务专题培训班的通知</w:t>
      </w:r>
    </w:p>
    <w:p w14:paraId="70B2ED1D">
      <w:pPr>
        <w:pStyle w:val="8"/>
        <w:ind w:firstLine="6400" w:firstLineChars="2500"/>
        <w:rPr>
          <w:rFonts w:hint="default" w:hAnsi="仿宋" w:cs="仿宋"/>
          <w:b w:val="0"/>
          <w:bCs w:val="0"/>
          <w:color w:val="000000" w:themeColor="text1"/>
          <w14:textFill>
            <w14:solidFill>
              <w14:schemeClr w14:val="tx1"/>
            </w14:solidFill>
          </w14:textFill>
        </w:rPr>
      </w:pPr>
      <w:r>
        <w:rPr>
          <w:rFonts w:ascii="宋体" w:hAnsi="宋体" w:eastAsia="宋体" w:cs="宋体"/>
          <w:b w:val="0"/>
          <w:bCs w:val="0"/>
          <w:color w:val="000000" w:themeColor="text1"/>
          <w:spacing w:val="-12"/>
          <w:sz w:val="28"/>
          <w:szCs w:val="28"/>
          <w14:textFill>
            <w14:solidFill>
              <w14:schemeClr w14:val="tx1"/>
            </w14:solidFill>
          </w14:textFill>
        </w:rPr>
        <w:t>国咨协［2025］</w:t>
      </w:r>
      <w:r>
        <w:rPr>
          <w:rFonts w:hint="eastAsia" w:ascii="宋体" w:hAnsi="宋体" w:eastAsia="宋体" w:cs="宋体"/>
          <w:b w:val="0"/>
          <w:bCs w:val="0"/>
          <w:color w:val="000000" w:themeColor="text1"/>
          <w:spacing w:val="-12"/>
          <w:sz w:val="28"/>
          <w:szCs w:val="28"/>
          <w:lang w:val="en-US" w:eastAsia="zh-CN"/>
          <w14:textFill>
            <w14:solidFill>
              <w14:schemeClr w14:val="tx1"/>
            </w14:solidFill>
          </w14:textFill>
        </w:rPr>
        <w:t>05</w:t>
      </w:r>
      <w:r>
        <w:rPr>
          <w:rFonts w:ascii="宋体" w:hAnsi="宋体" w:eastAsia="宋体" w:cs="宋体"/>
          <w:b w:val="0"/>
          <w:bCs w:val="0"/>
          <w:color w:val="000000" w:themeColor="text1"/>
          <w:spacing w:val="-12"/>
          <w:sz w:val="28"/>
          <w:szCs w:val="28"/>
          <w14:textFill>
            <w14:solidFill>
              <w14:schemeClr w14:val="tx1"/>
            </w14:solidFill>
          </w14:textFill>
        </w:rPr>
        <w:t>号</w:t>
      </w:r>
    </w:p>
    <w:p w14:paraId="2DE15949">
      <w:pPr>
        <w:widowControl/>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577D491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为完善工程造价市场化形成机制，进一步统一工程计价规则，住房和城乡建设部于2024年12月30日发布《建设工程工程量清单计价标准》GB/T 50500-2024，自2025年9月1日起实施。新版《建设工程工程量清单计价标准》GB/T 50500-2024（以下简称标准）相比2013版清单计价规范变化大、亮点多、更加贴近行业实际、实务指引强。同时，该标准由强制性标准变为推荐性标准，更突出造价的契约属性，这对有关市场主体造价管控能力提出了更高的要求。</w:t>
      </w:r>
    </w:p>
    <w:p w14:paraId="25C444F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为</w:t>
      </w:r>
      <w:r>
        <w:rPr>
          <w:rFonts w:hint="eastAsia" w:ascii="仿宋" w:hAnsi="仿宋" w:eastAsia="仿宋" w:cs="宋体"/>
          <w:color w:val="000000" w:themeColor="text1"/>
          <w:sz w:val="28"/>
          <w:szCs w:val="28"/>
          <w:lang w:val="en-US" w:eastAsia="zh-CN"/>
          <w14:textFill>
            <w14:solidFill>
              <w14:schemeClr w14:val="tx1"/>
            </w14:solidFill>
          </w14:textFill>
        </w:rPr>
        <w:t>帮助有关单位</w:t>
      </w:r>
      <w:r>
        <w:rPr>
          <w:rFonts w:hint="eastAsia" w:ascii="仿宋" w:hAnsi="仿宋" w:eastAsia="仿宋" w:cs="宋体"/>
          <w:color w:val="000000" w:themeColor="text1"/>
          <w:sz w:val="28"/>
          <w:szCs w:val="28"/>
          <w14:textFill>
            <w14:solidFill>
              <w14:schemeClr w14:val="tx1"/>
            </w14:solidFill>
          </w14:textFill>
        </w:rPr>
        <w:t>准确、深刻把握《2024版工程量清单计价标准》内涵及实质，理清新时期造价管理变革的底层逻辑，解决新时期造价管理实践中的具体问题，灵活运用解决实践中的疑难点，积极能动应对未来造价市场变化，切实提高全过程造价管控水平，提高项目投资效益和企业利润率。为造价管理激活新质生产力、赋能企业高质量发展，</w:t>
      </w:r>
      <w:r>
        <w:rPr>
          <w:rFonts w:hint="eastAsia" w:ascii="仿宋" w:hAnsi="仿宋" w:eastAsia="仿宋"/>
          <w:color w:val="000000" w:themeColor="text1"/>
          <w:sz w:val="28"/>
          <w:szCs w:val="28"/>
          <w14:textFill>
            <w14:solidFill>
              <w14:schemeClr w14:val="tx1"/>
            </w14:solidFill>
          </w14:textFill>
        </w:rPr>
        <w:t>我会决定举</w:t>
      </w:r>
      <w:r>
        <w:rPr>
          <w:rFonts w:hint="eastAsia" w:ascii="仿宋" w:hAnsi="仿宋" w:eastAsia="仿宋" w:cs="宋体"/>
          <w:color w:val="000000" w:themeColor="text1"/>
          <w:sz w:val="28"/>
          <w:szCs w:val="28"/>
          <w14:textFill>
            <w14:solidFill>
              <w14:schemeClr w14:val="tx1"/>
            </w14:solidFill>
          </w14:textFill>
        </w:rPr>
        <w:t>办“2024版《建设工程工程量清单计价标准》深度解读</w:t>
      </w:r>
      <w:r>
        <w:rPr>
          <w:rFonts w:hint="eastAsia" w:ascii="仿宋" w:hAnsi="仿宋" w:eastAsia="仿宋" w:cs="宋体"/>
          <w:color w:val="000000" w:themeColor="text1"/>
          <w:sz w:val="28"/>
          <w:szCs w:val="28"/>
          <w:lang w:eastAsia="zh-CN"/>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实务指引与全过程造价管控、结算审计实务专题培训班”。本次培训班由中国国际工程咨询协会主办，</w:t>
      </w:r>
      <w:r>
        <w:rPr>
          <w:rFonts w:hint="eastAsia" w:ascii="仿宋" w:hAnsi="仿宋" w:eastAsia="仿宋" w:cs="宋体"/>
          <w:color w:val="000000" w:themeColor="text1"/>
          <w:sz w:val="28"/>
          <w:szCs w:val="28"/>
          <w:lang w:val="en-US" w:eastAsia="zh-CN"/>
          <w14:textFill>
            <w14:solidFill>
              <w14:schemeClr w14:val="tx1"/>
            </w14:solidFill>
          </w14:textFill>
        </w:rPr>
        <w:t>北京中建科信科技服务有限公司</w:t>
      </w:r>
      <w:r>
        <w:rPr>
          <w:rFonts w:hint="eastAsia" w:ascii="仿宋" w:hAnsi="仿宋" w:eastAsia="仿宋" w:cs="宋体"/>
          <w:color w:val="000000" w:themeColor="text1"/>
          <w:sz w:val="28"/>
          <w:szCs w:val="28"/>
          <w14:textFill>
            <w14:solidFill>
              <w14:schemeClr w14:val="tx1"/>
            </w14:solidFill>
          </w14:textFill>
        </w:rPr>
        <w:t>具体承办，请各单位积极组织相关人员参加。</w:t>
      </w:r>
    </w:p>
    <w:p w14:paraId="1F837AA2">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一、培训内容</w:t>
      </w:r>
    </w:p>
    <w:p w14:paraId="30FE58DD">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（一）2024版《建设工程工程量清单计价标准》核心内容解析</w:t>
      </w:r>
    </w:p>
    <w:p w14:paraId="7385FBC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1.工程量清单编制要求项目清单列项明确、边界清晰、增加清标内容； </w:t>
      </w:r>
    </w:p>
    <w:p w14:paraId="75576959">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2.计价方式修改为单价计价、总价计价、费率计价；</w:t>
      </w:r>
    </w:p>
    <w:p w14:paraId="222B07D5">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3.综合单价的构成改变、综合单价分析表新要求； </w:t>
      </w:r>
    </w:p>
    <w:p w14:paraId="3F6BCD49">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4.清单的完整性及准确性责任划分； </w:t>
      </w:r>
    </w:p>
    <w:p w14:paraId="32A609B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5.措施项目清单计价范围、计价风险划分； </w:t>
      </w:r>
    </w:p>
    <w:p w14:paraId="6684A425">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6.施工深化设计导致深化图纸与合同图纸存在差异的处理； </w:t>
      </w:r>
    </w:p>
    <w:p w14:paraId="5F53BCC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7.招标文件与中标人投标文件不一致的认定处理 ；</w:t>
      </w:r>
    </w:p>
    <w:p w14:paraId="06E61D6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8.总价合同、单价合同适用原则  ；</w:t>
      </w:r>
    </w:p>
    <w:p w14:paraId="211A31F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9.投标人在投标时，其导致的相关费用的处理原则；</w:t>
      </w:r>
    </w:p>
    <w:p w14:paraId="737E8C4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10.甲供材费用计取和工程量清单缺陷责任承担问题  ；</w:t>
      </w:r>
    </w:p>
    <w:p w14:paraId="43F6AB06">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11.清单项目按项计量编制的表示方法 ；</w:t>
      </w:r>
    </w:p>
    <w:p w14:paraId="5318F80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12.发包人提供材料或暂定材料价格的清单项目编制规定 ；</w:t>
      </w:r>
    </w:p>
    <w:p w14:paraId="6AD6E5B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13.最高投标限价编制依据的要求； </w:t>
      </w:r>
    </w:p>
    <w:p w14:paraId="2F906B7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14.最高投标限价清单项目价格依据近期完成的同类工程施工图预算、设计概算、成本估算编制的要求 ；</w:t>
      </w:r>
    </w:p>
    <w:p w14:paraId="23082F65">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15.投标报价应依据投标人的工程实施方案及投标工期编制； </w:t>
      </w:r>
    </w:p>
    <w:p w14:paraId="37DA3BE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16.发包人提供材料的材料费不计入综合单价报价，也不计入投标总价； </w:t>
      </w:r>
    </w:p>
    <w:p w14:paraId="536DB3A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17.工程变更计量规定、计日工计量规定、返工工程计量规定、新增工程计量规定 ；</w:t>
      </w:r>
    </w:p>
    <w:p w14:paraId="189B41F4">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18.工程量清单缺陷规定、变更估价原则；</w:t>
      </w:r>
    </w:p>
    <w:p w14:paraId="5949DFF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19.施工过程结算新规定，新增施工过程结算内容，过程结算支付比例不宜低于90% ；</w:t>
      </w:r>
    </w:p>
    <w:p w14:paraId="6CBAAB6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20.施工过程结算编制依据、工程索赔新要求； </w:t>
      </w:r>
    </w:p>
    <w:p w14:paraId="1F813CA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21.部分工程量清单项目的项目特征修改； </w:t>
      </w:r>
    </w:p>
    <w:p w14:paraId="4CCFCF4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22.部分工程量清单项目的计量单位和计算规则修订； </w:t>
      </w:r>
    </w:p>
    <w:p w14:paraId="7E85BA09">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23.部分工程量清单项目的工作内容修改； </w:t>
      </w:r>
    </w:p>
    <w:p w14:paraId="584186F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24.拆除工程及被淘汰施工工艺的工程量清单项目删除与部分与现行设计、施工工艺相对应的清单项目增加； </w:t>
      </w:r>
    </w:p>
    <w:p w14:paraId="73EF919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25.措施项目的计算规则修订,模板工程列人分部分项工程量清单计算,其他措施项目按项计算。</w:t>
      </w:r>
    </w:p>
    <w:p w14:paraId="3E431729">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（二）建设项目招投标造价问题</w:t>
      </w:r>
    </w:p>
    <w:p w14:paraId="669CCEF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1.是否将不平衡报价部分合理调整计入？</w:t>
      </w:r>
    </w:p>
    <w:p w14:paraId="1EA5621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2.投标和实际施工方式不一致是否合理要求重新组价？</w:t>
      </w:r>
    </w:p>
    <w:p w14:paraId="43FEF99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3.如何处理招标文件中技术参数要求与实际情况不符的情况？</w:t>
      </w:r>
    </w:p>
    <w:p w14:paraId="4D99DB6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4.考虑到招标限价较低而市场价较高，是否可以重新组价？</w:t>
      </w:r>
    </w:p>
    <w:p w14:paraId="34A0D71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5.如何处理中标后发包人不能接受招标人或招标人委派的监理工程师调整施工组织设计并获得额外支付的情况？</w:t>
      </w:r>
    </w:p>
    <w:p w14:paraId="3CB92776">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6.建设单位要求承包人公开招标，但承包人希望进行邀请招标，如何妥善处理？</w:t>
      </w:r>
    </w:p>
    <w:p w14:paraId="503598E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7.总包合同规定承包人自行复核勘察资料的准确性和完整性，并承担风险，应如何应对？</w:t>
      </w:r>
    </w:p>
    <w:p w14:paraId="448C2851">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8.如何确定材料调价差和调差工程量？价格调整方式是什么？ </w:t>
      </w:r>
    </w:p>
    <w:p w14:paraId="0FA45BF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9.如何处理工程量清单中的错误项和遗漏项？</w:t>
      </w:r>
    </w:p>
    <w:p w14:paraId="32C0AF04">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10.招标材料中没有品牌要求，但后期甲方指定了品牌，如何进行调整？</w:t>
      </w:r>
    </w:p>
    <w:p w14:paraId="3515DA7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11.招标策划存在错误，需要调减项目实施内容，应如何处理？</w:t>
      </w:r>
    </w:p>
    <w:p w14:paraId="6EB9B86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12.招标清单中按项计取的措施项是否可以根据实际情况结算？</w:t>
      </w:r>
    </w:p>
    <w:p w14:paraId="319C581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13.招标清单中的措施项没有清单量，如何进行结算？</w:t>
      </w:r>
    </w:p>
    <w:p w14:paraId="3FFA47E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14.如何处理多次招标中暂估价材料的中标价格差异？</w:t>
      </w:r>
    </w:p>
    <w:p w14:paraId="264F4D4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15.如何处理要求投标人在现场踏勘后自行考虑的费用？</w:t>
      </w:r>
    </w:p>
    <w:p w14:paraId="2D8FAC9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16.如何处理人工消耗量不平衡的报价？</w:t>
      </w:r>
    </w:p>
    <w:p w14:paraId="590B9439">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17.在甲方供材扣除中，是否应该考虑损耗量？</w:t>
      </w:r>
    </w:p>
    <w:p w14:paraId="1670649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18.在不可抗力事件发生时，如何进行补偿？</w:t>
      </w:r>
    </w:p>
    <w:p w14:paraId="464D887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19.不可预见的相关费用和风险，如何处理？</w:t>
      </w:r>
    </w:p>
    <w:p w14:paraId="51221DE8">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sz w:val="28"/>
          <w:szCs w:val="28"/>
        </w:rPr>
      </w:pPr>
      <w:r>
        <w:rPr>
          <w:rFonts w:hint="eastAsia" w:ascii="仿宋" w:hAnsi="仿宋" w:eastAsia="仿宋" w:cs="宋体"/>
          <w:b/>
          <w:bCs/>
          <w:sz w:val="28"/>
          <w:szCs w:val="28"/>
        </w:rPr>
        <w:t>（三）合同签订造价问题</w:t>
      </w:r>
    </w:p>
    <w:p w14:paraId="798A5F21">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1.漏项的专业工程暂估价费用由哪一方承担？</w:t>
      </w:r>
    </w:p>
    <w:p w14:paraId="70B1DC7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2.如何处理招标文件规定中招标人不对限额清单准确性负责的情况，以及中标人承担的风险？</w:t>
      </w:r>
    </w:p>
    <w:p w14:paraId="55C480B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3.如何计算误工时间和停窝工损失？</w:t>
      </w:r>
    </w:p>
    <w:p w14:paraId="0F7822D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4.如何主张损失索赔，以工作内容理解的偏差、工料消耗量水平的确定、生产要素市场价格的判断和取费决策等为理由？</w:t>
      </w:r>
    </w:p>
    <w:p w14:paraId="7DCAA341">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5.如何应对材料价格和现场管理费严重偏高的情况？</w:t>
      </w:r>
    </w:p>
    <w:p w14:paraId="23A523B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6.总价合同中如何考虑索赔范围？</w:t>
      </w:r>
    </w:p>
    <w:p w14:paraId="4FD5823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7.承包人在索赔管理费用时，需要提供哪些依据来支撑费用核定？</w:t>
      </w:r>
    </w:p>
    <w:p w14:paraId="7B6CE9D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8.如何处理二次深化设计费用？</w:t>
      </w:r>
    </w:p>
    <w:p w14:paraId="2D121EF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9.风险范围是否包括设计变更？</w:t>
      </w:r>
    </w:p>
    <w:p w14:paraId="4D0C914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10.单方提出因工程质量问题而扣减工程量的做法是否合理？</w:t>
      </w:r>
    </w:p>
    <w:p w14:paraId="748649BE">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11.在单价合同中，如何调整按项包干的措施费用？</w:t>
      </w:r>
    </w:p>
    <w:p w14:paraId="12217869">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12.单价项目按总价处理是否属于清单计价方式的错误，能否根据实际情况进行调整？</w:t>
      </w:r>
    </w:p>
    <w:p w14:paraId="7CBBD6C1">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13.当地勘报告出现错误时，如何调整清单项目的特征？</w:t>
      </w:r>
    </w:p>
    <w:p w14:paraId="055A6059">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14.当隐蔽验收资料与施工图不一致时，能否根据实际情况进行调整？</w:t>
      </w:r>
    </w:p>
    <w:p w14:paraId="2EA95AC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15.在增建工程尚未签订合同的情况下，双方口头约定计价依据参照原合同，如何处理？</w:t>
      </w:r>
    </w:p>
    <w:p w14:paraId="5E3B334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16.能否调整事后确定的品牌，即使招标文件中未约定？</w:t>
      </w:r>
    </w:p>
    <w:p w14:paraId="69C45C2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17.如何调整投标价格，当招标清单没有品牌要求但后来甲方指定了品牌？</w:t>
      </w:r>
    </w:p>
    <w:p w14:paraId="5A3DCCE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18.招标文件中给定的为0元项，能否根据实际施工结算进行调整？</w:t>
      </w:r>
    </w:p>
    <w:p w14:paraId="2EF876E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19.措施费的计量单位为项，能否按实际情况进行结算？</w:t>
      </w:r>
    </w:p>
    <w:p w14:paraId="4EE80EF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20.如何处理增加部分工程的价款，以避免违规？</w:t>
      </w:r>
    </w:p>
    <w:p w14:paraId="047F8EA4">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sz w:val="28"/>
          <w:szCs w:val="28"/>
        </w:rPr>
      </w:pPr>
      <w:r>
        <w:rPr>
          <w:rFonts w:hint="eastAsia" w:ascii="仿宋" w:hAnsi="仿宋" w:eastAsia="仿宋" w:cs="宋体"/>
          <w:b/>
          <w:bCs/>
          <w:sz w:val="28"/>
          <w:szCs w:val="28"/>
        </w:rPr>
        <w:t>（四）履约造价问题</w:t>
      </w:r>
    </w:p>
    <w:p w14:paraId="6008D39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1.以合同签订内容还是文件规定的执行日期为准？</w:t>
      </w:r>
    </w:p>
    <w:p w14:paraId="52763F6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2.补充协议对已完工的工程是否具有约束力？</w:t>
      </w:r>
    </w:p>
    <w:p w14:paraId="008549F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3.如何处理施工合同文件内容不一致的情况？</w:t>
      </w:r>
    </w:p>
    <w:p w14:paraId="2AD31C2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4.在固定总价合同中，若地勘报告超出预期导致施工费用增加，应该如何处理？</w:t>
      </w:r>
    </w:p>
    <w:p w14:paraId="5B9B82D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5.在合同解除后，工程造价应以固定总价为参照还是适用工程所在地的定额计价？</w:t>
      </w:r>
    </w:p>
    <w:p w14:paraId="388693B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6.如何确定变更单价？是否受15%的约束？</w:t>
      </w:r>
    </w:p>
    <w:p w14:paraId="50B4CA7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7.如果合同清单包干的措施费没有发生，将如何处理？</w:t>
      </w:r>
    </w:p>
    <w:p w14:paraId="4D7DE9D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8.如果合同约定设计变更，但措施费不会调整，将如何结算？</w:t>
      </w:r>
    </w:p>
    <w:p w14:paraId="14A36F2E">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9.如果合同约定总价包干，但没有招标清单，将如何应对？</w:t>
      </w:r>
    </w:p>
    <w:p w14:paraId="3ED9836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10.如果由于甲方原因停工，乙方能获得什么样的赔偿？临建措施索赔的依据是什么？</w:t>
      </w:r>
    </w:p>
    <w:p w14:paraId="32B167E5">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11.在甲方供材的结算中，能否扣减投标报价中的辅助材料费？</w:t>
      </w:r>
    </w:p>
    <w:p w14:paraId="5431AB7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12.对于固定总价合同，是否可以将后补充协议改为暂定价，金额与固定总价合同一致，并且结算审核可以全部按可调单价进行？</w:t>
      </w:r>
    </w:p>
    <w:p w14:paraId="08DF5F84">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13.对于合价包干的加固费用，是否可以按实际完成的工作进行结算？</w:t>
      </w:r>
    </w:p>
    <w:p w14:paraId="430E0B16">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14.在合同范围内，如果措施项目漏项，是否可以自行增加报价？</w:t>
      </w:r>
    </w:p>
    <w:p w14:paraId="2EB65595">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15.如果合同解除，如塔吊退场、劳务退场、分包退场以及材料设备采购合同解约等情况，应该如何处理？对于定制加工但尚未交货的材料和钢结构，应该采取何种措施？</w:t>
      </w:r>
    </w:p>
    <w:p w14:paraId="788A04E6">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16.如果工程已经验收合格，但实际做法与原设计有偏差，是否可以执行原投标单价？</w:t>
      </w:r>
    </w:p>
    <w:p w14:paraId="0D3FA92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17.结算单价是否应该在招标控制价的120%之内，是否合理？</w:t>
      </w:r>
    </w:p>
    <w:p w14:paraId="6AD16CC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18.在低价中标部分发生变更时，如何进行组价？</w:t>
      </w:r>
    </w:p>
    <w:p w14:paraId="525DBBF0">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sz w:val="28"/>
          <w:szCs w:val="28"/>
        </w:rPr>
      </w:pPr>
      <w:r>
        <w:rPr>
          <w:rFonts w:hint="eastAsia" w:ascii="仿宋" w:hAnsi="仿宋" w:eastAsia="仿宋" w:cs="宋体"/>
          <w:b/>
          <w:bCs/>
          <w:sz w:val="28"/>
          <w:szCs w:val="28"/>
        </w:rPr>
        <w:t>（五）结算造价问题</w:t>
      </w:r>
    </w:p>
    <w:p w14:paraId="5BDF860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1.如果固定总价合同尚未完成，如何进行结算？</w:t>
      </w:r>
    </w:p>
    <w:p w14:paraId="1B269C4E">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2.如何处理结算审核中发现的漏报项？</w:t>
      </w:r>
    </w:p>
    <w:p w14:paraId="0F31DDD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3.是否可以根据乙方提供的发票审减进行结算审核？</w:t>
      </w:r>
    </w:p>
    <w:p w14:paraId="0F578D2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4.在结算审核过程中，是否需要重新计算和核对原有图纸中的工程量？</w:t>
      </w:r>
    </w:p>
    <w:p w14:paraId="35643AF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5.结算书只有造价咨询企业的公章，没有造价人员签字和盖职业印章，是否有效？</w:t>
      </w:r>
    </w:p>
    <w:p w14:paraId="5DC4B98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6.解除协议后，如何结算产生的大量租赁费和管理费？是否可以按照竣工图进行结算？</w:t>
      </w:r>
    </w:p>
    <w:p w14:paraId="4A73F19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7.据实结算是按照实际人工费和机械费做书面签证，还是按照信息价进行调整？</w:t>
      </w:r>
    </w:p>
    <w:p w14:paraId="75DB635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8.在竣工资料交给当地档案馆时，由谁承担归档整理、图纸扫描等费用？</w:t>
      </w:r>
    </w:p>
    <w:p w14:paraId="2FF8D92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9.如何处理受征地影响的施工降效费用？</w:t>
      </w:r>
    </w:p>
    <w:p w14:paraId="4D6A6C8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10.在签订《结算协议》后，是否还可以要求支付逾期竣工违约金？</w:t>
      </w:r>
    </w:p>
    <w:p w14:paraId="791251D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11.如果项目的价格高于预算，应该如何进行结算？</w:t>
      </w:r>
    </w:p>
    <w:p w14:paraId="6E972961">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12.如果建设方未补充增建工程的招投标手续，直接将其视为合同中的增项，这样做是否合法？</w:t>
      </w:r>
    </w:p>
    <w:p w14:paraId="1841E32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13.如果没有详细的招投标清单，如何进行结算？</w:t>
      </w:r>
    </w:p>
    <w:p w14:paraId="418F7CC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14.如果项目缺乏明确的特征和计量单位，在投标时只报了一个总费用，如何进行结算？</w:t>
      </w:r>
    </w:p>
    <w:p w14:paraId="6093A33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15.如果人工费的市场价与定额价存在差额，应该如何处理这种情况？</w:t>
      </w:r>
    </w:p>
    <w:p w14:paraId="14EEF43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16.如果增建合同约定以定额为依据，咨询方能否审减单价？如果可以采用原合同，如何确定单价？</w:t>
      </w:r>
    </w:p>
    <w:p w14:paraId="70DB28F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17.如何合理合法地结算施工组织措施费？</w:t>
      </w:r>
    </w:p>
    <w:p w14:paraId="5C82E1C5">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18.当市场材料和人工涨价时，如果暂定合同价低于实际单方造价，应该如何进行结算？</w:t>
      </w:r>
    </w:p>
    <w:p w14:paraId="4F3350C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19.当图纸设计发生变更时，场内道路和交通设施费用应如何调整？</w:t>
      </w:r>
    </w:p>
    <w:p w14:paraId="2C06EEC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20.在合同没有约定的情况下，如果图纸设计深度不够，新增的措施费应该按实际计算还是按投标费率计取？</w:t>
      </w:r>
    </w:p>
    <w:p w14:paraId="1D0093E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21.当施工场地狭小、临近居民房并且周边居民阻工时，费用应如何处理？</w:t>
      </w:r>
    </w:p>
    <w:p w14:paraId="0F0FEF05">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22.如果施工单位因不可抗力导致工程机械设备以及前期施工效果全部毁损，如何向建设单位要求支付已施工工程及设备损坏的费用？永久工程的范围包括哪些？</w:t>
      </w:r>
    </w:p>
    <w:p w14:paraId="3EBE2A4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b/>
          <w:bCs/>
          <w:sz w:val="28"/>
          <w:szCs w:val="28"/>
        </w:rPr>
      </w:pPr>
      <w:r>
        <w:rPr>
          <w:rFonts w:hint="eastAsia" w:ascii="仿宋" w:hAnsi="仿宋" w:eastAsia="仿宋" w:cs="宋体"/>
          <w:sz w:val="28"/>
          <w:szCs w:val="28"/>
        </w:rPr>
        <w:t>23.当双方对材料数量的计算标准发生重大误解时，应该如何处理？</w:t>
      </w:r>
    </w:p>
    <w:p w14:paraId="4FC761A9">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sz w:val="28"/>
          <w:szCs w:val="28"/>
        </w:rPr>
      </w:pPr>
      <w:r>
        <w:rPr>
          <w:rFonts w:hint="eastAsia" w:ascii="仿宋" w:hAnsi="仿宋" w:eastAsia="仿宋" w:cs="宋体"/>
          <w:b/>
          <w:bCs/>
          <w:sz w:val="28"/>
          <w:szCs w:val="28"/>
        </w:rPr>
        <w:t>（六）财政评审疑难问题</w:t>
      </w:r>
    </w:p>
    <w:p w14:paraId="1FC19956">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1.如何考虑钢板桩租赁和摊销费用？</w:t>
      </w:r>
    </w:p>
    <w:p w14:paraId="2F8B0ED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2.静载试验和钻芯取样检测费用由哪方负责承担？</w:t>
      </w:r>
    </w:p>
    <w:p w14:paraId="651F28A4">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3.如何确定变更方案是否合理或过度变更？</w:t>
      </w:r>
    </w:p>
    <w:p w14:paraId="3D435E61">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4.是否合理以当地信息价提供的指标参考为依据来确定临时设施费？</w:t>
      </w:r>
    </w:p>
    <w:p w14:paraId="182F2AA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5.是否可以根据实际情况调整按项包干的措施费？</w:t>
      </w:r>
    </w:p>
    <w:p w14:paraId="77F7FB89">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6.施工方如何去举证赶工费?</w:t>
      </w:r>
    </w:p>
    <w:p w14:paraId="7065AB95">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7.招标控制价中的材料价格问题？</w:t>
      </w:r>
    </w:p>
    <w:p w14:paraId="7485BE0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8.材料价差比较大已经超过了暂列金额，如何处理？</w:t>
      </w:r>
    </w:p>
    <w:p w14:paraId="629AB1E4">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9.暂列金额与材料调差的关系？</w:t>
      </w:r>
    </w:p>
    <w:p w14:paraId="580F9D8D">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10.暂估价专业工程的招标费用问题？</w:t>
      </w:r>
    </w:p>
    <w:p w14:paraId="338099C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11.专业工程暂估价招标，合同约定由承包人作为招标人，与组织招标工作有关的费用，应该列在签约合同价中的哪里?</w:t>
      </w:r>
    </w:p>
    <w:p w14:paraId="77990DA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12.施工单位延期了，建设单位出了说明，不追究施工方延期责任，建设单位出的说明算不算违背了合同的实质性内容?若判定为违背了合同实质性内容，作为第三方审计单位，该如何处理?</w:t>
      </w:r>
    </w:p>
    <w:p w14:paraId="061F4B29">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13.甲供材的工程量计算规则？</w:t>
      </w:r>
    </w:p>
    <w:p w14:paraId="3D605D0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14.“甲供材”领料量和按计价规范计算的工程量不一致问题？</w:t>
      </w:r>
    </w:p>
    <w:p w14:paraId="77BB8E74">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15.“甲供材”领料量(甲乙双方有签认)，和按计价规范计算的工程量，偏差较大时，可否直接采用领料量(实际用量)，作为结算工程量?</w:t>
      </w:r>
    </w:p>
    <w:p w14:paraId="2E93CD0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16.甲乙双方约定的包干价是否有效?审计方要求提供包干价内事项的签证，是否合规?若双方约定的包干价无效，该如何进行结算?</w:t>
      </w:r>
    </w:p>
    <w:p w14:paraId="41815EA9">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17.合同约定与组织招标工作有关的费用由承包人承担，招标清单中没有列出该项目，如何处理？</w:t>
      </w:r>
    </w:p>
    <w:p w14:paraId="18151A8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18.中标后合同约定将暂估价项目按照总价包干计价，是否可行？</w:t>
      </w:r>
    </w:p>
    <w:p w14:paraId="60710F0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19.项目延期是否有法定依据?</w:t>
      </w:r>
    </w:p>
    <w:p w14:paraId="4476A80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20.政策性调整与人工费调整文件带来的影响？</w:t>
      </w:r>
    </w:p>
    <w:p w14:paraId="0D636679">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sz w:val="28"/>
          <w:szCs w:val="28"/>
        </w:rPr>
      </w:pPr>
      <w:r>
        <w:rPr>
          <w:rFonts w:hint="eastAsia" w:ascii="仿宋" w:hAnsi="仿宋" w:eastAsia="仿宋" w:cs="宋体"/>
          <w:b/>
          <w:bCs/>
          <w:sz w:val="28"/>
          <w:szCs w:val="28"/>
        </w:rPr>
        <w:t>（七）结算审计疑难问题</w:t>
      </w:r>
    </w:p>
    <w:p w14:paraId="3B6F0F3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1.在投标时已经报的取费标准，是否可以进行审计调整？</w:t>
      </w:r>
    </w:p>
    <w:p w14:paraId="1949918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2.当报价不平衡时，是否可以要求审计重新组价？</w:t>
      </w:r>
    </w:p>
    <w:p w14:paraId="53435C8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3.当已经过监理和建设单位签字确认的签证单，但审计方认为工程量虚大时，应如何进行结算？</w:t>
      </w:r>
    </w:p>
    <w:p w14:paraId="23C44F14">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4.隐蔽性工程已完成验收，审计方是否可以进行破坏性试验并扣减费用？</w:t>
      </w:r>
    </w:p>
    <w:p w14:paraId="2081FE4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5.尽管施工许可证未办理，施工方已经进行了一些前期工作，是否可以争取降效费？</w:t>
      </w:r>
    </w:p>
    <w:p w14:paraId="3E9CA4AE">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6.对于未列入暂估价的专业工程，乙方报价是否超过市场价，甲方是否有权干涉价格？</w:t>
      </w:r>
    </w:p>
    <w:p w14:paraId="729629DE">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7.未形成工程实体的措施项目，是否可以按照漏项处理？</w:t>
      </w:r>
    </w:p>
    <w:p w14:paraId="44A303E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8.对于亏损严重的土方开挖及外运工程，是否可以进行调整？</w:t>
      </w:r>
    </w:p>
    <w:p w14:paraId="13B763C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9.未按照国家现行计量规范强制性规定计量的费用，应如何处理？</w:t>
      </w:r>
    </w:p>
    <w:p w14:paraId="4119B9E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10.第三方清标后提出的价格是否可以作为结算依据？</w:t>
      </w:r>
    </w:p>
    <w:p w14:paraId="72B5681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11.审计方是否可以修改预算单价和合同总价，是否违反了合同？</w:t>
      </w:r>
    </w:p>
    <w:p w14:paraId="0E4436D3">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12.现场实际发生的费用如果没有经过财评认定，是否可以进行结算？</w:t>
      </w:r>
    </w:p>
    <w:p w14:paraId="35985BB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13.在政府投资项目财政评审范围之外的货物、设备、软件的总包采购价格如何确定？</w:t>
      </w:r>
    </w:p>
    <w:p w14:paraId="4450F221">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14.当清单项目具有相同特征但报价不同的情况下，如何处理？</w:t>
      </w:r>
    </w:p>
    <w:p w14:paraId="24EB911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15.如何应对清单与图纸不一致的情况？</w:t>
      </w:r>
    </w:p>
    <w:p w14:paraId="557FF6D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16.对于没有项目特征和具体方案的措施项目，是否可以根据实际发生情况进行调整？</w:t>
      </w:r>
    </w:p>
    <w:p w14:paraId="56272FF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17.当信息价偏高时，是否可以根据市场价格进行审定？</w:t>
      </w:r>
    </w:p>
    <w:p w14:paraId="5B2E2846">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18.当施工补充协议与备案的施工合同不一致时，如何进行结算？</w:t>
      </w:r>
    </w:p>
    <w:p w14:paraId="5064EA0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19.当施工合同与中标合同约定的工程价款不一致时，是否构成黑白合同？</w:t>
      </w:r>
    </w:p>
    <w:p w14:paraId="5C6F25B0">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20.当图纸量少于招标量时，是按总价合同结算还是按实际完成的图纸结算？</w:t>
      </w:r>
    </w:p>
    <w:p w14:paraId="77BD9EC3">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二、培训对象</w:t>
      </w:r>
    </w:p>
    <w:p w14:paraId="264B6C1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建设行政主管部门、工程建设企业（工程承包、建筑施工、勘察设计、房地产开发、工程项目管理、工程监理、工程咨询、招标办、公共资源交易中心、工程交易中心、投资项目评审中心、工程造价、招标代理等）总经理、总造价顾问、法务总监、总工程师、项目管理、市场开发、商务谈判、招标投标、合同管理、成本管理等中高级管理人员以及业务相关的直线经理人等。</w:t>
      </w:r>
    </w:p>
    <w:p w14:paraId="603ABD88">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kern w:val="0"/>
          <w:sz w:val="28"/>
          <w:szCs w:val="28"/>
        </w:rPr>
      </w:pPr>
      <w:r>
        <w:rPr>
          <w:rFonts w:hint="eastAsia" w:ascii="仿宋" w:hAnsi="仿宋" w:eastAsia="仿宋" w:cs="宋体"/>
          <w:b/>
          <w:bCs/>
          <w:kern w:val="0"/>
          <w:sz w:val="28"/>
          <w:szCs w:val="28"/>
        </w:rPr>
        <w:t>三、邀请专家</w:t>
      </w:r>
    </w:p>
    <w:p w14:paraId="1D055116">
      <w:pPr>
        <w:keepNext w:val="0"/>
        <w:keepLines w:val="0"/>
        <w:pageBreakBefore w:val="0"/>
        <w:widowControl/>
        <w:kinsoku/>
        <w:wordWrap/>
        <w:overflowPunct/>
        <w:topLinePunct w:val="0"/>
        <w:bidi w:val="0"/>
        <w:snapToGrid/>
        <w:spacing w:line="420" w:lineRule="exact"/>
        <w:ind w:firstLine="562" w:firstLineChars="200"/>
        <w:jc w:val="left"/>
        <w:textAlignment w:val="auto"/>
        <w:rPr>
          <w:rFonts w:hint="eastAsia" w:ascii="仿宋" w:hAnsi="仿宋" w:eastAsia="仿宋" w:cs="仿宋"/>
          <w:color w:val="000000"/>
          <w:spacing w:val="10"/>
          <w:sz w:val="28"/>
          <w:szCs w:val="28"/>
          <w:lang w:eastAsia="zh-CN"/>
        </w:rPr>
      </w:pPr>
      <w:r>
        <w:rPr>
          <w:rFonts w:hint="eastAsia" w:ascii="仿宋" w:hAnsi="仿宋" w:eastAsia="仿宋" w:cs="宋体"/>
          <w:b/>
          <w:bCs/>
          <w:kern w:val="0"/>
          <w:sz w:val="28"/>
          <w:szCs w:val="28"/>
        </w:rPr>
        <w:t>贾宏俊：</w:t>
      </w:r>
      <w:r>
        <w:rPr>
          <w:rFonts w:hint="eastAsia" w:ascii="仿宋" w:hAnsi="仿宋" w:eastAsia="仿宋" w:cs="仿宋"/>
          <w:color w:val="000000"/>
          <w:spacing w:val="10"/>
          <w:sz w:val="28"/>
          <w:szCs w:val="28"/>
        </w:rPr>
        <w:t>新版《建设工程工程量清单计价标准》</w:t>
      </w:r>
      <w:r>
        <w:rPr>
          <w:rFonts w:hint="eastAsia" w:ascii="仿宋" w:hAnsi="仿宋" w:eastAsia="仿宋" w:cs="仿宋"/>
          <w:color w:val="000000"/>
          <w:spacing w:val="10"/>
          <w:sz w:val="28"/>
          <w:szCs w:val="28"/>
          <w:lang w:val="en-US" w:eastAsia="zh-CN"/>
        </w:rPr>
        <w:t>审查</w:t>
      </w:r>
      <w:r>
        <w:rPr>
          <w:rFonts w:hint="eastAsia" w:ascii="仿宋" w:hAnsi="仿宋" w:eastAsia="仿宋" w:cs="仿宋"/>
          <w:color w:val="000000"/>
          <w:spacing w:val="10"/>
          <w:sz w:val="28"/>
          <w:szCs w:val="28"/>
        </w:rPr>
        <w:t>专家组成员、中国工程项目管理委员会专家办公室副主任、住房和城乡建设部战略发展专家委员、中国建设工程造价管理协会专家委员</w:t>
      </w:r>
      <w:r>
        <w:rPr>
          <w:rFonts w:hint="eastAsia" w:ascii="仿宋" w:hAnsi="仿宋" w:eastAsia="仿宋" w:cs="仿宋"/>
          <w:color w:val="000000"/>
          <w:spacing w:val="10"/>
          <w:sz w:val="28"/>
          <w:szCs w:val="28"/>
          <w:lang w:eastAsia="zh-CN"/>
        </w:rPr>
        <w:t>。</w:t>
      </w:r>
    </w:p>
    <w:p w14:paraId="0CBBD4C9">
      <w:pPr>
        <w:keepNext w:val="0"/>
        <w:keepLines w:val="0"/>
        <w:pageBreakBefore w:val="0"/>
        <w:widowControl/>
        <w:kinsoku/>
        <w:wordWrap/>
        <w:overflowPunct/>
        <w:topLinePunct w:val="0"/>
        <w:bidi w:val="0"/>
        <w:snapToGrid/>
        <w:spacing w:line="420" w:lineRule="exact"/>
        <w:ind w:firstLine="562" w:firstLineChars="200"/>
        <w:jc w:val="left"/>
        <w:textAlignment w:val="auto"/>
        <w:rPr>
          <w:rFonts w:hint="eastAsia" w:ascii="仿宋" w:hAnsi="仿宋" w:eastAsia="仿宋" w:cs="仿宋"/>
          <w:color w:val="000000"/>
          <w:spacing w:val="10"/>
          <w:sz w:val="28"/>
          <w:szCs w:val="28"/>
          <w:lang w:eastAsia="zh-CN"/>
        </w:rPr>
      </w:pPr>
      <w:r>
        <w:rPr>
          <w:rFonts w:hint="eastAsia" w:ascii="仿宋" w:hAnsi="仿宋" w:eastAsia="仿宋" w:cs="宋体"/>
          <w:b/>
          <w:bCs/>
          <w:kern w:val="0"/>
          <w:sz w:val="28"/>
          <w:szCs w:val="28"/>
          <w:lang w:val="en-US" w:eastAsia="zh-CN"/>
        </w:rPr>
        <w:t>李志国</w:t>
      </w:r>
      <w:r>
        <w:rPr>
          <w:rFonts w:hint="eastAsia" w:ascii="仿宋" w:hAnsi="仿宋" w:eastAsia="仿宋" w:cs="宋体"/>
          <w:b/>
          <w:bCs/>
          <w:kern w:val="0"/>
          <w:sz w:val="28"/>
          <w:szCs w:val="28"/>
        </w:rPr>
        <w:t>：</w:t>
      </w:r>
      <w:r>
        <w:rPr>
          <w:rFonts w:hint="eastAsia" w:ascii="仿宋" w:hAnsi="仿宋" w:eastAsia="仿宋" w:cs="仿宋"/>
          <w:color w:val="000000"/>
          <w:spacing w:val="10"/>
          <w:sz w:val="28"/>
          <w:szCs w:val="28"/>
          <w:lang w:val="en-US" w:eastAsia="zh-CN"/>
        </w:rPr>
        <w:t>2024版《房建工程量计算标准》审查专家组成员、中国建筑业协会工程项目管理委员会专家、中国建设工程造价管理协会理事。</w:t>
      </w:r>
    </w:p>
    <w:p w14:paraId="1EFB3AA5">
      <w:pPr>
        <w:keepNext w:val="0"/>
        <w:keepLines w:val="0"/>
        <w:pageBreakBefore w:val="0"/>
        <w:kinsoku/>
        <w:wordWrap/>
        <w:overflowPunct/>
        <w:topLinePunct w:val="0"/>
        <w:bidi w:val="0"/>
        <w:snapToGrid/>
        <w:spacing w:line="420" w:lineRule="exact"/>
        <w:ind w:firstLine="562" w:firstLineChars="200"/>
        <w:textAlignment w:val="auto"/>
        <w:rPr>
          <w:rFonts w:hint="eastAsia" w:ascii="宋体" w:hAnsi="宋体" w:eastAsia="仿宋" w:cs="宋体"/>
          <w:spacing w:val="-4"/>
          <w:sz w:val="24"/>
          <w:szCs w:val="24"/>
          <w:lang w:eastAsia="zh-CN"/>
        </w:rPr>
      </w:pPr>
      <w:r>
        <w:rPr>
          <w:rFonts w:hint="eastAsia" w:ascii="仿宋" w:hAnsi="仿宋" w:eastAsia="仿宋" w:cs="宋体"/>
          <w:b/>
          <w:bCs/>
          <w:kern w:val="0"/>
          <w:sz w:val="28"/>
          <w:szCs w:val="28"/>
        </w:rPr>
        <w:t>王小飞：</w:t>
      </w:r>
      <w:r>
        <w:rPr>
          <w:rFonts w:hint="eastAsia" w:ascii="仿宋" w:hAnsi="仿宋" w:eastAsia="仿宋" w:cs="仿宋"/>
          <w:color w:val="000000"/>
          <w:spacing w:val="10"/>
          <w:sz w:val="28"/>
          <w:szCs w:val="28"/>
        </w:rPr>
        <w:t>教授级高级工程师、中国建设工程造价管理协会资深会员、中煤科工重庆设计研究院（集团）有限公司</w:t>
      </w:r>
      <w:r>
        <w:rPr>
          <w:rFonts w:hint="eastAsia" w:ascii="仿宋" w:hAnsi="仿宋" w:eastAsia="仿宋" w:cs="仿宋"/>
          <w:color w:val="000000"/>
          <w:spacing w:val="10"/>
          <w:sz w:val="28"/>
          <w:szCs w:val="28"/>
          <w:lang w:val="en-US" w:eastAsia="zh-CN"/>
        </w:rPr>
        <w:t>教授级高级工程师</w:t>
      </w:r>
      <w:r>
        <w:rPr>
          <w:rFonts w:hint="eastAsia" w:ascii="仿宋" w:hAnsi="仿宋" w:eastAsia="仿宋" w:cs="仿宋"/>
          <w:color w:val="000000"/>
          <w:spacing w:val="10"/>
          <w:sz w:val="28"/>
          <w:szCs w:val="28"/>
          <w:lang w:eastAsia="zh-CN"/>
        </w:rPr>
        <w:t>。</w:t>
      </w:r>
    </w:p>
    <w:p w14:paraId="1509D51E">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kern w:val="0"/>
          <w:sz w:val="28"/>
          <w:szCs w:val="28"/>
        </w:rPr>
      </w:pPr>
      <w:r>
        <w:rPr>
          <w:rFonts w:hint="eastAsia" w:ascii="仿宋" w:hAnsi="仿宋" w:eastAsia="仿宋" w:cs="宋体"/>
          <w:b/>
          <w:bCs/>
          <w:kern w:val="0"/>
          <w:sz w:val="28"/>
          <w:szCs w:val="28"/>
        </w:rPr>
        <w:t>四、培训时间、地点</w:t>
      </w:r>
    </w:p>
    <w:p w14:paraId="588CE713">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2025年05月15日—05月18日   武汉市 （15日全天报到）</w:t>
      </w:r>
    </w:p>
    <w:p w14:paraId="3AC0ED7F">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2025年05月22日—05月25日   苏州市 （22日全天报到）</w:t>
      </w:r>
    </w:p>
    <w:p w14:paraId="094272C5">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2025年06月12日—06月15日   成都市 （12日全天报到）</w:t>
      </w:r>
    </w:p>
    <w:p w14:paraId="3483926C">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2025年06月26日—06月29日   青岛市 （26日全天报到）</w:t>
      </w:r>
    </w:p>
    <w:p w14:paraId="254A8C70">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2025年07月10日—07月13日   杭州市 （10日全天报到）</w:t>
      </w:r>
    </w:p>
    <w:p w14:paraId="1F95CF14">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2025年07月24日—07月27日   郑州市 （24日全天报到）</w:t>
      </w:r>
    </w:p>
    <w:p w14:paraId="417C5204">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2025年08月07日—08月10日   贵阳市 （07日全天报到）</w:t>
      </w:r>
    </w:p>
    <w:p w14:paraId="1465C294">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2025年08月21日—08月24日   西安市 （21日全天报到）</w:t>
      </w:r>
    </w:p>
    <w:p w14:paraId="675A1789">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2025年09月04日—09月07日   南京市 （04日全天报到）</w:t>
      </w:r>
    </w:p>
    <w:p w14:paraId="466DFC09">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2025年09月11日—09月14日   长沙市 （11日全天报到）</w:t>
      </w:r>
    </w:p>
    <w:p w14:paraId="70BD3990">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宋体"/>
          <w:b/>
          <w:bCs/>
          <w:kern w:val="0"/>
          <w:sz w:val="28"/>
          <w:szCs w:val="28"/>
        </w:rPr>
      </w:pPr>
      <w:r>
        <w:rPr>
          <w:rFonts w:hint="eastAsia" w:ascii="仿宋" w:hAnsi="仿宋" w:eastAsia="仿宋" w:cs="仿宋"/>
          <w:color w:val="000000"/>
          <w:spacing w:val="10"/>
          <w:sz w:val="28"/>
          <w:szCs w:val="28"/>
          <w:lang w:val="en-US" w:eastAsia="zh-CN"/>
        </w:rPr>
        <w:t>2025年09月18日—09月21日   重庆市 （18日全天报到）</w:t>
      </w:r>
    </w:p>
    <w:p w14:paraId="7C8102BF">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kern w:val="0"/>
          <w:sz w:val="28"/>
          <w:szCs w:val="28"/>
        </w:rPr>
      </w:pPr>
      <w:r>
        <w:rPr>
          <w:rFonts w:hint="eastAsia" w:ascii="仿宋" w:hAnsi="仿宋" w:eastAsia="仿宋" w:cs="宋体"/>
          <w:b/>
          <w:bCs/>
          <w:kern w:val="0"/>
          <w:sz w:val="28"/>
          <w:szCs w:val="28"/>
        </w:rPr>
        <w:t>五、相关费用标准</w:t>
      </w:r>
      <w:r>
        <w:rPr>
          <w:rFonts w:hint="eastAsia" w:ascii="仿宋" w:hAnsi="仿宋" w:eastAsia="仿宋" w:cs="宋体"/>
          <w:kern w:val="0"/>
          <w:sz w:val="28"/>
          <w:szCs w:val="28"/>
        </w:rPr>
        <w:t xml:space="preserve">   </w:t>
      </w:r>
    </w:p>
    <w:p w14:paraId="3F287A7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A.</w:t>
      </w:r>
      <w:r>
        <w:rPr>
          <w:rFonts w:hint="eastAsia" w:ascii="仿宋" w:hAnsi="仿宋" w:eastAsia="仿宋" w:cs="宋体"/>
          <w:kern w:val="0"/>
          <w:sz w:val="28"/>
          <w:szCs w:val="28"/>
        </w:rPr>
        <w:t>3</w:t>
      </w:r>
      <w:r>
        <w:rPr>
          <w:rFonts w:hint="eastAsia" w:ascii="仿宋" w:hAnsi="仿宋" w:eastAsia="仿宋" w:cs="宋体"/>
          <w:kern w:val="0"/>
          <w:sz w:val="28"/>
          <w:szCs w:val="28"/>
          <w:lang w:val="en-US" w:eastAsia="zh-CN"/>
        </w:rPr>
        <w:t>9</w:t>
      </w:r>
      <w:r>
        <w:rPr>
          <w:rFonts w:hint="eastAsia" w:ascii="仿宋" w:hAnsi="仿宋" w:eastAsia="仿宋" w:cs="宋体"/>
          <w:kern w:val="0"/>
          <w:sz w:val="28"/>
          <w:szCs w:val="28"/>
        </w:rPr>
        <w:t>80元/人（含培训费、场地费、资料费、专家、会议期间午餐、结业证书等），住宿统一安排，费用自理。</w:t>
      </w:r>
    </w:p>
    <w:p w14:paraId="74C07F0D">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9</w:t>
      </w:r>
      <w:r>
        <w:rPr>
          <w:rFonts w:hint="eastAsia" w:ascii="仿宋" w:hAnsi="仿宋" w:eastAsia="仿宋" w:cs="仿宋"/>
          <w:color w:val="000000"/>
          <w:spacing w:val="10"/>
          <w:sz w:val="28"/>
          <w:szCs w:val="28"/>
        </w:rPr>
        <w:t>80元/人（含培训、资料、电子课件、场地、证书及培训期间午餐），住宿统一安排，费用自理。证书由我会颁发《工程总承包项目经理》或《商务经理》或《造价经理》;所需资料:二寸蓝底免冠彩色照片、身份证正反面、学历证书，以上报名材料均需电子版。</w:t>
      </w:r>
    </w:p>
    <w:p w14:paraId="75DA6D0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C.28000元/单位，同步直播，单位投屏播放，统一观看，不限人数，提供电子课件，支持在线提问</w:t>
      </w:r>
      <w:r>
        <w:rPr>
          <w:rFonts w:hint="eastAsia" w:ascii="仿宋" w:hAnsi="仿宋" w:eastAsia="仿宋" w:cs="宋体"/>
          <w:color w:val="auto"/>
          <w:kern w:val="0"/>
          <w:sz w:val="28"/>
          <w:szCs w:val="28"/>
          <w:lang w:eastAsia="zh-CN"/>
        </w:rPr>
        <w:t>。</w:t>
      </w:r>
    </w:p>
    <w:p w14:paraId="717178B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color w:val="auto"/>
          <w:kern w:val="0"/>
          <w:sz w:val="28"/>
          <w:szCs w:val="28"/>
        </w:rPr>
        <w:t>D.40000元/天，根据实际需求，个性化定制课程内容，委派专家赴政府、国有企业进行内部培训（含课酬、专家与助教交通费、资料费等，培训场地由受训单位提供）</w:t>
      </w:r>
      <w:r>
        <w:rPr>
          <w:rFonts w:hint="eastAsia" w:ascii="仿宋" w:hAnsi="仿宋" w:eastAsia="仿宋" w:cs="宋体"/>
          <w:kern w:val="0"/>
          <w:sz w:val="28"/>
          <w:szCs w:val="28"/>
        </w:rPr>
        <w:t>。</w:t>
      </w:r>
    </w:p>
    <w:p w14:paraId="5A0B7C8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E.50000元/单位，单期会议不限参会人数。</w:t>
      </w:r>
    </w:p>
    <w:p w14:paraId="4504B649">
      <w:pPr>
        <w:keepNext w:val="0"/>
        <w:keepLines w:val="0"/>
        <w:pageBreakBefore w:val="0"/>
        <w:kinsoku/>
        <w:wordWrap/>
        <w:overflowPunct/>
        <w:topLinePunct w:val="0"/>
        <w:bidi w:val="0"/>
        <w:snapToGrid/>
        <w:spacing w:line="420" w:lineRule="exact"/>
        <w:ind w:firstLine="562" w:firstLineChars="200"/>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六、联系方式</w:t>
      </w:r>
    </w:p>
    <w:p w14:paraId="43A0D195">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报名负责人：聂红军 主任18211071700（微信）   </w:t>
      </w:r>
    </w:p>
    <w:p w14:paraId="68294B7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电    话：13141289128        邮    箱：zqgphwz@126.com  </w:t>
      </w:r>
    </w:p>
    <w:p w14:paraId="07D0EFB8">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qq咨询：3177524020          网    址：http://www.zqgpchina.cn</w:t>
      </w:r>
    </w:p>
    <w:p w14:paraId="217DF84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p>
    <w:p w14:paraId="27E7418E">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p>
    <w:p w14:paraId="78FCF9F0">
      <w:pPr>
        <w:keepNext w:val="0"/>
        <w:keepLines w:val="0"/>
        <w:pageBreakBefore w:val="0"/>
        <w:kinsoku/>
        <w:wordWrap/>
        <w:overflowPunct/>
        <w:topLinePunct w:val="0"/>
        <w:bidi w:val="0"/>
        <w:snapToGrid/>
        <w:spacing w:line="420" w:lineRule="exact"/>
        <w:ind w:firstLine="480" w:firstLineChars="200"/>
        <w:textAlignment w:val="auto"/>
        <w:rPr>
          <w:rFonts w:hint="default" w:ascii="仿宋" w:hAnsi="仿宋" w:eastAsia="仿宋" w:cs="宋体"/>
          <w:kern w:val="0"/>
          <w:sz w:val="28"/>
          <w:szCs w:val="28"/>
          <w:lang w:val="en-US" w:eastAsia="zh-CN"/>
        </w:rPr>
      </w:pPr>
      <w:r>
        <w:rPr>
          <w:rFonts w:hint="eastAsia" w:ascii="宋体" w:hAnsi="宋体" w:eastAsia="宋体" w:cs="仿宋"/>
          <w:sz w:val="24"/>
          <w:szCs w:val="24"/>
          <w:lang w:eastAsia="zh-CN"/>
        </w:rPr>
        <w:drawing>
          <wp:anchor distT="0" distB="0" distL="114300" distR="114300" simplePos="0" relativeHeight="251661312" behindDoc="1" locked="0" layoutInCell="1" allowOverlap="1">
            <wp:simplePos x="0" y="0"/>
            <wp:positionH relativeFrom="column">
              <wp:posOffset>3402965</wp:posOffset>
            </wp:positionH>
            <wp:positionV relativeFrom="paragraph">
              <wp:posOffset>240665</wp:posOffset>
            </wp:positionV>
            <wp:extent cx="1537970" cy="1529715"/>
            <wp:effectExtent l="0" t="0" r="5080" b="1333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1537970" cy="1529715"/>
                    </a:xfrm>
                    <a:prstGeom prst="rect">
                      <a:avLst/>
                    </a:prstGeom>
                    <a:noFill/>
                    <a:ln>
                      <a:noFill/>
                    </a:ln>
                  </pic:spPr>
                </pic:pic>
              </a:graphicData>
            </a:graphic>
          </wp:anchor>
        </w:drawing>
      </w:r>
      <w:r>
        <w:rPr>
          <w:rFonts w:hint="eastAsia" w:ascii="仿宋" w:hAnsi="仿宋" w:eastAsia="仿宋" w:cs="宋体"/>
          <w:kern w:val="0"/>
          <w:sz w:val="28"/>
          <w:szCs w:val="28"/>
          <w:lang w:val="en-US" w:eastAsia="zh-CN"/>
        </w:rPr>
        <w:t>附件：报名回执表</w:t>
      </w:r>
    </w:p>
    <w:p w14:paraId="5B02FBC5">
      <w:pPr>
        <w:pStyle w:val="8"/>
        <w:keepNext w:val="0"/>
        <w:keepLines w:val="0"/>
        <w:pageBreakBefore w:val="0"/>
        <w:kinsoku/>
        <w:wordWrap/>
        <w:overflowPunct/>
        <w:topLinePunct w:val="0"/>
        <w:bidi w:val="0"/>
        <w:snapToGrid/>
        <w:spacing w:line="420" w:lineRule="exact"/>
        <w:ind w:left="0" w:firstLine="5320" w:firstLineChars="1900"/>
        <w:textAlignment w:val="auto"/>
        <w:rPr>
          <w:rFonts w:hAnsi="仿宋" w:cs="宋体"/>
          <w:kern w:val="0"/>
          <w:sz w:val="28"/>
          <w:szCs w:val="28"/>
        </w:rPr>
      </w:pPr>
    </w:p>
    <w:p w14:paraId="7837893F">
      <w:pPr>
        <w:pStyle w:val="8"/>
        <w:keepNext w:val="0"/>
        <w:keepLines w:val="0"/>
        <w:pageBreakBefore w:val="0"/>
        <w:kinsoku/>
        <w:wordWrap/>
        <w:overflowPunct/>
        <w:topLinePunct w:val="0"/>
        <w:bidi w:val="0"/>
        <w:snapToGrid/>
        <w:spacing w:line="420" w:lineRule="exact"/>
        <w:ind w:left="0" w:firstLine="5320" w:firstLineChars="1900"/>
        <w:textAlignment w:val="auto"/>
        <w:rPr>
          <w:rFonts w:hAnsi="仿宋" w:cs="宋体"/>
          <w:kern w:val="0"/>
          <w:sz w:val="28"/>
          <w:szCs w:val="28"/>
        </w:rPr>
      </w:pPr>
    </w:p>
    <w:p w14:paraId="300B4B2D">
      <w:pPr>
        <w:pStyle w:val="8"/>
        <w:keepNext w:val="0"/>
        <w:keepLines w:val="0"/>
        <w:pageBreakBefore w:val="0"/>
        <w:kinsoku/>
        <w:wordWrap/>
        <w:overflowPunct/>
        <w:topLinePunct w:val="0"/>
        <w:bidi w:val="0"/>
        <w:snapToGrid/>
        <w:spacing w:line="420" w:lineRule="exact"/>
        <w:ind w:left="0" w:firstLine="5320" w:firstLineChars="1900"/>
        <w:textAlignment w:val="auto"/>
      </w:pPr>
      <w:r>
        <w:rPr>
          <w:rFonts w:hAnsi="仿宋" w:cs="宋体"/>
          <w:kern w:val="0"/>
          <w:sz w:val="28"/>
          <w:szCs w:val="28"/>
        </w:rPr>
        <w:t>中国国际工程咨询协会</w:t>
      </w:r>
    </w:p>
    <w:p w14:paraId="4E19A3C5">
      <w:pPr>
        <w:widowControl/>
        <w:jc w:val="center"/>
        <w:rPr>
          <w:rFonts w:hint="default" w:ascii="仿宋" w:hAnsi="仿宋" w:eastAsia="仿宋"/>
          <w:b/>
          <w:bCs/>
          <w:sz w:val="30"/>
          <w:szCs w:val="30"/>
          <w:lang w:val="en-US" w:eastAsia="zh-CN"/>
        </w:rPr>
      </w:pPr>
      <w:r>
        <w:rPr>
          <w:rFonts w:hint="eastAsia" w:hAnsi="仿宋" w:eastAsia="仿宋" w:cs="宋体"/>
          <w:kern w:val="0"/>
          <w:sz w:val="28"/>
          <w:szCs w:val="28"/>
          <w:lang w:val="en-US" w:eastAsia="zh-CN"/>
        </w:rPr>
        <w:t xml:space="preserve">                                </w:t>
      </w:r>
      <w:r>
        <w:rPr>
          <w:rFonts w:hint="eastAsia" w:ascii="仿宋" w:hAnsi="仿宋" w:eastAsia="仿宋" w:cs="宋体"/>
          <w:kern w:val="0"/>
          <w:sz w:val="28"/>
          <w:szCs w:val="28"/>
          <w:lang w:val="en-US" w:eastAsia="zh-CN" w:bidi="ar-SA"/>
        </w:rPr>
        <w:t>2025年4月27日</w:t>
      </w:r>
    </w:p>
    <w:p w14:paraId="7E88B170">
      <w:pPr>
        <w:widowControl/>
        <w:jc w:val="center"/>
        <w:rPr>
          <w:rFonts w:hint="eastAsia" w:ascii="仿宋" w:hAnsi="仿宋" w:eastAsia="仿宋"/>
          <w:b/>
          <w:bCs/>
          <w:sz w:val="30"/>
          <w:szCs w:val="30"/>
        </w:rPr>
      </w:pPr>
    </w:p>
    <w:p w14:paraId="1C844A37">
      <w:pPr>
        <w:widowControl/>
        <w:jc w:val="center"/>
        <w:rPr>
          <w:rFonts w:hint="eastAsia" w:ascii="仿宋" w:hAnsi="仿宋" w:eastAsia="仿宋"/>
          <w:b/>
          <w:bCs/>
          <w:sz w:val="30"/>
          <w:szCs w:val="30"/>
        </w:rPr>
      </w:pPr>
    </w:p>
    <w:p w14:paraId="58D4E125">
      <w:pPr>
        <w:widowControl/>
        <w:jc w:val="center"/>
        <w:rPr>
          <w:rFonts w:hint="eastAsia" w:ascii="仿宋" w:hAnsi="仿宋" w:eastAsia="仿宋"/>
          <w:b/>
          <w:bCs/>
          <w:sz w:val="30"/>
          <w:szCs w:val="30"/>
        </w:rPr>
      </w:pPr>
    </w:p>
    <w:p w14:paraId="7DD23020">
      <w:pPr>
        <w:widowControl/>
        <w:jc w:val="center"/>
        <w:rPr>
          <w:rFonts w:hint="eastAsia" w:ascii="仿宋" w:hAnsi="仿宋" w:eastAsia="仿宋"/>
          <w:b/>
          <w:bCs/>
          <w:sz w:val="30"/>
          <w:szCs w:val="30"/>
        </w:rPr>
      </w:pPr>
    </w:p>
    <w:p w14:paraId="02A1080A">
      <w:pPr>
        <w:widowControl/>
        <w:jc w:val="center"/>
        <w:rPr>
          <w:rFonts w:hint="eastAsia" w:ascii="仿宋" w:hAnsi="仿宋" w:eastAsia="仿宋"/>
          <w:b/>
          <w:bCs/>
          <w:sz w:val="30"/>
          <w:szCs w:val="30"/>
        </w:rPr>
      </w:pPr>
    </w:p>
    <w:p w14:paraId="76570421">
      <w:pPr>
        <w:widowControl/>
        <w:jc w:val="center"/>
        <w:rPr>
          <w:rFonts w:hint="eastAsia" w:ascii="仿宋" w:hAnsi="仿宋" w:eastAsia="仿宋"/>
          <w:b/>
          <w:bCs/>
          <w:sz w:val="30"/>
          <w:szCs w:val="30"/>
        </w:rPr>
      </w:pPr>
    </w:p>
    <w:p w14:paraId="13D6108D">
      <w:pPr>
        <w:widowControl/>
        <w:jc w:val="both"/>
        <w:rPr>
          <w:rFonts w:hint="eastAsia" w:ascii="仿宋" w:hAnsi="仿宋" w:eastAsia="仿宋"/>
          <w:b/>
          <w:bCs/>
          <w:sz w:val="30"/>
          <w:szCs w:val="30"/>
          <w:lang w:val="en-US" w:eastAsia="zh-CN"/>
        </w:rPr>
      </w:pPr>
    </w:p>
    <w:p w14:paraId="388A92A2">
      <w:pPr>
        <w:widowControl/>
        <w:jc w:val="both"/>
        <w:rPr>
          <w:rFonts w:hint="eastAsia" w:ascii="仿宋" w:hAnsi="仿宋" w:eastAsia="仿宋"/>
          <w:b/>
          <w:bCs/>
          <w:sz w:val="30"/>
          <w:szCs w:val="30"/>
          <w:lang w:val="en-US" w:eastAsia="zh-CN"/>
        </w:rPr>
      </w:pPr>
    </w:p>
    <w:p w14:paraId="34258612">
      <w:pPr>
        <w:widowControl/>
        <w:jc w:val="both"/>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附件：</w:t>
      </w:r>
    </w:p>
    <w:p w14:paraId="34C76150">
      <w:pPr>
        <w:widowControl/>
        <w:jc w:val="center"/>
        <w:rPr>
          <w:rFonts w:hint="eastAsia" w:ascii="仿宋" w:hAnsi="仿宋" w:eastAsia="仿宋"/>
          <w:b/>
          <w:bCs/>
          <w:sz w:val="30"/>
          <w:szCs w:val="30"/>
        </w:rPr>
      </w:pPr>
      <w:r>
        <w:rPr>
          <w:rFonts w:hint="eastAsia" w:ascii="仿宋" w:hAnsi="仿宋" w:eastAsia="仿宋"/>
          <w:b/>
          <w:bCs/>
          <w:sz w:val="30"/>
          <w:szCs w:val="30"/>
        </w:rPr>
        <w:t>2024版《建设工程工程量清单计价标准》深度解读</w:t>
      </w:r>
      <w:r>
        <w:rPr>
          <w:rFonts w:hint="eastAsia" w:ascii="仿宋" w:hAnsi="仿宋" w:eastAsia="仿宋"/>
          <w:b/>
          <w:bCs/>
          <w:sz w:val="30"/>
          <w:szCs w:val="30"/>
          <w:lang w:eastAsia="zh-CN"/>
        </w:rPr>
        <w:t>、</w:t>
      </w:r>
      <w:r>
        <w:rPr>
          <w:rFonts w:hint="eastAsia" w:ascii="仿宋" w:hAnsi="仿宋" w:eastAsia="仿宋"/>
          <w:b/>
          <w:bCs/>
          <w:sz w:val="30"/>
          <w:szCs w:val="30"/>
        </w:rPr>
        <w:t>实务指引与全过程造价管控、结算审计实务专题培训班报名</w:t>
      </w:r>
      <w:r>
        <w:rPr>
          <w:rFonts w:hint="eastAsia" w:ascii="仿宋" w:hAnsi="仿宋" w:eastAsia="仿宋"/>
          <w:b/>
          <w:bCs/>
          <w:sz w:val="30"/>
          <w:szCs w:val="30"/>
          <w:lang w:val="en-US" w:eastAsia="zh-CN"/>
        </w:rPr>
        <w:t>回执</w:t>
      </w:r>
      <w:r>
        <w:rPr>
          <w:rFonts w:hint="eastAsia" w:ascii="仿宋" w:hAnsi="仿宋" w:eastAsia="仿宋"/>
          <w:b/>
          <w:bCs/>
          <w:sz w:val="30"/>
          <w:szCs w:val="30"/>
        </w:rPr>
        <w:t>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31F2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DB6DD4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单位名称</w:t>
            </w:r>
          </w:p>
        </w:tc>
        <w:tc>
          <w:tcPr>
            <w:tcW w:w="4099" w:type="dxa"/>
            <w:gridSpan w:val="3"/>
            <w:vAlign w:val="center"/>
          </w:tcPr>
          <w:p w14:paraId="3D084990">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896" w:type="dxa"/>
            <w:vAlign w:val="center"/>
          </w:tcPr>
          <w:p w14:paraId="790E65D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编</w:t>
            </w:r>
          </w:p>
        </w:tc>
        <w:tc>
          <w:tcPr>
            <w:tcW w:w="2164" w:type="dxa"/>
            <w:vAlign w:val="center"/>
          </w:tcPr>
          <w:p w14:paraId="1481C08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11EB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51D852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单位地址</w:t>
            </w:r>
          </w:p>
        </w:tc>
        <w:tc>
          <w:tcPr>
            <w:tcW w:w="8159" w:type="dxa"/>
            <w:gridSpan w:val="5"/>
            <w:vAlign w:val="center"/>
          </w:tcPr>
          <w:p w14:paraId="336A5AE5">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6A3F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D7F441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联 系 人</w:t>
            </w:r>
          </w:p>
        </w:tc>
        <w:tc>
          <w:tcPr>
            <w:tcW w:w="2147" w:type="dxa"/>
            <w:gridSpan w:val="2"/>
            <w:vAlign w:val="center"/>
          </w:tcPr>
          <w:p w14:paraId="0AB50C0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71448D9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4060" w:type="dxa"/>
            <w:gridSpan w:val="2"/>
            <w:vAlign w:val="center"/>
          </w:tcPr>
          <w:p w14:paraId="23A928D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7125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2EE26D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47" w:type="dxa"/>
            <w:gridSpan w:val="2"/>
            <w:vAlign w:val="center"/>
          </w:tcPr>
          <w:p w14:paraId="79FAD7E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24BA6F0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办公电话</w:t>
            </w:r>
          </w:p>
        </w:tc>
        <w:tc>
          <w:tcPr>
            <w:tcW w:w="4060" w:type="dxa"/>
            <w:gridSpan w:val="2"/>
            <w:vAlign w:val="center"/>
          </w:tcPr>
          <w:p w14:paraId="1A7ED659">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1556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EB92C50">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传    真</w:t>
            </w:r>
          </w:p>
        </w:tc>
        <w:tc>
          <w:tcPr>
            <w:tcW w:w="2147" w:type="dxa"/>
            <w:gridSpan w:val="2"/>
            <w:vAlign w:val="center"/>
          </w:tcPr>
          <w:p w14:paraId="4C7044B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32C0C6D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电子信箱</w:t>
            </w:r>
          </w:p>
        </w:tc>
        <w:tc>
          <w:tcPr>
            <w:tcW w:w="4060" w:type="dxa"/>
            <w:gridSpan w:val="2"/>
            <w:vAlign w:val="center"/>
          </w:tcPr>
          <w:p w14:paraId="1CA0753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49C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1F2B76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参训人员</w:t>
            </w:r>
          </w:p>
        </w:tc>
        <w:tc>
          <w:tcPr>
            <w:tcW w:w="854" w:type="dxa"/>
            <w:vAlign w:val="center"/>
          </w:tcPr>
          <w:p w14:paraId="4E0E4A7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性别</w:t>
            </w:r>
          </w:p>
        </w:tc>
        <w:tc>
          <w:tcPr>
            <w:tcW w:w="1293" w:type="dxa"/>
            <w:vAlign w:val="center"/>
          </w:tcPr>
          <w:p w14:paraId="5C0B358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1952" w:type="dxa"/>
            <w:vAlign w:val="center"/>
          </w:tcPr>
          <w:p w14:paraId="7217300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    话</w:t>
            </w:r>
          </w:p>
        </w:tc>
        <w:tc>
          <w:tcPr>
            <w:tcW w:w="1896" w:type="dxa"/>
            <w:vAlign w:val="center"/>
          </w:tcPr>
          <w:p w14:paraId="64EDA56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64" w:type="dxa"/>
            <w:vAlign w:val="center"/>
          </w:tcPr>
          <w:p w14:paraId="5CAB0E8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箱</w:t>
            </w:r>
          </w:p>
        </w:tc>
      </w:tr>
      <w:tr w14:paraId="71C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C3F32C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72439E91">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4ABB0EA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F16D32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2C6CC02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74F03FA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6B8A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B52E7E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067BC59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3AAB9C6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143067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0BD103A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0A5C6E9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7FC4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7B9D33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54EC062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6112237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77BB92C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1833948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1844522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5389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CBF18E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660D52E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23549F3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FF58DB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2745DA7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1A7AB9B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F51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290D45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2A0E8B9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059805C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B13DEF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1CF86E0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537E5E7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27E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0F733D0">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2EB929B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77C859B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0F7256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6B8493E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614C33D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12C5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25822F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61923DA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0457B5E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11C265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3A714FA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6A8821F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79DF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2A3EE5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参训时间</w:t>
            </w:r>
          </w:p>
        </w:tc>
        <w:tc>
          <w:tcPr>
            <w:tcW w:w="2147" w:type="dxa"/>
            <w:gridSpan w:val="2"/>
            <w:vAlign w:val="center"/>
          </w:tcPr>
          <w:p w14:paraId="0CB35BA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5940A03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参训地点</w:t>
            </w:r>
          </w:p>
        </w:tc>
        <w:tc>
          <w:tcPr>
            <w:tcW w:w="4060" w:type="dxa"/>
            <w:gridSpan w:val="2"/>
            <w:vAlign w:val="center"/>
          </w:tcPr>
          <w:p w14:paraId="75E1A7D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07E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5204A7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住宿标准</w:t>
            </w:r>
          </w:p>
        </w:tc>
        <w:tc>
          <w:tcPr>
            <w:tcW w:w="8159" w:type="dxa"/>
            <w:gridSpan w:val="5"/>
            <w:vAlign w:val="center"/>
          </w:tcPr>
          <w:p w14:paraId="22B8C7B7">
            <w:pPr>
              <w:tabs>
                <w:tab w:val="left" w:pos="567"/>
                <w:tab w:val="left" w:pos="709"/>
              </w:tabs>
              <w:spacing w:line="300" w:lineRule="exact"/>
              <w:ind w:firstLine="1400" w:firstLineChars="500"/>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单住□      合住</w:t>
            </w:r>
            <w:r>
              <w:rPr>
                <w:rFonts w:hint="eastAsia" w:ascii="仿宋" w:hAnsi="仿宋" w:eastAsia="仿宋" w:cs="仿宋"/>
                <w:bCs/>
                <w:color w:val="000000"/>
                <w:sz w:val="28"/>
                <w:szCs w:val="28"/>
              </w:rPr>
              <w:t>□</w:t>
            </w:r>
            <w:r>
              <w:rPr>
                <w:rFonts w:ascii="仿宋" w:hAnsi="仿宋" w:eastAsia="仿宋" w:cs="仿宋"/>
                <w:bCs/>
                <w:color w:val="000000"/>
                <w:sz w:val="28"/>
                <w:szCs w:val="28"/>
              </w:rPr>
              <w:t xml:space="preserve">     自理□</w:t>
            </w:r>
          </w:p>
        </w:tc>
      </w:tr>
      <w:tr w14:paraId="745E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25DDF3B">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证书申报</w:t>
            </w:r>
          </w:p>
        </w:tc>
        <w:tc>
          <w:tcPr>
            <w:tcW w:w="8159" w:type="dxa"/>
            <w:gridSpan w:val="5"/>
            <w:vAlign w:val="center"/>
          </w:tcPr>
          <w:p w14:paraId="1A08E2C7">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《工程总包项目经理》□ 《商务经理》□  《造价经理》□</w:t>
            </w:r>
          </w:p>
        </w:tc>
      </w:tr>
      <w:tr w14:paraId="2D1B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04CA52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付款方式</w:t>
            </w:r>
          </w:p>
        </w:tc>
        <w:tc>
          <w:tcPr>
            <w:tcW w:w="4099" w:type="dxa"/>
            <w:gridSpan w:val="3"/>
            <w:vAlign w:val="center"/>
          </w:tcPr>
          <w:p w14:paraId="0A543F8A">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转账□      现场□</w:t>
            </w:r>
          </w:p>
        </w:tc>
        <w:tc>
          <w:tcPr>
            <w:tcW w:w="1896" w:type="dxa"/>
            <w:vAlign w:val="center"/>
          </w:tcPr>
          <w:p w14:paraId="2F93031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金 额</w:t>
            </w:r>
          </w:p>
        </w:tc>
        <w:tc>
          <w:tcPr>
            <w:tcW w:w="2164" w:type="dxa"/>
          </w:tcPr>
          <w:p w14:paraId="0CCB470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B1B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14:paraId="1FE1BFC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p w14:paraId="52AFABC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收款信息</w:t>
            </w:r>
          </w:p>
        </w:tc>
        <w:tc>
          <w:tcPr>
            <w:tcW w:w="8159" w:type="dxa"/>
            <w:gridSpan w:val="5"/>
          </w:tcPr>
          <w:p w14:paraId="24BEDE2E">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w:t>
            </w:r>
            <w:r>
              <w:rPr>
                <w:rFonts w:hint="eastAsia" w:ascii="仿宋" w:hAnsi="仿宋" w:eastAsia="仿宋" w:cs="仿宋"/>
                <w:bCs/>
                <w:color w:val="000000"/>
                <w:sz w:val="28"/>
                <w:szCs w:val="28"/>
                <w:lang w:val="en-US" w:eastAsia="zh-CN"/>
              </w:rPr>
              <w:t>北京中建科信科技服务有限公司</w:t>
            </w:r>
            <w:r>
              <w:rPr>
                <w:rFonts w:hint="eastAsia" w:ascii="仿宋" w:hAnsi="仿宋" w:eastAsia="仿宋" w:cs="仿宋"/>
                <w:bCs/>
                <w:color w:val="000000"/>
                <w:sz w:val="28"/>
                <w:szCs w:val="28"/>
              </w:rPr>
              <w:t xml:space="preserve"> </w:t>
            </w:r>
          </w:p>
          <w:p w14:paraId="24CA07CD">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w:t>
            </w:r>
            <w:r>
              <w:rPr>
                <w:rFonts w:hint="eastAsia" w:ascii="仿宋" w:hAnsi="仿宋" w:eastAsia="仿宋" w:cs="仿宋"/>
                <w:bCs/>
                <w:color w:val="000000"/>
                <w:sz w:val="28"/>
                <w:szCs w:val="28"/>
                <w:lang w:val="en-US" w:eastAsia="zh-CN"/>
              </w:rPr>
              <w:t>中国工商银行股份有限公司北京公主坟支行</w:t>
            </w:r>
          </w:p>
          <w:p w14:paraId="0612C279">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账    号：</w:t>
            </w:r>
            <w:r>
              <w:rPr>
                <w:rFonts w:hint="eastAsia" w:ascii="仿宋" w:hAnsi="仿宋" w:eastAsia="仿宋" w:cs="仿宋"/>
                <w:bCs/>
                <w:color w:val="000000"/>
                <w:sz w:val="28"/>
                <w:szCs w:val="28"/>
                <w:lang w:val="en-US" w:eastAsia="zh-CN"/>
              </w:rPr>
              <w:t>0200 0046 0920 0585 085</w:t>
            </w:r>
          </w:p>
        </w:tc>
      </w:tr>
      <w:tr w14:paraId="3876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14:paraId="73EFA2EB">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备    注</w:t>
            </w:r>
          </w:p>
        </w:tc>
        <w:tc>
          <w:tcPr>
            <w:tcW w:w="4099" w:type="dxa"/>
            <w:gridSpan w:val="3"/>
            <w:vAlign w:val="center"/>
          </w:tcPr>
          <w:p w14:paraId="09DDA5FA">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本</w:t>
            </w:r>
            <w:r>
              <w:rPr>
                <w:rFonts w:ascii="仿宋" w:hAnsi="仿宋" w:eastAsia="仿宋" w:cs="仿宋"/>
                <w:bCs/>
                <w:color w:val="000000"/>
                <w:sz w:val="28"/>
                <w:szCs w:val="28"/>
              </w:rPr>
              <w:t>课程可</w:t>
            </w:r>
            <w:r>
              <w:rPr>
                <w:rFonts w:hint="eastAsia" w:ascii="仿宋" w:hAnsi="仿宋" w:eastAsia="仿宋" w:cs="仿宋"/>
                <w:bCs/>
                <w:color w:val="000000"/>
                <w:sz w:val="28"/>
                <w:szCs w:val="28"/>
              </w:rPr>
              <w:t>根</w:t>
            </w:r>
            <w:r>
              <w:rPr>
                <w:rFonts w:ascii="仿宋" w:hAnsi="仿宋" w:eastAsia="仿宋" w:cs="仿宋"/>
                <w:bCs/>
                <w:color w:val="000000"/>
                <w:sz w:val="28"/>
                <w:szCs w:val="28"/>
              </w:rPr>
              <w:t>据</w:t>
            </w:r>
            <w:r>
              <w:rPr>
                <w:rFonts w:hint="eastAsia" w:ascii="仿宋" w:hAnsi="仿宋" w:eastAsia="仿宋" w:cs="仿宋"/>
                <w:bCs/>
                <w:color w:val="000000"/>
                <w:sz w:val="28"/>
                <w:szCs w:val="28"/>
              </w:rPr>
              <w:t>单位实际</w:t>
            </w:r>
            <w:r>
              <w:rPr>
                <w:rFonts w:ascii="仿宋" w:hAnsi="仿宋" w:eastAsia="仿宋" w:cs="仿宋"/>
                <w:bCs/>
                <w:color w:val="000000"/>
                <w:sz w:val="28"/>
                <w:szCs w:val="28"/>
              </w:rPr>
              <w:t>需</w:t>
            </w:r>
          </w:p>
          <w:p w14:paraId="3EF3FF9D">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p>
          <w:p w14:paraId="0AC9052C">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求</w:t>
            </w:r>
            <w:r>
              <w:rPr>
                <w:rFonts w:hint="eastAsia" w:ascii="仿宋" w:hAnsi="仿宋" w:eastAsia="仿宋" w:cs="仿宋"/>
                <w:bCs/>
                <w:color w:val="000000"/>
                <w:sz w:val="28"/>
                <w:szCs w:val="28"/>
              </w:rPr>
              <w:t>，提供</w:t>
            </w:r>
            <w:r>
              <w:rPr>
                <w:rFonts w:ascii="仿宋" w:hAnsi="仿宋" w:eastAsia="仿宋" w:cs="仿宋"/>
                <w:bCs/>
                <w:color w:val="000000"/>
                <w:sz w:val="28"/>
                <w:szCs w:val="28"/>
              </w:rPr>
              <w:t>内部培训</w:t>
            </w:r>
            <w:r>
              <w:rPr>
                <w:rFonts w:hint="eastAsia" w:ascii="仿宋" w:hAnsi="仿宋" w:eastAsia="仿宋" w:cs="仿宋"/>
                <w:bCs/>
                <w:color w:val="000000"/>
                <w:sz w:val="28"/>
                <w:szCs w:val="28"/>
              </w:rPr>
              <w:t>。</w:t>
            </w:r>
          </w:p>
        </w:tc>
        <w:tc>
          <w:tcPr>
            <w:tcW w:w="4060" w:type="dxa"/>
            <w:gridSpan w:val="2"/>
            <w:vAlign w:val="center"/>
          </w:tcPr>
          <w:p w14:paraId="73C7E2B8">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参加</w:t>
            </w:r>
            <w:r>
              <w:rPr>
                <w:rFonts w:ascii="仿宋" w:hAnsi="仿宋" w:eastAsia="仿宋" w:cs="仿宋"/>
                <w:bCs/>
                <w:color w:val="000000"/>
                <w:sz w:val="28"/>
                <w:szCs w:val="28"/>
              </w:rPr>
              <w:t>单位</w:t>
            </w:r>
            <w:r>
              <w:rPr>
                <w:rFonts w:hint="eastAsia" w:ascii="仿宋" w:hAnsi="仿宋" w:eastAsia="仿宋" w:cs="仿宋"/>
                <w:bCs/>
                <w:color w:val="000000"/>
                <w:sz w:val="28"/>
                <w:szCs w:val="28"/>
              </w:rPr>
              <w:t>（盖章）</w:t>
            </w:r>
          </w:p>
          <w:p w14:paraId="20F8601E">
            <w:pPr>
              <w:pStyle w:val="8"/>
              <w:ind w:firstLine="480"/>
              <w:rPr>
                <w:rFonts w:hint="default"/>
              </w:rPr>
            </w:pPr>
          </w:p>
          <w:p w14:paraId="68B70E82">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5</w:t>
            </w:r>
            <w:r>
              <w:rPr>
                <w:rFonts w:ascii="仿宋" w:hAnsi="仿宋" w:eastAsia="仿宋" w:cs="仿宋"/>
                <w:bCs/>
                <w:color w:val="000000"/>
                <w:sz w:val="28"/>
                <w:szCs w:val="28"/>
              </w:rPr>
              <w:t>年  月  日</w:t>
            </w:r>
          </w:p>
        </w:tc>
      </w:tr>
    </w:tbl>
    <w:p w14:paraId="6CE3E687">
      <w:pPr>
        <w:spacing w:line="500" w:lineRule="exact"/>
        <w:ind w:firstLine="280" w:firstLineChars="100"/>
        <w:rPr>
          <w:rFonts w:hint="eastAsia" w:ascii="仿宋" w:hAnsi="仿宋" w:eastAsia="仿宋" w:cs="宋体"/>
          <w:sz w:val="28"/>
          <w:szCs w:val="28"/>
        </w:rPr>
      </w:pPr>
      <w:r>
        <w:rPr>
          <w:rFonts w:hint="eastAsia" w:ascii="仿宋" w:hAnsi="仿宋" w:eastAsia="仿宋" w:cs="宋体"/>
          <w:sz w:val="28"/>
          <w:szCs w:val="28"/>
        </w:rPr>
        <w:t>备注：1</w:t>
      </w:r>
      <w:r>
        <w:rPr>
          <w:rFonts w:hint="eastAsia" w:ascii="仿宋" w:hAnsi="仿宋" w:eastAsia="仿宋" w:cs="宋体"/>
          <w:color w:val="000000"/>
          <w:kern w:val="0"/>
          <w:sz w:val="28"/>
          <w:szCs w:val="28"/>
        </w:rPr>
        <w:t>、</w:t>
      </w:r>
      <w:r>
        <w:rPr>
          <w:rFonts w:hint="eastAsia" w:ascii="仿宋" w:hAnsi="仿宋" w:eastAsia="仿宋" w:cs="宋体"/>
          <w:sz w:val="28"/>
          <w:szCs w:val="28"/>
        </w:rPr>
        <w:t>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14:paraId="254E2988">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2、报名负责人：聂红军 主任18211071700（微信）   </w:t>
      </w:r>
    </w:p>
    <w:p w14:paraId="461DD704">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电    话：13141289128        邮    箱：zqgphwz@126.com  </w:t>
      </w:r>
    </w:p>
    <w:p w14:paraId="20D887C6">
      <w:pPr>
        <w:spacing w:line="500" w:lineRule="exact"/>
        <w:ind w:firstLine="1120" w:firstLineChars="400"/>
        <w:rPr>
          <w:rFonts w:hint="eastAsia" w:ascii="仿宋" w:hAnsi="仿宋" w:eastAsia="仿宋"/>
          <w:bCs/>
          <w:sz w:val="28"/>
          <w:szCs w:val="28"/>
        </w:rPr>
      </w:pPr>
      <w:r>
        <w:rPr>
          <w:rFonts w:hint="eastAsia" w:ascii="仿宋" w:hAnsi="仿宋" w:eastAsia="仿宋" w:cs="宋体"/>
          <w:sz w:val="28"/>
          <w:szCs w:val="28"/>
        </w:rPr>
        <w:t xml:space="preserve">qq咨询：3177524020       </w:t>
      </w:r>
      <w:bookmarkStart w:id="0" w:name="_GoBack"/>
      <w:bookmarkEnd w:id="0"/>
      <w:r>
        <w:rPr>
          <w:rFonts w:hint="eastAsia" w:ascii="仿宋" w:hAnsi="仿宋" w:eastAsia="仿宋" w:cs="宋体"/>
          <w:sz w:val="28"/>
          <w:szCs w:val="28"/>
        </w:rPr>
        <w:t>网    址：http://www.zqgpchina.cn</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E93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741D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2741D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NmYwMDdkMDkwYjZkN2YwZjRmZmE3ZmFhM2M3OTMifQ=="/>
  </w:docVars>
  <w:rsids>
    <w:rsidRoot w:val="00027639"/>
    <w:rsid w:val="00027639"/>
    <w:rsid w:val="000513B4"/>
    <w:rsid w:val="001218CC"/>
    <w:rsid w:val="001C250E"/>
    <w:rsid w:val="002239AD"/>
    <w:rsid w:val="00250056"/>
    <w:rsid w:val="002F3D5B"/>
    <w:rsid w:val="00302347"/>
    <w:rsid w:val="00381D72"/>
    <w:rsid w:val="0039454B"/>
    <w:rsid w:val="004040A7"/>
    <w:rsid w:val="0044601B"/>
    <w:rsid w:val="00455CEE"/>
    <w:rsid w:val="004F7BCB"/>
    <w:rsid w:val="00506050"/>
    <w:rsid w:val="005C1C7B"/>
    <w:rsid w:val="00601C67"/>
    <w:rsid w:val="006623E6"/>
    <w:rsid w:val="00697750"/>
    <w:rsid w:val="006C0AF0"/>
    <w:rsid w:val="006C5735"/>
    <w:rsid w:val="007625DE"/>
    <w:rsid w:val="0076415D"/>
    <w:rsid w:val="0079771C"/>
    <w:rsid w:val="007A5114"/>
    <w:rsid w:val="00843CF0"/>
    <w:rsid w:val="00852A43"/>
    <w:rsid w:val="00870260"/>
    <w:rsid w:val="00883036"/>
    <w:rsid w:val="00893A6E"/>
    <w:rsid w:val="008F5B4C"/>
    <w:rsid w:val="00972F5E"/>
    <w:rsid w:val="00974B79"/>
    <w:rsid w:val="00A1286A"/>
    <w:rsid w:val="00C11E2C"/>
    <w:rsid w:val="00D90F3C"/>
    <w:rsid w:val="00DD5753"/>
    <w:rsid w:val="00DF2D3A"/>
    <w:rsid w:val="00E11468"/>
    <w:rsid w:val="01316E7C"/>
    <w:rsid w:val="01516AF1"/>
    <w:rsid w:val="01987FE8"/>
    <w:rsid w:val="01AE4574"/>
    <w:rsid w:val="02246087"/>
    <w:rsid w:val="02283D27"/>
    <w:rsid w:val="02C16945"/>
    <w:rsid w:val="02E736C5"/>
    <w:rsid w:val="02EC7B2B"/>
    <w:rsid w:val="034A3564"/>
    <w:rsid w:val="03EF1A7B"/>
    <w:rsid w:val="04463A45"/>
    <w:rsid w:val="04603110"/>
    <w:rsid w:val="046B7B3A"/>
    <w:rsid w:val="04B540F9"/>
    <w:rsid w:val="04BF763A"/>
    <w:rsid w:val="04FE368F"/>
    <w:rsid w:val="05417508"/>
    <w:rsid w:val="059A1535"/>
    <w:rsid w:val="05CB627D"/>
    <w:rsid w:val="06D1078B"/>
    <w:rsid w:val="070257B1"/>
    <w:rsid w:val="070420AA"/>
    <w:rsid w:val="070D763C"/>
    <w:rsid w:val="07103229"/>
    <w:rsid w:val="07107623"/>
    <w:rsid w:val="075305FE"/>
    <w:rsid w:val="075A03B2"/>
    <w:rsid w:val="078464D6"/>
    <w:rsid w:val="09CB1100"/>
    <w:rsid w:val="0A7210C7"/>
    <w:rsid w:val="0A737B86"/>
    <w:rsid w:val="0A8D5FD1"/>
    <w:rsid w:val="0A946EB5"/>
    <w:rsid w:val="0AE67746"/>
    <w:rsid w:val="0AE761A7"/>
    <w:rsid w:val="0BD91A50"/>
    <w:rsid w:val="0C216BA7"/>
    <w:rsid w:val="0C2A7A8F"/>
    <w:rsid w:val="0C5A58C0"/>
    <w:rsid w:val="0DFA5F37"/>
    <w:rsid w:val="0E4042DA"/>
    <w:rsid w:val="0EBC2521"/>
    <w:rsid w:val="0ED41F07"/>
    <w:rsid w:val="0F25330D"/>
    <w:rsid w:val="0F724577"/>
    <w:rsid w:val="0F7558D2"/>
    <w:rsid w:val="0FC30880"/>
    <w:rsid w:val="0FDA48DA"/>
    <w:rsid w:val="11335E1F"/>
    <w:rsid w:val="116C044F"/>
    <w:rsid w:val="127D248A"/>
    <w:rsid w:val="130C0529"/>
    <w:rsid w:val="139060FB"/>
    <w:rsid w:val="13B93AA7"/>
    <w:rsid w:val="13F353AF"/>
    <w:rsid w:val="155B5F72"/>
    <w:rsid w:val="15962717"/>
    <w:rsid w:val="16C819B2"/>
    <w:rsid w:val="17405949"/>
    <w:rsid w:val="17E354E6"/>
    <w:rsid w:val="1839071D"/>
    <w:rsid w:val="19031FD6"/>
    <w:rsid w:val="1995519E"/>
    <w:rsid w:val="1B244036"/>
    <w:rsid w:val="1C5D7946"/>
    <w:rsid w:val="1C5E224C"/>
    <w:rsid w:val="1C6B75F8"/>
    <w:rsid w:val="1CA54A2B"/>
    <w:rsid w:val="1CFD2F9D"/>
    <w:rsid w:val="1D331FE7"/>
    <w:rsid w:val="1D712F04"/>
    <w:rsid w:val="1D807902"/>
    <w:rsid w:val="1D8F101C"/>
    <w:rsid w:val="1DE87CF1"/>
    <w:rsid w:val="1EBC06ED"/>
    <w:rsid w:val="1ECD7B33"/>
    <w:rsid w:val="1F625EE4"/>
    <w:rsid w:val="1F7F5EEC"/>
    <w:rsid w:val="1F9B0676"/>
    <w:rsid w:val="209041B3"/>
    <w:rsid w:val="20E1336C"/>
    <w:rsid w:val="21363C77"/>
    <w:rsid w:val="214B1AB8"/>
    <w:rsid w:val="21D34E85"/>
    <w:rsid w:val="22146EA2"/>
    <w:rsid w:val="22205588"/>
    <w:rsid w:val="223F285E"/>
    <w:rsid w:val="22602004"/>
    <w:rsid w:val="22B13BF7"/>
    <w:rsid w:val="22DE0403"/>
    <w:rsid w:val="232817FD"/>
    <w:rsid w:val="242C2EB1"/>
    <w:rsid w:val="245A6146"/>
    <w:rsid w:val="24DA76D0"/>
    <w:rsid w:val="25333A00"/>
    <w:rsid w:val="257162D7"/>
    <w:rsid w:val="25894AE9"/>
    <w:rsid w:val="25B463BE"/>
    <w:rsid w:val="25CF331C"/>
    <w:rsid w:val="25E42F4C"/>
    <w:rsid w:val="261B3471"/>
    <w:rsid w:val="263B316A"/>
    <w:rsid w:val="263F0AFB"/>
    <w:rsid w:val="272A3D8F"/>
    <w:rsid w:val="27E234BC"/>
    <w:rsid w:val="27F40B59"/>
    <w:rsid w:val="281D624C"/>
    <w:rsid w:val="284A2E8F"/>
    <w:rsid w:val="285C24E1"/>
    <w:rsid w:val="28B7273F"/>
    <w:rsid w:val="28DF6826"/>
    <w:rsid w:val="29E54625"/>
    <w:rsid w:val="2A842608"/>
    <w:rsid w:val="2AA00262"/>
    <w:rsid w:val="2AE00186"/>
    <w:rsid w:val="2B1617BA"/>
    <w:rsid w:val="2C1B3710"/>
    <w:rsid w:val="2C8F0D4F"/>
    <w:rsid w:val="2CF87677"/>
    <w:rsid w:val="2E9740EA"/>
    <w:rsid w:val="2EA919F7"/>
    <w:rsid w:val="2EF27054"/>
    <w:rsid w:val="2F0A5A38"/>
    <w:rsid w:val="2F0B14C0"/>
    <w:rsid w:val="2FEB6BAD"/>
    <w:rsid w:val="30550691"/>
    <w:rsid w:val="30786424"/>
    <w:rsid w:val="30CA6AAE"/>
    <w:rsid w:val="310F7D22"/>
    <w:rsid w:val="31331269"/>
    <w:rsid w:val="318560F5"/>
    <w:rsid w:val="320D295D"/>
    <w:rsid w:val="324E3B43"/>
    <w:rsid w:val="32BE00D2"/>
    <w:rsid w:val="32C42970"/>
    <w:rsid w:val="32D167FF"/>
    <w:rsid w:val="33474804"/>
    <w:rsid w:val="33A0178A"/>
    <w:rsid w:val="33AB7C3A"/>
    <w:rsid w:val="33D95DD0"/>
    <w:rsid w:val="33FB534F"/>
    <w:rsid w:val="34053E5F"/>
    <w:rsid w:val="343B2F96"/>
    <w:rsid w:val="344D72C4"/>
    <w:rsid w:val="347C5F92"/>
    <w:rsid w:val="34857C70"/>
    <w:rsid w:val="34E84457"/>
    <w:rsid w:val="3504664F"/>
    <w:rsid w:val="35D00C4E"/>
    <w:rsid w:val="35EC51ED"/>
    <w:rsid w:val="35F26D9D"/>
    <w:rsid w:val="35FC247C"/>
    <w:rsid w:val="3655075B"/>
    <w:rsid w:val="36E92171"/>
    <w:rsid w:val="374660BF"/>
    <w:rsid w:val="37476A89"/>
    <w:rsid w:val="377C07F6"/>
    <w:rsid w:val="384C21FE"/>
    <w:rsid w:val="385775AE"/>
    <w:rsid w:val="387E2E52"/>
    <w:rsid w:val="38E27111"/>
    <w:rsid w:val="38F31DD6"/>
    <w:rsid w:val="393130F5"/>
    <w:rsid w:val="393E3ED6"/>
    <w:rsid w:val="39E64B64"/>
    <w:rsid w:val="3A5B6E57"/>
    <w:rsid w:val="3B173090"/>
    <w:rsid w:val="3B1A08AC"/>
    <w:rsid w:val="3B5566D9"/>
    <w:rsid w:val="3C322776"/>
    <w:rsid w:val="3C9506A5"/>
    <w:rsid w:val="3CE734E8"/>
    <w:rsid w:val="3DEC596B"/>
    <w:rsid w:val="3E2E5006"/>
    <w:rsid w:val="3E5945DA"/>
    <w:rsid w:val="3E750094"/>
    <w:rsid w:val="3E9B1F29"/>
    <w:rsid w:val="3EA01D70"/>
    <w:rsid w:val="3EBE7890"/>
    <w:rsid w:val="3ECB6600"/>
    <w:rsid w:val="3EE020AB"/>
    <w:rsid w:val="3EF65E41"/>
    <w:rsid w:val="40D31362"/>
    <w:rsid w:val="41140FA4"/>
    <w:rsid w:val="414D55BF"/>
    <w:rsid w:val="415365F3"/>
    <w:rsid w:val="416D064F"/>
    <w:rsid w:val="42037909"/>
    <w:rsid w:val="421A65C9"/>
    <w:rsid w:val="445428A5"/>
    <w:rsid w:val="44A67708"/>
    <w:rsid w:val="44F31B62"/>
    <w:rsid w:val="452300F9"/>
    <w:rsid w:val="454A4722"/>
    <w:rsid w:val="455A5594"/>
    <w:rsid w:val="45A21D6F"/>
    <w:rsid w:val="45B41A04"/>
    <w:rsid w:val="4607616F"/>
    <w:rsid w:val="46C85908"/>
    <w:rsid w:val="4740023F"/>
    <w:rsid w:val="47925F0D"/>
    <w:rsid w:val="47947ED7"/>
    <w:rsid w:val="480D306A"/>
    <w:rsid w:val="482F7BFF"/>
    <w:rsid w:val="485A43AD"/>
    <w:rsid w:val="49100BEF"/>
    <w:rsid w:val="493C25D4"/>
    <w:rsid w:val="4B1D01E3"/>
    <w:rsid w:val="4B2105DB"/>
    <w:rsid w:val="4B935DB5"/>
    <w:rsid w:val="4C270A49"/>
    <w:rsid w:val="4C3F71EA"/>
    <w:rsid w:val="4CA23F11"/>
    <w:rsid w:val="4D01600E"/>
    <w:rsid w:val="4EB0783E"/>
    <w:rsid w:val="4F9B0500"/>
    <w:rsid w:val="4FFE3B4C"/>
    <w:rsid w:val="501E0B2E"/>
    <w:rsid w:val="508227B1"/>
    <w:rsid w:val="50843749"/>
    <w:rsid w:val="50A351EE"/>
    <w:rsid w:val="51072E29"/>
    <w:rsid w:val="514A0CA9"/>
    <w:rsid w:val="51B613A2"/>
    <w:rsid w:val="520C2832"/>
    <w:rsid w:val="52187956"/>
    <w:rsid w:val="5259180E"/>
    <w:rsid w:val="52754DA9"/>
    <w:rsid w:val="531F2E54"/>
    <w:rsid w:val="535F3A8F"/>
    <w:rsid w:val="53632BF3"/>
    <w:rsid w:val="53672652"/>
    <w:rsid w:val="53B575D1"/>
    <w:rsid w:val="547278B4"/>
    <w:rsid w:val="54B43917"/>
    <w:rsid w:val="54BD30D7"/>
    <w:rsid w:val="55581709"/>
    <w:rsid w:val="557A6818"/>
    <w:rsid w:val="564178D8"/>
    <w:rsid w:val="564F7B2D"/>
    <w:rsid w:val="565D308F"/>
    <w:rsid w:val="56B11101"/>
    <w:rsid w:val="56D05ED4"/>
    <w:rsid w:val="5772FCB7"/>
    <w:rsid w:val="57C85650"/>
    <w:rsid w:val="581A2C5C"/>
    <w:rsid w:val="59183369"/>
    <w:rsid w:val="591D44D4"/>
    <w:rsid w:val="592809A0"/>
    <w:rsid w:val="594E2CF2"/>
    <w:rsid w:val="597B0EF6"/>
    <w:rsid w:val="59D0248F"/>
    <w:rsid w:val="59D8249B"/>
    <w:rsid w:val="5B1600C0"/>
    <w:rsid w:val="5B8B1239"/>
    <w:rsid w:val="5BA25CE6"/>
    <w:rsid w:val="5BE2525D"/>
    <w:rsid w:val="5C485A8F"/>
    <w:rsid w:val="5C694405"/>
    <w:rsid w:val="5CDF5916"/>
    <w:rsid w:val="5D1A2BD1"/>
    <w:rsid w:val="5D3B220F"/>
    <w:rsid w:val="5D5E3558"/>
    <w:rsid w:val="5D8B205D"/>
    <w:rsid w:val="5DB02812"/>
    <w:rsid w:val="5DC14469"/>
    <w:rsid w:val="5DFE3EA4"/>
    <w:rsid w:val="5E57605E"/>
    <w:rsid w:val="5F42287E"/>
    <w:rsid w:val="5F477CD2"/>
    <w:rsid w:val="5FDE1567"/>
    <w:rsid w:val="617E5305"/>
    <w:rsid w:val="61F90E67"/>
    <w:rsid w:val="620324DC"/>
    <w:rsid w:val="621300A7"/>
    <w:rsid w:val="62157F05"/>
    <w:rsid w:val="62515973"/>
    <w:rsid w:val="63010E7F"/>
    <w:rsid w:val="631B72A6"/>
    <w:rsid w:val="635B76A3"/>
    <w:rsid w:val="635F7F10"/>
    <w:rsid w:val="63FA178C"/>
    <w:rsid w:val="63FF0115"/>
    <w:rsid w:val="64B1156D"/>
    <w:rsid w:val="64F6629B"/>
    <w:rsid w:val="65005A5A"/>
    <w:rsid w:val="652F01FE"/>
    <w:rsid w:val="65334239"/>
    <w:rsid w:val="65B82E88"/>
    <w:rsid w:val="65BC2401"/>
    <w:rsid w:val="65DF3E6E"/>
    <w:rsid w:val="660077B9"/>
    <w:rsid w:val="66280DA5"/>
    <w:rsid w:val="677245A4"/>
    <w:rsid w:val="67B06A02"/>
    <w:rsid w:val="67CC4360"/>
    <w:rsid w:val="67D422AC"/>
    <w:rsid w:val="67FE9C09"/>
    <w:rsid w:val="68407ECF"/>
    <w:rsid w:val="69AE723D"/>
    <w:rsid w:val="6A272DD0"/>
    <w:rsid w:val="6A4C1286"/>
    <w:rsid w:val="6AAD6029"/>
    <w:rsid w:val="6ADA3941"/>
    <w:rsid w:val="6B57393D"/>
    <w:rsid w:val="6B59096C"/>
    <w:rsid w:val="6CD3577D"/>
    <w:rsid w:val="6CDB2A7E"/>
    <w:rsid w:val="6DFB7150"/>
    <w:rsid w:val="6E7B18D7"/>
    <w:rsid w:val="6E965B43"/>
    <w:rsid w:val="6F0D5D08"/>
    <w:rsid w:val="6F214980"/>
    <w:rsid w:val="6FAC2319"/>
    <w:rsid w:val="706C7393"/>
    <w:rsid w:val="706E62B6"/>
    <w:rsid w:val="707F1A1E"/>
    <w:rsid w:val="709C1A26"/>
    <w:rsid w:val="70A616C3"/>
    <w:rsid w:val="70E54759"/>
    <w:rsid w:val="71414222"/>
    <w:rsid w:val="72185BDB"/>
    <w:rsid w:val="72471157"/>
    <w:rsid w:val="7249798C"/>
    <w:rsid w:val="72BE604F"/>
    <w:rsid w:val="72E90827"/>
    <w:rsid w:val="72F36177"/>
    <w:rsid w:val="733572E2"/>
    <w:rsid w:val="733A388C"/>
    <w:rsid w:val="734B771E"/>
    <w:rsid w:val="7389364F"/>
    <w:rsid w:val="74325BC2"/>
    <w:rsid w:val="7477623B"/>
    <w:rsid w:val="74B943A6"/>
    <w:rsid w:val="74D10463"/>
    <w:rsid w:val="75F40DF3"/>
    <w:rsid w:val="77203594"/>
    <w:rsid w:val="77402BC1"/>
    <w:rsid w:val="77446AA2"/>
    <w:rsid w:val="77C53F91"/>
    <w:rsid w:val="77E02FA1"/>
    <w:rsid w:val="785A0282"/>
    <w:rsid w:val="789B48A7"/>
    <w:rsid w:val="78CF5E67"/>
    <w:rsid w:val="78E937EF"/>
    <w:rsid w:val="79157389"/>
    <w:rsid w:val="795C6A1C"/>
    <w:rsid w:val="79ED6E4F"/>
    <w:rsid w:val="7AB4450E"/>
    <w:rsid w:val="7AE373EA"/>
    <w:rsid w:val="7B407452"/>
    <w:rsid w:val="7B5B0882"/>
    <w:rsid w:val="7B6F834D"/>
    <w:rsid w:val="7BD83B2F"/>
    <w:rsid w:val="7BF658CD"/>
    <w:rsid w:val="7C6C3019"/>
    <w:rsid w:val="7C84619E"/>
    <w:rsid w:val="7CC16BC7"/>
    <w:rsid w:val="7CE253F0"/>
    <w:rsid w:val="7CE45748"/>
    <w:rsid w:val="7D030DF0"/>
    <w:rsid w:val="7D144014"/>
    <w:rsid w:val="7E721350"/>
    <w:rsid w:val="7E962F62"/>
    <w:rsid w:val="7EF9C560"/>
    <w:rsid w:val="7FCD356F"/>
    <w:rsid w:val="7FFF04A0"/>
    <w:rsid w:val="9FEFB93E"/>
    <w:rsid w:val="CEDEC2A8"/>
    <w:rsid w:val="DB7D24D0"/>
    <w:rsid w:val="EEBF3444"/>
    <w:rsid w:val="EF71FFFB"/>
    <w:rsid w:val="FC7E9E93"/>
    <w:rsid w:val="FEFF1028"/>
    <w:rsid w:val="FFB7C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rPr>
      <w:kern w:val="0"/>
      <w:sz w:val="24"/>
      <w:szCs w:val="24"/>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Body Text First Indent 2"/>
    <w:basedOn w:val="3"/>
    <w:next w:val="1"/>
    <w:qFormat/>
    <w:uiPriority w:val="99"/>
    <w:pPr>
      <w:tabs>
        <w:tab w:val="left" w:pos="-1440"/>
      </w:tabs>
      <w:autoSpaceDE w:val="0"/>
      <w:autoSpaceDN w:val="0"/>
      <w:adjustRightInd w:val="0"/>
      <w:spacing w:after="0" w:line="360" w:lineRule="auto"/>
      <w:ind w:left="176" w:leftChars="0" w:firstLine="420" w:firstLineChars="200"/>
      <w:jc w:val="left"/>
    </w:pPr>
    <w:rPr>
      <w:rFonts w:hint="eastAsia" w:ascii="仿宋" w:eastAsia="仿宋"/>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34"/>
    <w:pPr>
      <w:ind w:left="480" w:leftChars="200"/>
    </w:pPr>
  </w:style>
  <w:style w:type="character" w:customStyle="1" w:styleId="15">
    <w:name w:val="页眉 字符"/>
    <w:basedOn w:val="11"/>
    <w:link w:val="5"/>
    <w:qFormat/>
    <w:uiPriority w:val="0"/>
    <w:rPr>
      <w:kern w:val="2"/>
      <w:sz w:val="18"/>
      <w:szCs w:val="18"/>
    </w:rPr>
  </w:style>
  <w:style w:type="character" w:customStyle="1" w:styleId="16">
    <w:name w:val="页脚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6049</Words>
  <Characters>6573</Characters>
  <Lines>48</Lines>
  <Paragraphs>13</Paragraphs>
  <TotalTime>4</TotalTime>
  <ScaleCrop>false</ScaleCrop>
  <LinksUpToDate>false</LinksUpToDate>
  <CharactersWithSpaces>6771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2024-12-31T09:06:00Z</dcterms:created>
  <dc:creator>Administrator</dc:creator>
  <cp:lastModifiedBy>聂红军</cp:lastModifiedBy>
  <dcterms:modified xsi:type="dcterms:W3CDTF">2025-04-30T02:39:44Z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D92B388C753D42A8A68463F8C9047C35_13</vt:lpwstr>
  </property>
  <property fmtid="{D5CDD505-2E9C-101B-9397-08002B2CF9AE}" pid="4" name="KSOTemplateDocerSaveRecord">
    <vt:lpwstr>eyJoZGlkIjoiZTUyMWM5NTU3NmQwMzYzZGY2NjUyMjZkNDUzMDVhNDkiLCJ1c2VySWQiOiI0OTM4MTE0ODQifQ==</vt:lpwstr>
  </property>
</Properties>
</file>