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D57FF">
      <w:pPr>
        <w:jc w:val="center"/>
        <w:rPr>
          <w:rFonts w:hint="eastAsia" w:ascii="仿宋" w:hAnsi="仿宋" w:eastAsia="仿宋" w:cs="仿宋"/>
          <w:color w:val="FF0000"/>
          <w:spacing w:val="-57"/>
          <w:sz w:val="72"/>
          <w:szCs w:val="72"/>
        </w:rPr>
      </w:pPr>
      <w:r>
        <w:rPr>
          <w:rFonts w:hint="eastAsia" w:ascii="仿宋" w:hAnsi="仿宋" w:eastAsia="仿宋" w:cs="仿宋"/>
          <w:b/>
          <w:bCs/>
          <w:color w:val="FF0000"/>
          <w:spacing w:val="-57"/>
          <w:sz w:val="72"/>
          <w:szCs w:val="72"/>
        </w:rPr>
        <w:t>北京建术信息科技研究院有限公司</w:t>
      </w:r>
    </w:p>
    <w:p w14:paraId="5FE3E818">
      <w:pPr>
        <w:jc w:val="center"/>
        <w:rPr>
          <w:rFonts w:hint="eastAsia" w:ascii="仿宋" w:hAnsi="仿宋" w:eastAsia="仿宋" w:cs="仿宋"/>
          <w:b/>
          <w:sz w:val="28"/>
          <w:szCs w:val="28"/>
        </w:rPr>
      </w:pPr>
      <w:r>
        <w:rPr>
          <w:rFonts w:hint="eastAsia" w:ascii="仿宋" w:hAnsi="仿宋" w:eastAsia="仿宋" w:cs="仿宋"/>
          <w:sz w:val="24"/>
          <w:szCs w:val="24"/>
        </w:rPr>
        <w:t>建术信息202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58</w:t>
      </w:r>
      <w:r>
        <w:rPr>
          <w:rFonts w:hint="eastAsia" w:ascii="仿宋" w:hAnsi="仿宋" w:eastAsia="仿宋" w:cs="仿宋"/>
          <w:sz w:val="24"/>
          <w:szCs w:val="24"/>
        </w:rPr>
        <w:t>】号</w:t>
      </w:r>
    </w:p>
    <w:p w14:paraId="68A78205">
      <w:pPr>
        <w:jc w:val="center"/>
        <w:rPr>
          <w:rFonts w:hint="eastAsia" w:ascii="仿宋" w:hAnsi="仿宋" w:eastAsia="仿宋" w:cs="仿宋"/>
          <w:b/>
          <w:color w:val="C00000"/>
        </w:rPr>
      </w:pPr>
      <w:r>
        <w:rPr>
          <w:rFonts w:hint="eastAsia" w:ascii="仿宋" w:hAnsi="仿宋" w:eastAsia="仿宋" w:cs="仿宋"/>
          <w:sz w:val="24"/>
          <w:szCs w:val="24"/>
        </w:rPr>
        <mc:AlternateContent>
          <mc:Choice Requires="wps">
            <w:drawing>
              <wp:anchor distT="0" distB="0" distL="114300" distR="114300" simplePos="0" relativeHeight="251659264" behindDoc="0" locked="0" layoutInCell="1" allowOverlap="1">
                <wp:simplePos x="0" y="0"/>
                <wp:positionH relativeFrom="column">
                  <wp:posOffset>-182245</wp:posOffset>
                </wp:positionH>
                <wp:positionV relativeFrom="paragraph">
                  <wp:posOffset>45720</wp:posOffset>
                </wp:positionV>
                <wp:extent cx="6061710" cy="0"/>
                <wp:effectExtent l="0" t="9525" r="8890" b="15875"/>
                <wp:wrapNone/>
                <wp:docPr id="1" name="直接连接符 1"/>
                <wp:cNvGraphicFramePr/>
                <a:graphic xmlns:a="http://schemas.openxmlformats.org/drawingml/2006/main">
                  <a:graphicData uri="http://schemas.microsoft.com/office/word/2010/wordprocessingShape">
                    <wps:wsp>
                      <wps:cNvCnPr/>
                      <wps:spPr>
                        <a:xfrm>
                          <a:off x="1121410" y="1794510"/>
                          <a:ext cx="6061710" cy="0"/>
                        </a:xfrm>
                        <a:prstGeom prst="line">
                          <a:avLst/>
                        </a:prstGeom>
                        <a:ln w="1905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35pt;margin-top:3.6pt;height:0pt;width:477.3pt;z-index:251659264;mso-width-relative:page;mso-height-relative:page;" filled="f" stroked="t" coordsize="21600,21600" o:gfxdata="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KF7LtMAAAAHAQAADwAAAAAAAAABACAAAAAiAAAAZHJzL2Rvd25yZXYueG1sUEsBAhQAFAAAAAgA&#10;h07iQIas+7/xAQAAvgMAAA4AAAAAAAAAAQAgAAAAIgEAAGRycy9lMm9Eb2MueG1sUEsFBgAAAAAG&#10;AAYAWQEAAIUFAAAAAA==&#10;">
                <v:fill on="f" focussize="0,0"/>
                <v:stroke weight="1.5pt" color="#FF0000 [3204]" miterlimit="8" joinstyle="miter"/>
                <v:imagedata o:title=""/>
                <o:lock v:ext="edit" aspectratio="f"/>
              </v:line>
            </w:pict>
          </mc:Fallback>
        </mc:AlternateContent>
      </w:r>
    </w:p>
    <w:p w14:paraId="2BA053CD">
      <w:pPr>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关于举办</w:t>
      </w:r>
      <w:r>
        <w:rPr>
          <w:rFonts w:hint="eastAsia" w:ascii="仿宋" w:hAnsi="仿宋" w:eastAsia="仿宋" w:cs="仿宋"/>
          <w:b/>
          <w:bCs/>
          <w:color w:val="auto"/>
          <w:sz w:val="28"/>
          <w:szCs w:val="28"/>
        </w:rPr>
        <w:t>EPC工程总承包全流程核心环节疑难问题解析与风险防控实务专题培训</w:t>
      </w:r>
      <w:r>
        <w:rPr>
          <w:rFonts w:hint="eastAsia" w:ascii="仿宋" w:hAnsi="仿宋" w:eastAsia="仿宋" w:cs="仿宋"/>
          <w:b/>
          <w:bCs/>
          <w:color w:val="auto"/>
          <w:sz w:val="28"/>
          <w:szCs w:val="28"/>
          <w:lang w:val="en-US" w:eastAsia="zh-CN"/>
        </w:rPr>
        <w:t>班的通知</w:t>
      </w:r>
    </w:p>
    <w:p w14:paraId="00B4518F">
      <w:pPr>
        <w:rPr>
          <w:rFonts w:hint="eastAsia" w:ascii="仿宋" w:hAnsi="仿宋" w:eastAsia="仿宋" w:cs="仿宋"/>
        </w:rPr>
      </w:pPr>
    </w:p>
    <w:p w14:paraId="012E4F38">
      <w:pPr>
        <w:keepNext w:val="0"/>
        <w:keepLines w:val="0"/>
        <w:pageBreakBefore w:val="0"/>
        <w:kinsoku/>
        <w:wordWrap/>
        <w:overflowPunct/>
        <w:topLinePunct w:val="0"/>
        <w:bidi w:val="0"/>
        <w:snapToGrid/>
        <w:spacing w:line="36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各有关单位：</w:t>
      </w:r>
    </w:p>
    <w:p w14:paraId="51180CA4">
      <w:pPr>
        <w:keepNext w:val="0"/>
        <w:keepLines w:val="0"/>
        <w:pageBreakBefore w:val="0"/>
        <w:kinsoku/>
        <w:wordWrap/>
        <w:overflowPunct/>
        <w:topLinePunct w:val="0"/>
        <w:bidi w:val="0"/>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EPC</w:t>
      </w:r>
      <w:r>
        <w:rPr>
          <w:rFonts w:hint="eastAsia" w:ascii="仿宋" w:hAnsi="仿宋" w:eastAsia="仿宋" w:cs="仿宋"/>
          <w:sz w:val="24"/>
          <w:szCs w:val="24"/>
          <w:lang w:val="en-US" w:eastAsia="zh-CN"/>
        </w:rPr>
        <w:t>工程</w:t>
      </w:r>
      <w:r>
        <w:rPr>
          <w:rFonts w:hint="eastAsia" w:ascii="仿宋" w:hAnsi="仿宋" w:eastAsia="仿宋" w:cs="仿宋"/>
          <w:sz w:val="24"/>
          <w:szCs w:val="24"/>
        </w:rPr>
        <w:t>总承包模式全流程管理复杂难以驾驭、核心环节疑难问题频发</w:t>
      </w:r>
      <w:r>
        <w:rPr>
          <w:rFonts w:hint="eastAsia" w:ascii="仿宋" w:hAnsi="仿宋" w:eastAsia="仿宋" w:cs="仿宋"/>
          <w:sz w:val="24"/>
          <w:szCs w:val="24"/>
          <w:lang w:eastAsia="zh-CN"/>
        </w:rPr>
        <w:t>，</w:t>
      </w:r>
      <w:r>
        <w:rPr>
          <w:rFonts w:hint="eastAsia" w:ascii="仿宋" w:hAnsi="仿宋" w:eastAsia="仿宋" w:cs="仿宋"/>
          <w:sz w:val="24"/>
          <w:szCs w:val="24"/>
        </w:rPr>
        <w:t>如合同纠纷、成本失控、超概风险、结算索赔争议、财政评审与审计挑战</w:t>
      </w:r>
      <w:r>
        <w:rPr>
          <w:rFonts w:hint="eastAsia" w:ascii="仿宋" w:hAnsi="仿宋" w:eastAsia="仿宋" w:cs="仿宋"/>
          <w:sz w:val="24"/>
          <w:szCs w:val="24"/>
          <w:lang w:eastAsia="zh-CN"/>
        </w:rPr>
        <w:t>，</w:t>
      </w:r>
      <w:r>
        <w:rPr>
          <w:rFonts w:hint="eastAsia" w:ascii="仿宋" w:hAnsi="仿宋" w:eastAsia="仿宋" w:cs="仿宋"/>
          <w:sz w:val="24"/>
          <w:szCs w:val="24"/>
        </w:rPr>
        <w:t>导致项目延误或失败风险剧增</w:t>
      </w:r>
      <w:r>
        <w:rPr>
          <w:rFonts w:hint="eastAsia" w:ascii="仿宋" w:hAnsi="仿宋" w:eastAsia="仿宋" w:cs="仿宋"/>
          <w:sz w:val="24"/>
          <w:szCs w:val="24"/>
          <w:lang w:eastAsia="zh-CN"/>
        </w:rPr>
        <w:t>。</w:t>
      </w:r>
      <w:r>
        <w:rPr>
          <w:rFonts w:hint="eastAsia" w:ascii="仿宋" w:hAnsi="仿宋" w:eastAsia="仿宋" w:cs="仿宋"/>
          <w:sz w:val="24"/>
          <w:szCs w:val="24"/>
        </w:rPr>
        <w:t>在EPC项目管理的复杂迷局中，</w:t>
      </w:r>
      <w:r>
        <w:rPr>
          <w:rFonts w:hint="eastAsia" w:ascii="仿宋" w:hAnsi="仿宋" w:eastAsia="仿宋" w:cs="仿宋"/>
          <w:sz w:val="24"/>
          <w:szCs w:val="24"/>
          <w:lang w:val="en-US" w:eastAsia="zh-CN"/>
        </w:rPr>
        <w:t>如何</w:t>
      </w:r>
      <w:r>
        <w:rPr>
          <w:rFonts w:hint="eastAsia" w:ascii="仿宋" w:hAnsi="仿宋" w:eastAsia="仿宋" w:cs="仿宋"/>
          <w:sz w:val="24"/>
          <w:szCs w:val="24"/>
        </w:rPr>
        <w:t>精准识别风险点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如何</w:t>
      </w:r>
      <w:r>
        <w:rPr>
          <w:rFonts w:hint="eastAsia" w:ascii="仿宋" w:hAnsi="仿宋" w:eastAsia="仿宋" w:cs="仿宋"/>
          <w:sz w:val="24"/>
          <w:szCs w:val="24"/>
        </w:rPr>
        <w:t>掌握主动防控力、显著提升合规管理水平</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如何</w:t>
      </w:r>
      <w:r>
        <w:rPr>
          <w:rFonts w:hint="eastAsia" w:ascii="仿宋" w:hAnsi="仿宋" w:eastAsia="仿宋" w:cs="仿宋"/>
          <w:sz w:val="24"/>
          <w:szCs w:val="24"/>
        </w:rPr>
        <w:t>实现从理论到实战能力的跨越式提升</w:t>
      </w:r>
      <w:r>
        <w:rPr>
          <w:rFonts w:hint="eastAsia" w:ascii="仿宋" w:hAnsi="仿宋" w:eastAsia="仿宋" w:cs="仿宋"/>
          <w:sz w:val="24"/>
          <w:szCs w:val="24"/>
          <w:lang w:eastAsia="zh-CN"/>
        </w:rPr>
        <w:t>？</w:t>
      </w:r>
      <w:r>
        <w:rPr>
          <w:rFonts w:hint="eastAsia" w:ascii="仿宋" w:hAnsi="仿宋" w:eastAsia="仿宋" w:cs="仿宋"/>
          <w:sz w:val="24"/>
          <w:szCs w:val="24"/>
        </w:rPr>
        <w:t>迫切</w:t>
      </w:r>
      <w:r>
        <w:rPr>
          <w:rFonts w:hint="eastAsia" w:ascii="仿宋" w:hAnsi="仿宋" w:eastAsia="仿宋" w:cs="仿宋"/>
          <w:sz w:val="24"/>
          <w:szCs w:val="24"/>
          <w:lang w:val="en-US" w:eastAsia="zh-CN"/>
        </w:rPr>
        <w:t>需要</w:t>
      </w:r>
      <w:r>
        <w:rPr>
          <w:rFonts w:hint="eastAsia" w:ascii="仿宋" w:hAnsi="仿宋" w:eastAsia="仿宋" w:cs="仿宋"/>
          <w:sz w:val="24"/>
          <w:szCs w:val="24"/>
        </w:rPr>
        <w:t>突破痛点的指南。</w:t>
      </w:r>
    </w:p>
    <w:p w14:paraId="7F60BCC6">
      <w:pPr>
        <w:keepNext w:val="0"/>
        <w:keepLines w:val="0"/>
        <w:pageBreakBefore w:val="0"/>
        <w:kinsoku/>
        <w:wordWrap/>
        <w:overflowPunct/>
        <w:topLinePunct w:val="0"/>
        <w:bidi w:val="0"/>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为实现各方合作共赢的梦想，我</w:t>
      </w:r>
      <w:r>
        <w:rPr>
          <w:rFonts w:hint="eastAsia" w:ascii="仿宋" w:hAnsi="仿宋" w:eastAsia="仿宋" w:cs="仿宋"/>
          <w:sz w:val="24"/>
          <w:szCs w:val="24"/>
          <w:lang w:val="en-US" w:eastAsia="zh-CN"/>
        </w:rPr>
        <w:t>司</w:t>
      </w:r>
      <w:r>
        <w:rPr>
          <w:rFonts w:hint="eastAsia" w:ascii="仿宋" w:hAnsi="仿宋" w:eastAsia="仿宋" w:cs="仿宋"/>
          <w:sz w:val="24"/>
          <w:szCs w:val="24"/>
        </w:rPr>
        <w:t>决定举办</w:t>
      </w:r>
      <w:r>
        <w:rPr>
          <w:rFonts w:hint="eastAsia" w:ascii="仿宋" w:hAnsi="仿宋" w:eastAsia="仿宋" w:cs="仿宋"/>
          <w:b/>
          <w:bCs/>
          <w:sz w:val="24"/>
          <w:szCs w:val="24"/>
        </w:rPr>
        <w:t>“EPC工程总承包全流程核心环节疑难问题解析与风险防控实务专题培训班”</w:t>
      </w:r>
      <w:r>
        <w:rPr>
          <w:rFonts w:hint="eastAsia" w:ascii="仿宋" w:hAnsi="仿宋" w:eastAsia="仿宋" w:cs="仿宋"/>
          <w:sz w:val="24"/>
          <w:szCs w:val="24"/>
        </w:rPr>
        <w:t>。系统性覆盖招投标、概算限额、签约履约、预算执行、结算索赔、财政评审、审计争议等核心阶段全流程，聚焦真实高频疑难问题清单</w:t>
      </w:r>
      <w:r>
        <w:rPr>
          <w:rFonts w:hint="eastAsia" w:ascii="仿宋" w:hAnsi="仿宋" w:eastAsia="仿宋" w:cs="仿宋"/>
          <w:sz w:val="24"/>
          <w:szCs w:val="24"/>
          <w:lang w:eastAsia="zh-CN"/>
        </w:rPr>
        <w:t>，</w:t>
      </w:r>
      <w:r>
        <w:rPr>
          <w:rFonts w:hint="eastAsia" w:ascii="仿宋" w:hAnsi="仿宋" w:eastAsia="仿宋" w:cs="仿宋"/>
          <w:sz w:val="24"/>
          <w:szCs w:val="24"/>
        </w:rPr>
        <w:t>提炼出风险防控的“硬核”解决方案与落地策略</w:t>
      </w:r>
      <w:r>
        <w:rPr>
          <w:rFonts w:hint="eastAsia" w:ascii="仿宋" w:hAnsi="仿宋" w:eastAsia="仿宋" w:cs="仿宋"/>
          <w:sz w:val="24"/>
          <w:szCs w:val="24"/>
          <w:lang w:eastAsia="zh-CN"/>
        </w:rPr>
        <w:t>。</w:t>
      </w:r>
      <w:r>
        <w:rPr>
          <w:rFonts w:hint="eastAsia" w:ascii="仿宋" w:hAnsi="仿宋" w:eastAsia="仿宋" w:cs="仿宋"/>
          <w:sz w:val="24"/>
          <w:szCs w:val="24"/>
        </w:rPr>
        <w:t>通过深入解析关键环节的实操疑难问题（如设计-采购-施工一体化难点）并提供高效的风险防控策略（如法律合规、成本控制及应急预案），助</w:t>
      </w:r>
      <w:r>
        <w:rPr>
          <w:rFonts w:hint="eastAsia" w:ascii="仿宋" w:hAnsi="仿宋" w:eastAsia="仿宋" w:cs="仿宋"/>
          <w:sz w:val="24"/>
          <w:szCs w:val="24"/>
          <w:lang w:val="en-US" w:eastAsia="zh-CN"/>
        </w:rPr>
        <w:t>力</w:t>
      </w:r>
      <w:r>
        <w:rPr>
          <w:rFonts w:hint="eastAsia" w:ascii="仿宋" w:hAnsi="仿宋" w:eastAsia="仿宋" w:cs="仿宋"/>
          <w:sz w:val="24"/>
          <w:szCs w:val="24"/>
        </w:rPr>
        <w:t>管理者精准应对挑战、强化实战能力，从而降低风险损失，确保项目管理卓越。现将有关事项通知如下：</w:t>
      </w:r>
    </w:p>
    <w:p w14:paraId="1BE9A5A0">
      <w:pPr>
        <w:pStyle w:val="8"/>
        <w:keepNext w:val="0"/>
        <w:keepLines w:val="0"/>
        <w:pageBreakBefore w:val="0"/>
        <w:widowControl/>
        <w:numPr>
          <w:ilvl w:val="0"/>
          <w:numId w:val="1"/>
        </w:numPr>
        <w:kinsoku/>
        <w:wordWrap/>
        <w:overflowPunct/>
        <w:topLinePunct w:val="0"/>
        <w:autoSpaceDE w:val="0"/>
        <w:autoSpaceDN w:val="0"/>
        <w:bidi w:val="0"/>
        <w:adjustRightInd w:val="0"/>
        <w:snapToGrid/>
        <w:spacing w:line="360" w:lineRule="exact"/>
        <w:ind w:firstLine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培训内容</w:t>
      </w:r>
    </w:p>
    <w:p w14:paraId="679CF6B2">
      <w:pPr>
        <w:pStyle w:val="8"/>
        <w:keepNext w:val="0"/>
        <w:keepLines w:val="0"/>
        <w:pageBreakBefore w:val="0"/>
        <w:widowControl/>
        <w:kinsoku/>
        <w:wordWrap/>
        <w:overflowPunct/>
        <w:topLinePunct w:val="0"/>
        <w:autoSpaceDE w:val="0"/>
        <w:autoSpaceDN w:val="0"/>
        <w:bidi w:val="0"/>
        <w:adjustRightInd w:val="0"/>
        <w:snapToGrid/>
        <w:spacing w:line="360" w:lineRule="exact"/>
        <w:ind w:firstLine="0" w:firstLine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（一）EPC项目招投标阶段疑难问题</w:t>
      </w:r>
    </w:p>
    <w:p w14:paraId="79BF4E2C">
      <w:pPr>
        <w:pStyle w:val="8"/>
        <w:keepNext w:val="0"/>
        <w:keepLines w:val="0"/>
        <w:pageBreakBefore w:val="0"/>
        <w:numPr>
          <w:ilvl w:val="0"/>
          <w:numId w:val="2"/>
        </w:numPr>
        <w:kinsoku/>
        <w:wordWrap/>
        <w:overflowPunct/>
        <w:topLinePunct w:val="0"/>
        <w:bidi w:val="0"/>
        <w:snapToGrid/>
        <w:spacing w:line="36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EPC项目招标文件上说按正式批复面积为准，但正式批复面积比初设图纸建筑面积算法偏少。面积差是否可以计算给乙方，如何处理？</w:t>
      </w:r>
    </w:p>
    <w:p w14:paraId="65A02205">
      <w:pPr>
        <w:pStyle w:val="8"/>
        <w:keepNext w:val="0"/>
        <w:keepLines w:val="0"/>
        <w:pageBreakBefore w:val="0"/>
        <w:numPr>
          <w:ilvl w:val="0"/>
          <w:numId w:val="2"/>
        </w:numPr>
        <w:kinsoku/>
        <w:wordWrap/>
        <w:overflowPunct/>
        <w:topLinePunct w:val="0"/>
        <w:bidi w:val="0"/>
        <w:snapToGrid/>
        <w:spacing w:line="36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EPC项目采用固定总价合同，根据初设图编制概算并签订合同。审核单位按初设图计量，使用省房建、市政、安装等定额，是否合理？</w:t>
      </w:r>
    </w:p>
    <w:p w14:paraId="4AB3601F">
      <w:pPr>
        <w:pStyle w:val="8"/>
        <w:keepNext w:val="0"/>
        <w:keepLines w:val="0"/>
        <w:pageBreakBefore w:val="0"/>
        <w:numPr>
          <w:ilvl w:val="0"/>
          <w:numId w:val="2"/>
        </w:numPr>
        <w:kinsoku/>
        <w:wordWrap/>
        <w:overflowPunct/>
        <w:topLinePunct w:val="0"/>
        <w:bidi w:val="0"/>
        <w:snapToGrid/>
        <w:spacing w:line="36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EPC总包单位在做初设时，根据规划局要求优化污水管网，增加费用过大，是签证变更还是重新招标？</w:t>
      </w:r>
    </w:p>
    <w:p w14:paraId="7C5978FA">
      <w:pPr>
        <w:pStyle w:val="8"/>
        <w:keepNext w:val="0"/>
        <w:keepLines w:val="0"/>
        <w:pageBreakBefore w:val="0"/>
        <w:numPr>
          <w:ilvl w:val="0"/>
          <w:numId w:val="2"/>
        </w:numPr>
        <w:kinsoku/>
        <w:wordWrap/>
        <w:overflowPunct/>
        <w:topLinePunct w:val="0"/>
        <w:bidi w:val="0"/>
        <w:snapToGrid/>
        <w:spacing w:line="36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取费中的安全文明施工费根据不得竞争的原则是否不能下浮？</w:t>
      </w:r>
    </w:p>
    <w:p w14:paraId="64F0DE6A">
      <w:pPr>
        <w:pStyle w:val="8"/>
        <w:keepNext w:val="0"/>
        <w:keepLines w:val="0"/>
        <w:pageBreakBefore w:val="0"/>
        <w:numPr>
          <w:ilvl w:val="0"/>
          <w:numId w:val="2"/>
        </w:numPr>
        <w:kinsoku/>
        <w:wordWrap/>
        <w:overflowPunct/>
        <w:topLinePunct w:val="0"/>
        <w:bidi w:val="0"/>
        <w:snapToGrid/>
        <w:spacing w:line="36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EPC项目招标后造价过高，业主提出变更设计，降低造价，是否可行？</w:t>
      </w:r>
    </w:p>
    <w:p w14:paraId="55FF21EB">
      <w:pPr>
        <w:pStyle w:val="8"/>
        <w:keepNext w:val="0"/>
        <w:keepLines w:val="0"/>
        <w:pageBreakBefore w:val="0"/>
        <w:numPr>
          <w:ilvl w:val="0"/>
          <w:numId w:val="2"/>
        </w:numPr>
        <w:kinsoku/>
        <w:wordWrap/>
        <w:overflowPunct/>
        <w:topLinePunct w:val="0"/>
        <w:bidi w:val="0"/>
        <w:snapToGrid/>
        <w:spacing w:line="36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EPC项目，如果设计单位不具备工程勘察资质，可否由其进行分包？</w:t>
      </w:r>
    </w:p>
    <w:p w14:paraId="0B805F03">
      <w:pPr>
        <w:pStyle w:val="8"/>
        <w:keepNext w:val="0"/>
        <w:keepLines w:val="0"/>
        <w:pageBreakBefore w:val="0"/>
        <w:numPr>
          <w:ilvl w:val="0"/>
          <w:numId w:val="2"/>
        </w:numPr>
        <w:kinsoku/>
        <w:wordWrap/>
        <w:overflowPunct/>
        <w:topLinePunct w:val="0"/>
        <w:bidi w:val="0"/>
        <w:snapToGrid/>
        <w:spacing w:line="36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费率招标EPC项目，把外水、外电、智能化等分项经协商后由甲方另行发包，是否违规？</w:t>
      </w:r>
    </w:p>
    <w:p w14:paraId="4A50859F">
      <w:pPr>
        <w:pStyle w:val="8"/>
        <w:keepNext w:val="0"/>
        <w:keepLines w:val="0"/>
        <w:pageBreakBefore w:val="0"/>
        <w:numPr>
          <w:ilvl w:val="0"/>
          <w:numId w:val="2"/>
        </w:numPr>
        <w:kinsoku/>
        <w:wordWrap/>
        <w:overflowPunct/>
        <w:topLinePunct w:val="0"/>
        <w:bidi w:val="0"/>
        <w:snapToGrid/>
        <w:spacing w:line="36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工程总承包模式下，前期基础资料的风险控制？</w:t>
      </w:r>
    </w:p>
    <w:p w14:paraId="0F4132C8">
      <w:pPr>
        <w:pStyle w:val="8"/>
        <w:keepNext w:val="0"/>
        <w:keepLines w:val="0"/>
        <w:pageBreakBefore w:val="0"/>
        <w:numPr>
          <w:ilvl w:val="0"/>
          <w:numId w:val="2"/>
        </w:numPr>
        <w:kinsoku/>
        <w:wordWrap/>
        <w:overflowPunct/>
        <w:topLinePunct w:val="0"/>
        <w:bidi w:val="0"/>
        <w:snapToGrid/>
        <w:spacing w:line="36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施工图设计已完成，施工没开始，如何推行EPC？</w:t>
      </w:r>
    </w:p>
    <w:p w14:paraId="73BDCD02">
      <w:pPr>
        <w:pStyle w:val="8"/>
        <w:keepNext w:val="0"/>
        <w:keepLines w:val="0"/>
        <w:pageBreakBefore w:val="0"/>
        <w:numPr>
          <w:ilvl w:val="0"/>
          <w:numId w:val="2"/>
        </w:numPr>
        <w:kinsoku/>
        <w:wordWrap/>
        <w:overflowPunct/>
        <w:topLinePunct w:val="0"/>
        <w:bidi w:val="0"/>
        <w:snapToGrid/>
        <w:spacing w:line="36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前期策划完成，立项后深化设计来不及，监管方要求审图，如何推行EPC模拟清单招标？</w:t>
      </w:r>
    </w:p>
    <w:p w14:paraId="67985FED">
      <w:pPr>
        <w:pStyle w:val="8"/>
        <w:keepNext w:val="0"/>
        <w:keepLines w:val="0"/>
        <w:pageBreakBefore w:val="0"/>
        <w:numPr>
          <w:ilvl w:val="0"/>
          <w:numId w:val="2"/>
        </w:numPr>
        <w:kinsoku/>
        <w:wordWrap/>
        <w:overflowPunct/>
        <w:topLinePunct w:val="0"/>
        <w:bidi w:val="0"/>
        <w:snapToGrid/>
        <w:spacing w:line="36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EPC项目可研概算下浮率招标，总价包干，可研对工艺指标不可能完全精准，施工图审核后，甲方认为某些环节工艺指标需要提高，总价能否调整？</w:t>
      </w:r>
    </w:p>
    <w:p w14:paraId="76AE8875">
      <w:pPr>
        <w:pStyle w:val="8"/>
        <w:keepNext w:val="0"/>
        <w:keepLines w:val="0"/>
        <w:pageBreakBefore w:val="0"/>
        <w:numPr>
          <w:ilvl w:val="0"/>
          <w:numId w:val="2"/>
        </w:numPr>
        <w:kinsoku/>
        <w:wordWrap/>
        <w:overflowPunct/>
        <w:topLinePunct w:val="0"/>
        <w:bidi w:val="0"/>
        <w:snapToGrid/>
        <w:spacing w:line="36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EPC项目招标后，将费率合同转变为带工程量清单的总价包干合同，是否合理？</w:t>
      </w:r>
    </w:p>
    <w:p w14:paraId="0B16C3DF">
      <w:pPr>
        <w:pStyle w:val="8"/>
        <w:keepNext w:val="0"/>
        <w:keepLines w:val="0"/>
        <w:pageBreakBefore w:val="0"/>
        <w:numPr>
          <w:ilvl w:val="0"/>
          <w:numId w:val="2"/>
        </w:numPr>
        <w:kinsoku/>
        <w:wordWrap/>
        <w:overflowPunct/>
        <w:topLinePunct w:val="0"/>
        <w:bidi w:val="0"/>
        <w:snapToGrid/>
        <w:spacing w:line="36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EPC项目本省定额缺项，是否可以采用外省定额？</w:t>
      </w:r>
    </w:p>
    <w:p w14:paraId="114D3ED4">
      <w:pPr>
        <w:pStyle w:val="8"/>
        <w:keepNext w:val="0"/>
        <w:keepLines w:val="0"/>
        <w:pageBreakBefore w:val="0"/>
        <w:numPr>
          <w:ilvl w:val="0"/>
          <w:numId w:val="2"/>
        </w:numPr>
        <w:kinsoku/>
        <w:wordWrap/>
        <w:overflowPunct/>
        <w:topLinePunct w:val="0"/>
        <w:bidi w:val="0"/>
        <w:snapToGrid/>
        <w:spacing w:line="360" w:lineRule="exact"/>
        <w:ind w:firstLineChars="0"/>
        <w:textAlignment w:val="auto"/>
        <w:rPr>
          <w:rFonts w:hint="eastAsia" w:ascii="仿宋" w:hAnsi="仿宋" w:eastAsia="仿宋" w:cs="仿宋"/>
          <w:sz w:val="24"/>
          <w:szCs w:val="24"/>
        </w:rPr>
      </w:pPr>
      <w:r>
        <w:rPr>
          <w:rFonts w:hint="eastAsia" w:ascii="仿宋" w:hAnsi="仿宋" w:eastAsia="仿宋" w:cs="仿宋"/>
          <w:sz w:val="24"/>
          <w:szCs w:val="24"/>
        </w:rPr>
        <w:t>EPC项目招标文件要求按清单中标价结算，合同约定定额计价结算，如何处理？</w:t>
      </w:r>
    </w:p>
    <w:p w14:paraId="7585EBCD">
      <w:pPr>
        <w:pStyle w:val="8"/>
        <w:keepNext w:val="0"/>
        <w:keepLines w:val="0"/>
        <w:pageBreakBefore w:val="0"/>
        <w:widowControl/>
        <w:kinsoku/>
        <w:wordWrap/>
        <w:overflowPunct/>
        <w:topLinePunct w:val="0"/>
        <w:autoSpaceDE w:val="0"/>
        <w:autoSpaceDN w:val="0"/>
        <w:bidi w:val="0"/>
        <w:adjustRightInd w:val="0"/>
        <w:snapToGrid/>
        <w:spacing w:line="360" w:lineRule="exact"/>
        <w:ind w:firstLine="0" w:firstLine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（二）EPC项目限额概算相关问题分析</w:t>
      </w:r>
    </w:p>
    <w:p w14:paraId="4338782D">
      <w:pPr>
        <w:pStyle w:val="8"/>
        <w:keepNext w:val="0"/>
        <w:keepLines w:val="0"/>
        <w:pageBreakBefore w:val="0"/>
        <w:numPr>
          <w:ilvl w:val="0"/>
          <w:numId w:val="3"/>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EPC项目甲方初设后，再优化，然后做概算，再以优化前初设量发包，是否合理？</w:t>
      </w:r>
    </w:p>
    <w:p w14:paraId="7A4C2B96">
      <w:pPr>
        <w:pStyle w:val="8"/>
        <w:keepNext w:val="0"/>
        <w:keepLines w:val="0"/>
        <w:pageBreakBefore w:val="0"/>
        <w:numPr>
          <w:ilvl w:val="0"/>
          <w:numId w:val="3"/>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乙方上报概算存在漏项和漏量问题，业主不允许补充。解决方法需与业主协商或寻求法律途径？</w:t>
      </w:r>
    </w:p>
    <w:p w14:paraId="43B64D39">
      <w:pPr>
        <w:pStyle w:val="8"/>
        <w:keepNext w:val="0"/>
        <w:keepLines w:val="0"/>
        <w:pageBreakBefore w:val="0"/>
        <w:numPr>
          <w:ilvl w:val="0"/>
          <w:numId w:val="3"/>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EPC初步设计概算清单招标，要求施工图预算单价不能超概算清单中对应项，是否合理？</w:t>
      </w:r>
    </w:p>
    <w:p w14:paraId="1C8A8DD9">
      <w:pPr>
        <w:pStyle w:val="8"/>
        <w:keepNext w:val="0"/>
        <w:keepLines w:val="0"/>
        <w:pageBreakBefore w:val="0"/>
        <w:numPr>
          <w:ilvl w:val="0"/>
          <w:numId w:val="3"/>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EPC概算编制时无深化图纸，概算定额与实际施工图有差异导致费用增加，如何处理？</w:t>
      </w:r>
    </w:p>
    <w:p w14:paraId="107AF82F">
      <w:pPr>
        <w:pStyle w:val="8"/>
        <w:keepNext w:val="0"/>
        <w:keepLines w:val="0"/>
        <w:pageBreakBefore w:val="0"/>
        <w:numPr>
          <w:ilvl w:val="0"/>
          <w:numId w:val="3"/>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EPC概算中二类费用按项计费，施工图预算按定额计价，远超概算，如何处理？</w:t>
      </w:r>
    </w:p>
    <w:p w14:paraId="2999DE0D">
      <w:pPr>
        <w:pStyle w:val="8"/>
        <w:keepNext w:val="0"/>
        <w:keepLines w:val="0"/>
        <w:pageBreakBefore w:val="0"/>
        <w:numPr>
          <w:ilvl w:val="0"/>
          <w:numId w:val="3"/>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EPC项目前期需确保分概、控概合理性，过程中管控落地，如何确保项目按计划进行？</w:t>
      </w:r>
    </w:p>
    <w:p w14:paraId="3DFAC293">
      <w:pPr>
        <w:pStyle w:val="8"/>
        <w:keepNext w:val="0"/>
        <w:keepLines w:val="0"/>
        <w:pageBreakBefore w:val="0"/>
        <w:numPr>
          <w:ilvl w:val="0"/>
          <w:numId w:val="3"/>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强调设计与经济协调的EPC项目，如何在实施过程中发挥价值工程，选择满足盈利性和技术可行性的技术方案或变更？</w:t>
      </w:r>
    </w:p>
    <w:p w14:paraId="38386F0E">
      <w:pPr>
        <w:pStyle w:val="8"/>
        <w:keepNext w:val="0"/>
        <w:keepLines w:val="0"/>
        <w:pageBreakBefore w:val="0"/>
        <w:numPr>
          <w:ilvl w:val="0"/>
          <w:numId w:val="3"/>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预算审核中，桩基实际结算和幕墙精装深化结算超出预算部分是否计入不可预见费用？</w:t>
      </w:r>
    </w:p>
    <w:p w14:paraId="7BCF0EFE">
      <w:pPr>
        <w:pStyle w:val="8"/>
        <w:keepNext w:val="0"/>
        <w:keepLines w:val="0"/>
        <w:pageBreakBefore w:val="0"/>
        <w:numPr>
          <w:ilvl w:val="0"/>
          <w:numId w:val="3"/>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总价EPC，施工图和初步设计工程量的差异是否可调整？如何调整？</w:t>
      </w:r>
    </w:p>
    <w:p w14:paraId="591511DF">
      <w:pPr>
        <w:pStyle w:val="8"/>
        <w:keepNext w:val="0"/>
        <w:keepLines w:val="0"/>
        <w:pageBreakBefore w:val="0"/>
        <w:numPr>
          <w:ilvl w:val="0"/>
          <w:numId w:val="3"/>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EPC项目以概算招标签订合同，概算偏低，按定额报施工图预算高于概算，能否调整概算，如何调整？</w:t>
      </w:r>
    </w:p>
    <w:p w14:paraId="1FC9EE57">
      <w:pPr>
        <w:pStyle w:val="8"/>
        <w:keepNext w:val="0"/>
        <w:keepLines w:val="0"/>
        <w:pageBreakBefore w:val="0"/>
        <w:numPr>
          <w:ilvl w:val="0"/>
          <w:numId w:val="3"/>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总价招标无清单项目，初设套价错误导致概算不足时，能否与业主协商增加概算，确保项目顺利进行？</w:t>
      </w:r>
    </w:p>
    <w:p w14:paraId="18C1B90E">
      <w:pPr>
        <w:pStyle w:val="8"/>
        <w:keepNext w:val="0"/>
        <w:keepLines w:val="0"/>
        <w:pageBreakBefore w:val="0"/>
        <w:numPr>
          <w:ilvl w:val="0"/>
          <w:numId w:val="3"/>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EPC项目两种情况：超概需压缩成本，通过降低交付标准及寻找其他降低成本的方法来增加利润；欠概则提高交付标准，但要注意平米指标偏离市场值带来的审减风险，需在施工过程中规避，如何应对？</w:t>
      </w:r>
    </w:p>
    <w:p w14:paraId="5D6009DB">
      <w:pPr>
        <w:pStyle w:val="8"/>
        <w:keepNext w:val="0"/>
        <w:keepLines w:val="0"/>
        <w:pageBreakBefore w:val="0"/>
        <w:widowControl/>
        <w:kinsoku/>
        <w:wordWrap/>
        <w:overflowPunct/>
        <w:topLinePunct w:val="0"/>
        <w:autoSpaceDE w:val="0"/>
        <w:autoSpaceDN w:val="0"/>
        <w:bidi w:val="0"/>
        <w:adjustRightInd w:val="0"/>
        <w:snapToGrid/>
        <w:spacing w:line="360" w:lineRule="exact"/>
        <w:ind w:firstLine="0" w:firstLine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（三）EPC项目签约阶段疑难问题</w:t>
      </w:r>
    </w:p>
    <w:p w14:paraId="74DEED63">
      <w:pPr>
        <w:pStyle w:val="8"/>
        <w:keepNext w:val="0"/>
        <w:keepLines w:val="0"/>
        <w:pageBreakBefore w:val="0"/>
        <w:numPr>
          <w:ilvl w:val="0"/>
          <w:numId w:val="4"/>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EPC总价包干，甲方初步设计后发包，乙方施工图减少包干量，顶格设计，是否合理？</w:t>
      </w:r>
    </w:p>
    <w:p w14:paraId="12596ACE">
      <w:pPr>
        <w:pStyle w:val="8"/>
        <w:keepNext w:val="0"/>
        <w:keepLines w:val="0"/>
        <w:pageBreakBefore w:val="0"/>
        <w:numPr>
          <w:ilvl w:val="0"/>
          <w:numId w:val="4"/>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EPC合同里总价包干，并未约定税金需要跟着政策变动而变动。目前项目经历了19年税率变更，税率从10%降至9%。项目上认为总价包干合同税率不应该改变，能成立吗？</w:t>
      </w:r>
    </w:p>
    <w:p w14:paraId="3917EBF4">
      <w:pPr>
        <w:pStyle w:val="8"/>
        <w:keepNext w:val="0"/>
        <w:keepLines w:val="0"/>
        <w:pageBreakBefore w:val="0"/>
        <w:numPr>
          <w:ilvl w:val="0"/>
          <w:numId w:val="4"/>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EPC项目中标后业主要求增加可研初设里没有的内容，可以走工程签证吗？后期审计会不会认为不合规？</w:t>
      </w:r>
    </w:p>
    <w:p w14:paraId="1E921CA5">
      <w:pPr>
        <w:pStyle w:val="8"/>
        <w:keepNext w:val="0"/>
        <w:keepLines w:val="0"/>
        <w:pageBreakBefore w:val="0"/>
        <w:numPr>
          <w:ilvl w:val="0"/>
          <w:numId w:val="4"/>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EPC招标约定甲供材，单价中应不含材料费，乙方投标时计入材料费，结算甲方要求扣除是否合理？</w:t>
      </w:r>
    </w:p>
    <w:p w14:paraId="39E075D0">
      <w:pPr>
        <w:pStyle w:val="8"/>
        <w:keepNext w:val="0"/>
        <w:keepLines w:val="0"/>
        <w:pageBreakBefore w:val="0"/>
        <w:numPr>
          <w:ilvl w:val="0"/>
          <w:numId w:val="4"/>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EPC固定总价合同，相关配套工程以“项”报价且无明细，施工后有详细图纸，总价能否调整？</w:t>
      </w:r>
    </w:p>
    <w:p w14:paraId="64B8263B">
      <w:pPr>
        <w:pStyle w:val="8"/>
        <w:keepNext w:val="0"/>
        <w:keepLines w:val="0"/>
        <w:pageBreakBefore w:val="0"/>
        <w:numPr>
          <w:ilvl w:val="0"/>
          <w:numId w:val="4"/>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EPC合同约定建安费按定额计取，超出招标限价部分由承包方承担，是否合理？</w:t>
      </w:r>
    </w:p>
    <w:p w14:paraId="67F715DD">
      <w:pPr>
        <w:pStyle w:val="8"/>
        <w:keepNext w:val="0"/>
        <w:keepLines w:val="0"/>
        <w:pageBreakBefore w:val="0"/>
        <w:numPr>
          <w:ilvl w:val="0"/>
          <w:numId w:val="4"/>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如何在合同中明确变更条款以避免风险（如设计错误导致变更不影响总造价）？</w:t>
      </w:r>
    </w:p>
    <w:p w14:paraId="32A8B404">
      <w:pPr>
        <w:pStyle w:val="8"/>
        <w:keepNext w:val="0"/>
        <w:keepLines w:val="0"/>
        <w:pageBreakBefore w:val="0"/>
        <w:numPr>
          <w:ilvl w:val="0"/>
          <w:numId w:val="4"/>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EPC合同中约定勘察由总包承担且不调价，但勘察结果与预期差距较大，如何处理？</w:t>
      </w:r>
    </w:p>
    <w:p w14:paraId="2CFC59BF">
      <w:pPr>
        <w:pStyle w:val="8"/>
        <w:keepNext w:val="0"/>
        <w:keepLines w:val="0"/>
        <w:pageBreakBefore w:val="0"/>
        <w:numPr>
          <w:ilvl w:val="0"/>
          <w:numId w:val="4"/>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先桩基施工后土地证批复是否存在违约问题，能否改变合同性质，如何处理？</w:t>
      </w:r>
    </w:p>
    <w:p w14:paraId="3AAACCCC">
      <w:pPr>
        <w:pStyle w:val="8"/>
        <w:keepNext w:val="0"/>
        <w:keepLines w:val="0"/>
        <w:pageBreakBefore w:val="0"/>
        <w:numPr>
          <w:ilvl w:val="0"/>
          <w:numId w:val="4"/>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业主与运营商合作，运营商对设计有要求，如何推行EPC？</w:t>
      </w:r>
    </w:p>
    <w:p w14:paraId="692CF46A">
      <w:pPr>
        <w:pStyle w:val="8"/>
        <w:keepNext w:val="0"/>
        <w:keepLines w:val="0"/>
        <w:pageBreakBefore w:val="0"/>
        <w:numPr>
          <w:ilvl w:val="0"/>
          <w:numId w:val="4"/>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EPC项目将红线外强电划入承包范围，供电局不同意审批，如何处理？</w:t>
      </w:r>
    </w:p>
    <w:p w14:paraId="48C5F52B">
      <w:pPr>
        <w:pStyle w:val="8"/>
        <w:keepNext w:val="0"/>
        <w:keepLines w:val="0"/>
        <w:pageBreakBefore w:val="0"/>
        <w:numPr>
          <w:ilvl w:val="0"/>
          <w:numId w:val="4"/>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EPC项目边出图边施工的并行工程，签合同时暂估价业主要求甲乙双方联合公开招标，乙方要求自己单独招标，如何处理更合规？</w:t>
      </w:r>
    </w:p>
    <w:p w14:paraId="1C4BE999">
      <w:pPr>
        <w:pStyle w:val="8"/>
        <w:keepNext w:val="0"/>
        <w:keepLines w:val="0"/>
        <w:pageBreakBefore w:val="0"/>
        <w:numPr>
          <w:ilvl w:val="0"/>
          <w:numId w:val="4"/>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项目合同要求BIM设计和总承包服务管理费用属性问题，是否属于投标让利或有其他争取角度，如何处理？</w:t>
      </w:r>
    </w:p>
    <w:p w14:paraId="65F30A3F">
      <w:pPr>
        <w:pStyle w:val="8"/>
        <w:keepNext w:val="0"/>
        <w:keepLines w:val="0"/>
        <w:pageBreakBefore w:val="0"/>
        <w:widowControl/>
        <w:kinsoku/>
        <w:wordWrap/>
        <w:overflowPunct/>
        <w:topLinePunct w:val="0"/>
        <w:autoSpaceDE w:val="0"/>
        <w:autoSpaceDN w:val="0"/>
        <w:bidi w:val="0"/>
        <w:adjustRightInd w:val="0"/>
        <w:snapToGrid/>
        <w:spacing w:line="360" w:lineRule="exact"/>
        <w:ind w:firstLine="0" w:firstLine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（四）EPC项目预算阶段疑难问题</w:t>
      </w:r>
    </w:p>
    <w:p w14:paraId="130034B5">
      <w:pPr>
        <w:pStyle w:val="8"/>
        <w:keepNext w:val="0"/>
        <w:keepLines w:val="0"/>
        <w:pageBreakBefore w:val="0"/>
        <w:numPr>
          <w:ilvl w:val="0"/>
          <w:numId w:val="5"/>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乙方上报概算中材料价格与市场差异大或失真，业主以上报价格为上限审核。理由为“自己上报低价就按照低价给”，是否合理？</w:t>
      </w:r>
    </w:p>
    <w:p w14:paraId="7D0339EA">
      <w:pPr>
        <w:pStyle w:val="8"/>
        <w:keepNext w:val="0"/>
        <w:keepLines w:val="0"/>
        <w:pageBreakBefore w:val="0"/>
        <w:numPr>
          <w:ilvl w:val="0"/>
          <w:numId w:val="5"/>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EPC项目定额计价，在某片区计价取费中是否应计取“概算幅度差、预算包干费”，如何需根据实际情况判断？</w:t>
      </w:r>
    </w:p>
    <w:p w14:paraId="5F68DD29">
      <w:pPr>
        <w:pStyle w:val="8"/>
        <w:keepNext w:val="0"/>
        <w:keepLines w:val="0"/>
        <w:pageBreakBefore w:val="0"/>
        <w:numPr>
          <w:ilvl w:val="0"/>
          <w:numId w:val="5"/>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EPC项目预算送财评信息价，编概算当期与合同约定的信息价，两期信息价，时间差，如何处理？</w:t>
      </w:r>
    </w:p>
    <w:p w14:paraId="16BC8597">
      <w:pPr>
        <w:pStyle w:val="8"/>
        <w:keepNext w:val="0"/>
        <w:keepLines w:val="0"/>
        <w:pageBreakBefore w:val="0"/>
        <w:numPr>
          <w:ilvl w:val="0"/>
          <w:numId w:val="5"/>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EPC预算财评因施工图不细致导致清单缺漏、工程量不准，如何处理？</w:t>
      </w:r>
    </w:p>
    <w:p w14:paraId="3C09AEFA">
      <w:pPr>
        <w:pStyle w:val="8"/>
        <w:keepNext w:val="0"/>
        <w:keepLines w:val="0"/>
        <w:pageBreakBefore w:val="0"/>
        <w:numPr>
          <w:ilvl w:val="0"/>
          <w:numId w:val="5"/>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EPC施工图预算财评后下浮作为固定单价，主材价格达到招标规模但乙方直接采购，如何合规定价？</w:t>
      </w:r>
    </w:p>
    <w:p w14:paraId="2270E505">
      <w:pPr>
        <w:pStyle w:val="8"/>
        <w:keepNext w:val="0"/>
        <w:keepLines w:val="0"/>
        <w:pageBreakBefore w:val="0"/>
        <w:numPr>
          <w:ilvl w:val="0"/>
          <w:numId w:val="5"/>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施工图预算评审后招标的EPC项目，预算外增加的地基加固费用如何处理？</w:t>
      </w:r>
    </w:p>
    <w:p w14:paraId="50CB5512">
      <w:pPr>
        <w:pStyle w:val="8"/>
        <w:keepNext w:val="0"/>
        <w:keepLines w:val="0"/>
        <w:pageBreakBefore w:val="0"/>
        <w:numPr>
          <w:ilvl w:val="0"/>
          <w:numId w:val="5"/>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三边工程因图纸不完整导致需求变化和造价不可控，如何有效控制？</w:t>
      </w:r>
    </w:p>
    <w:p w14:paraId="2DB7914E">
      <w:pPr>
        <w:pStyle w:val="8"/>
        <w:keepNext w:val="0"/>
        <w:keepLines w:val="0"/>
        <w:pageBreakBefore w:val="0"/>
        <w:numPr>
          <w:ilvl w:val="0"/>
          <w:numId w:val="5"/>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EPC可研招标未做初步设计，施工图预算超限价且设计优化后仍超，如何处理？</w:t>
      </w:r>
    </w:p>
    <w:p w14:paraId="2802A063">
      <w:pPr>
        <w:pStyle w:val="8"/>
        <w:keepNext w:val="0"/>
        <w:keepLines w:val="0"/>
        <w:pageBreakBefore w:val="0"/>
        <w:numPr>
          <w:ilvl w:val="0"/>
          <w:numId w:val="5"/>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EPC项目初设概算清单招标，暂估价乙方报低了，后招标或认价高了，如何处理？</w:t>
      </w:r>
    </w:p>
    <w:p w14:paraId="618AA77F">
      <w:pPr>
        <w:pStyle w:val="8"/>
        <w:keepNext w:val="0"/>
        <w:keepLines w:val="0"/>
        <w:pageBreakBefore w:val="0"/>
        <w:numPr>
          <w:ilvl w:val="0"/>
          <w:numId w:val="5"/>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EPC项目调材差，能否追加合同外的材料？</w:t>
      </w:r>
    </w:p>
    <w:p w14:paraId="16ED40F8">
      <w:pPr>
        <w:pStyle w:val="8"/>
        <w:keepNext w:val="0"/>
        <w:keepLines w:val="0"/>
        <w:pageBreakBefore w:val="0"/>
        <w:numPr>
          <w:ilvl w:val="0"/>
          <w:numId w:val="5"/>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EPC项目控制价招标，甲方责任没开工，甲方扩初图还在设计中，合同约定计价基数是9月份信息价，人材机都在涨价，乙方施工图预算可能远超控制价，如何处理？</w:t>
      </w:r>
    </w:p>
    <w:p w14:paraId="59301622">
      <w:pPr>
        <w:pStyle w:val="8"/>
        <w:keepNext w:val="0"/>
        <w:keepLines w:val="0"/>
        <w:pageBreakBefore w:val="0"/>
        <w:numPr>
          <w:ilvl w:val="0"/>
          <w:numId w:val="5"/>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无价材料是否参与整体工程下浮，如何减少下浮率造成的损失，如何处理？</w:t>
      </w:r>
    </w:p>
    <w:p w14:paraId="4D7EB399">
      <w:pPr>
        <w:pStyle w:val="8"/>
        <w:keepNext w:val="0"/>
        <w:keepLines w:val="0"/>
        <w:pageBreakBefore w:val="0"/>
        <w:widowControl/>
        <w:kinsoku/>
        <w:wordWrap/>
        <w:overflowPunct/>
        <w:topLinePunct w:val="0"/>
        <w:autoSpaceDE w:val="0"/>
        <w:autoSpaceDN w:val="0"/>
        <w:bidi w:val="0"/>
        <w:adjustRightInd w:val="0"/>
        <w:snapToGrid/>
        <w:spacing w:line="360" w:lineRule="exact"/>
        <w:ind w:firstLine="0" w:firstLine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（五）EPC项目履约阶段疑难问题</w:t>
      </w:r>
    </w:p>
    <w:p w14:paraId="411B4F14">
      <w:pPr>
        <w:pStyle w:val="8"/>
        <w:keepNext w:val="0"/>
        <w:keepLines w:val="0"/>
        <w:pageBreakBefore w:val="0"/>
        <w:numPr>
          <w:ilvl w:val="0"/>
          <w:numId w:val="6"/>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乙方未包含措施项目（临时道路、围挡、三通一平）内容，施工组织设计被业主拒收。相对应的措施项目费用业主也拒收，如何处理？</w:t>
      </w:r>
    </w:p>
    <w:p w14:paraId="63F40FFE">
      <w:pPr>
        <w:pStyle w:val="8"/>
        <w:keepNext w:val="0"/>
        <w:keepLines w:val="0"/>
        <w:pageBreakBefore w:val="0"/>
        <w:numPr>
          <w:ilvl w:val="0"/>
          <w:numId w:val="6"/>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EPC总价包干，招标初设图纸三级围岩，也是按此报价，实际现场围岩等级是五级，如何处理？</w:t>
      </w:r>
    </w:p>
    <w:p w14:paraId="5868D737">
      <w:pPr>
        <w:pStyle w:val="8"/>
        <w:keepNext w:val="0"/>
        <w:keepLines w:val="0"/>
        <w:pageBreakBefore w:val="0"/>
        <w:numPr>
          <w:ilvl w:val="0"/>
          <w:numId w:val="6"/>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EPC项目总价包干，甲方如何管控质量，精装修部分如何控价？</w:t>
      </w:r>
    </w:p>
    <w:p w14:paraId="50106EE2">
      <w:pPr>
        <w:pStyle w:val="8"/>
        <w:keepNext w:val="0"/>
        <w:keepLines w:val="0"/>
        <w:pageBreakBefore w:val="0"/>
        <w:numPr>
          <w:ilvl w:val="0"/>
          <w:numId w:val="6"/>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EPC项目边出图边施工，临时工程费按施工图预算合价包干，能否按实结算？</w:t>
      </w:r>
    </w:p>
    <w:p w14:paraId="08B25CED">
      <w:pPr>
        <w:pStyle w:val="8"/>
        <w:keepNext w:val="0"/>
        <w:keepLines w:val="0"/>
        <w:pageBreakBefore w:val="0"/>
        <w:numPr>
          <w:ilvl w:val="0"/>
          <w:numId w:val="6"/>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如何管控设计质量，确保出图准确性？</w:t>
      </w:r>
    </w:p>
    <w:p w14:paraId="38256497">
      <w:pPr>
        <w:pStyle w:val="8"/>
        <w:keepNext w:val="0"/>
        <w:keepLines w:val="0"/>
        <w:pageBreakBefore w:val="0"/>
        <w:numPr>
          <w:ilvl w:val="0"/>
          <w:numId w:val="6"/>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EPC合同要求提供深化设计效果图，乙方推脱称施工图包含说明，如何处理？</w:t>
      </w:r>
    </w:p>
    <w:p w14:paraId="63B5A36D">
      <w:pPr>
        <w:pStyle w:val="8"/>
        <w:keepNext w:val="0"/>
        <w:keepLines w:val="0"/>
        <w:pageBreakBefore w:val="0"/>
        <w:numPr>
          <w:ilvl w:val="0"/>
          <w:numId w:val="6"/>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EPC合同约定人工费不超总价30%，但赶工需大量人工，如何处理？</w:t>
      </w:r>
    </w:p>
    <w:p w14:paraId="3CE0BFE5">
      <w:pPr>
        <w:pStyle w:val="8"/>
        <w:keepNext w:val="0"/>
        <w:keepLines w:val="0"/>
        <w:pageBreakBefore w:val="0"/>
        <w:numPr>
          <w:ilvl w:val="0"/>
          <w:numId w:val="6"/>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如何平衡各专业分包利益，实现总包效益最大化？</w:t>
      </w:r>
    </w:p>
    <w:p w14:paraId="1B580E07">
      <w:pPr>
        <w:pStyle w:val="8"/>
        <w:keepNext w:val="0"/>
        <w:keepLines w:val="0"/>
        <w:pageBreakBefore w:val="0"/>
        <w:numPr>
          <w:ilvl w:val="0"/>
          <w:numId w:val="6"/>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EPC项目进场后，根据初步设计和需求固定会议成果进行施工图设计。若建设单位多次修改建议导致设计反复，可认为是建设单位原因造成的工作增加，能否进行签证？</w:t>
      </w:r>
    </w:p>
    <w:p w14:paraId="1350C1D8">
      <w:pPr>
        <w:pStyle w:val="8"/>
        <w:keepNext w:val="0"/>
        <w:keepLines w:val="0"/>
        <w:pageBreakBefore w:val="0"/>
        <w:numPr>
          <w:ilvl w:val="0"/>
          <w:numId w:val="6"/>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EPC项目设计方不配合施工方做设计优化，如何处理？</w:t>
      </w:r>
    </w:p>
    <w:p w14:paraId="2FD411B8">
      <w:pPr>
        <w:pStyle w:val="8"/>
        <w:keepNext w:val="0"/>
        <w:keepLines w:val="0"/>
        <w:pageBreakBefore w:val="0"/>
        <w:numPr>
          <w:ilvl w:val="0"/>
          <w:numId w:val="6"/>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EPC合同约定，承包人超出设计图纸范围，含设计变更，和因承包人原因造成返工的工程量，不予计量，如何理解？</w:t>
      </w:r>
    </w:p>
    <w:p w14:paraId="55E743BC">
      <w:pPr>
        <w:pStyle w:val="8"/>
        <w:keepNext w:val="0"/>
        <w:keepLines w:val="0"/>
        <w:pageBreakBefore w:val="0"/>
        <w:numPr>
          <w:ilvl w:val="0"/>
          <w:numId w:val="6"/>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EPC项目尚未完工，非标大型设备计价产生争议，如何处理？</w:t>
      </w:r>
    </w:p>
    <w:p w14:paraId="54037CA1">
      <w:pPr>
        <w:pStyle w:val="8"/>
        <w:keepNext w:val="0"/>
        <w:keepLines w:val="0"/>
        <w:pageBreakBefore w:val="0"/>
        <w:widowControl/>
        <w:kinsoku/>
        <w:wordWrap/>
        <w:overflowPunct/>
        <w:topLinePunct w:val="0"/>
        <w:autoSpaceDE w:val="0"/>
        <w:autoSpaceDN w:val="0"/>
        <w:bidi w:val="0"/>
        <w:adjustRightInd w:val="0"/>
        <w:snapToGrid/>
        <w:spacing w:line="360" w:lineRule="exact"/>
        <w:ind w:firstLine="0" w:firstLine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（六）EPC项目结算阶段疑难问题</w:t>
      </w:r>
    </w:p>
    <w:p w14:paraId="21620EE3">
      <w:pPr>
        <w:pStyle w:val="8"/>
        <w:keepNext w:val="0"/>
        <w:keepLines w:val="0"/>
        <w:pageBreakBefore w:val="0"/>
        <w:numPr>
          <w:ilvl w:val="0"/>
          <w:numId w:val="7"/>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EPC项目费率下浮中标，当实际发生费用因本项目的标准提高而远远超出合同总价，可否按照原合同总价进行结算，是否在在法律风险?</w:t>
      </w:r>
    </w:p>
    <w:p w14:paraId="1C80F5DC">
      <w:pPr>
        <w:pStyle w:val="8"/>
        <w:keepNext w:val="0"/>
        <w:keepLines w:val="0"/>
        <w:pageBreakBefore w:val="0"/>
        <w:numPr>
          <w:ilvl w:val="0"/>
          <w:numId w:val="7"/>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EPC项目结算，甲方实测量为准，不认施工图，竣工图，如何处理？</w:t>
      </w:r>
    </w:p>
    <w:p w14:paraId="00F7B686">
      <w:pPr>
        <w:pStyle w:val="8"/>
        <w:keepNext w:val="0"/>
        <w:keepLines w:val="0"/>
        <w:pageBreakBefore w:val="0"/>
        <w:numPr>
          <w:ilvl w:val="0"/>
          <w:numId w:val="7"/>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EPC项目结算阶段经审核后的总价突破了合同价，没有突破概算价格，怎么处理？</w:t>
      </w:r>
    </w:p>
    <w:p w14:paraId="230A21A3">
      <w:pPr>
        <w:pStyle w:val="8"/>
        <w:keepNext w:val="0"/>
        <w:keepLines w:val="0"/>
        <w:pageBreakBefore w:val="0"/>
        <w:numPr>
          <w:ilvl w:val="0"/>
          <w:numId w:val="7"/>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EPC合同约定总价包干且投标有分项价，分项超投标价时能否按高结算？</w:t>
      </w:r>
    </w:p>
    <w:p w14:paraId="26AE792E">
      <w:pPr>
        <w:pStyle w:val="8"/>
        <w:keepNext w:val="0"/>
        <w:keepLines w:val="0"/>
        <w:pageBreakBefore w:val="0"/>
        <w:numPr>
          <w:ilvl w:val="0"/>
          <w:numId w:val="7"/>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EPC项目结算金额不得超合同价，但模拟清单漏项按实结算超限，如何处理？</w:t>
      </w:r>
    </w:p>
    <w:p w14:paraId="47374C5C">
      <w:pPr>
        <w:pStyle w:val="8"/>
        <w:keepNext w:val="0"/>
        <w:keepLines w:val="0"/>
        <w:pageBreakBefore w:val="0"/>
        <w:numPr>
          <w:ilvl w:val="0"/>
          <w:numId w:val="7"/>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EPC工程结算单价是否必须为审核后的预算单价？结算时能否调价？</w:t>
      </w:r>
    </w:p>
    <w:p w14:paraId="04591922">
      <w:pPr>
        <w:pStyle w:val="8"/>
        <w:keepNext w:val="0"/>
        <w:keepLines w:val="0"/>
        <w:pageBreakBefore w:val="0"/>
        <w:numPr>
          <w:ilvl w:val="0"/>
          <w:numId w:val="7"/>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EPC总价包干项目，施工图设计变更导致费用增加（如两排桩变三排），能否扣除？</w:t>
      </w:r>
    </w:p>
    <w:p w14:paraId="2654B235">
      <w:pPr>
        <w:pStyle w:val="8"/>
        <w:keepNext w:val="0"/>
        <w:keepLines w:val="0"/>
        <w:pageBreakBefore w:val="0"/>
        <w:numPr>
          <w:ilvl w:val="0"/>
          <w:numId w:val="7"/>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业主原因延迟开工是否调整基期价格？</w:t>
      </w:r>
    </w:p>
    <w:p w14:paraId="7447C26B">
      <w:pPr>
        <w:pStyle w:val="8"/>
        <w:keepNext w:val="0"/>
        <w:keepLines w:val="0"/>
        <w:pageBreakBefore w:val="0"/>
        <w:numPr>
          <w:ilvl w:val="0"/>
          <w:numId w:val="7"/>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项目招标面积与实测竣工备案面积不符，如何争取这部分内容？</w:t>
      </w:r>
    </w:p>
    <w:p w14:paraId="1A78F524">
      <w:pPr>
        <w:pStyle w:val="8"/>
        <w:keepNext w:val="0"/>
        <w:keepLines w:val="0"/>
        <w:pageBreakBefore w:val="0"/>
        <w:numPr>
          <w:ilvl w:val="0"/>
          <w:numId w:val="7"/>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EPC项目预算审核版图纸与竣工图不一致，是否按实际现场施工量结算？</w:t>
      </w:r>
    </w:p>
    <w:p w14:paraId="01C5E750">
      <w:pPr>
        <w:pStyle w:val="8"/>
        <w:keepNext w:val="0"/>
        <w:keepLines w:val="0"/>
        <w:pageBreakBefore w:val="0"/>
        <w:numPr>
          <w:ilvl w:val="0"/>
          <w:numId w:val="7"/>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EPC项目结算时，若施工图预算与结算差距大，而审计人员偏向小结算，能否提出异议并协商解决？过程中能否调整施工图预算以缩小差距？</w:t>
      </w:r>
    </w:p>
    <w:p w14:paraId="3997AF61">
      <w:pPr>
        <w:pStyle w:val="8"/>
        <w:keepNext w:val="0"/>
        <w:keepLines w:val="0"/>
        <w:pageBreakBefore w:val="0"/>
        <w:numPr>
          <w:ilvl w:val="0"/>
          <w:numId w:val="7"/>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针对费率计价的EPC项目，部分套价能否按施工方案计价？</w:t>
      </w:r>
    </w:p>
    <w:p w14:paraId="39D2E191">
      <w:pPr>
        <w:pStyle w:val="8"/>
        <w:keepNext w:val="0"/>
        <w:keepLines w:val="0"/>
        <w:pageBreakBefore w:val="0"/>
        <w:widowControl/>
        <w:kinsoku/>
        <w:wordWrap/>
        <w:overflowPunct/>
        <w:topLinePunct w:val="0"/>
        <w:autoSpaceDE w:val="0"/>
        <w:autoSpaceDN w:val="0"/>
        <w:bidi w:val="0"/>
        <w:adjustRightInd w:val="0"/>
        <w:snapToGrid/>
        <w:spacing w:line="360" w:lineRule="exact"/>
        <w:ind w:firstLine="0" w:firstLine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（七）EPC项目索赔疑难问题</w:t>
      </w:r>
    </w:p>
    <w:p w14:paraId="60CFDDA9">
      <w:pPr>
        <w:pStyle w:val="8"/>
        <w:keepNext w:val="0"/>
        <w:keepLines w:val="0"/>
        <w:pageBreakBefore w:val="0"/>
        <w:numPr>
          <w:ilvl w:val="0"/>
          <w:numId w:val="8"/>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初勘和详勘偏差较大，导致桩基工程量增加。目前属于变更情况，但主合同约定初勘与实际勘测不符时，经勘测单位和专家论证后，500万以内不调整，500万以上同意补偿。然而，乙方认为初勘资料不齐全，应套用合同中不齐全的条款，全额赔偿，是否合理？</w:t>
      </w:r>
    </w:p>
    <w:p w14:paraId="3F883581">
      <w:pPr>
        <w:pStyle w:val="8"/>
        <w:keepNext w:val="0"/>
        <w:keepLines w:val="0"/>
        <w:pageBreakBefore w:val="0"/>
        <w:numPr>
          <w:ilvl w:val="0"/>
          <w:numId w:val="8"/>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EPC合同约定变更按定额，零星工程工程量小地点分散，实际费用和定额差价大，据实签证是否违反合同约定？</w:t>
      </w:r>
    </w:p>
    <w:p w14:paraId="288C6EE2">
      <w:pPr>
        <w:pStyle w:val="8"/>
        <w:keepNext w:val="0"/>
        <w:keepLines w:val="0"/>
        <w:pageBreakBefore w:val="0"/>
        <w:numPr>
          <w:ilvl w:val="0"/>
          <w:numId w:val="8"/>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业主投资的是按照类似项目估算得出，增加了地下2层地下室及基坑围护的概算。但增加的概算对应后期经过专家论证的基坑围护方案有较大差距。虽然我方有优化义务但基坑增加金额难以覆盖，这种情况怎么去调整这部分内容？</w:t>
      </w:r>
    </w:p>
    <w:p w14:paraId="4761BB92">
      <w:pPr>
        <w:pStyle w:val="8"/>
        <w:keepNext w:val="0"/>
        <w:keepLines w:val="0"/>
        <w:pageBreakBefore w:val="0"/>
        <w:numPr>
          <w:ilvl w:val="0"/>
          <w:numId w:val="8"/>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甲方认为无设计变更，实际变更创效可能不被计量，如何应对？</w:t>
      </w:r>
    </w:p>
    <w:p w14:paraId="577631E5">
      <w:pPr>
        <w:pStyle w:val="8"/>
        <w:keepNext w:val="0"/>
        <w:keepLines w:val="0"/>
        <w:pageBreakBefore w:val="0"/>
        <w:numPr>
          <w:ilvl w:val="0"/>
          <w:numId w:val="8"/>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EPC合同条款严格（如运距限制），遇不可抗力如何争取谈判空间？</w:t>
      </w:r>
    </w:p>
    <w:p w14:paraId="32C98CB2">
      <w:pPr>
        <w:pStyle w:val="8"/>
        <w:keepNext w:val="0"/>
        <w:keepLines w:val="0"/>
        <w:pageBreakBefore w:val="0"/>
        <w:numPr>
          <w:ilvl w:val="0"/>
          <w:numId w:val="8"/>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是否存在专门的EPC模式变更管理办法？</w:t>
      </w:r>
    </w:p>
    <w:p w14:paraId="226CD021">
      <w:pPr>
        <w:pStyle w:val="8"/>
        <w:keepNext w:val="0"/>
        <w:keepLines w:val="0"/>
        <w:pageBreakBefore w:val="0"/>
        <w:numPr>
          <w:ilvl w:val="0"/>
          <w:numId w:val="8"/>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人防工程增加预备费列支，预备费是否包括不可预见费用？</w:t>
      </w:r>
    </w:p>
    <w:p w14:paraId="648A372A">
      <w:pPr>
        <w:pStyle w:val="8"/>
        <w:keepNext w:val="0"/>
        <w:keepLines w:val="0"/>
        <w:pageBreakBefore w:val="0"/>
        <w:numPr>
          <w:ilvl w:val="0"/>
          <w:numId w:val="8"/>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EPC工程施工实际建安费超合同价，面临停工或调价矛盾，如何处理？</w:t>
      </w:r>
    </w:p>
    <w:p w14:paraId="59B81026">
      <w:pPr>
        <w:pStyle w:val="8"/>
        <w:keepNext w:val="0"/>
        <w:keepLines w:val="0"/>
        <w:pageBreakBefore w:val="0"/>
        <w:numPr>
          <w:ilvl w:val="0"/>
          <w:numId w:val="8"/>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面对大宗商品价格上涨，省住房与建设厅发布通知，要求双方按合同约定调整价格。若合同未约定或不明确，可签补充协议。材料价格上涨，能否单独调整需协商，如何处理？</w:t>
      </w:r>
    </w:p>
    <w:p w14:paraId="74E33943">
      <w:pPr>
        <w:pStyle w:val="8"/>
        <w:keepNext w:val="0"/>
        <w:keepLines w:val="0"/>
        <w:pageBreakBefore w:val="0"/>
        <w:numPr>
          <w:ilvl w:val="0"/>
          <w:numId w:val="8"/>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政策性文件导致合同额增加时，能否与业主协商将增加部分转化为合同收入，确保收益？</w:t>
      </w:r>
    </w:p>
    <w:p w14:paraId="7CD997BC">
      <w:pPr>
        <w:pStyle w:val="8"/>
        <w:keepNext w:val="0"/>
        <w:keepLines w:val="0"/>
        <w:pageBreakBefore w:val="0"/>
        <w:numPr>
          <w:ilvl w:val="0"/>
          <w:numId w:val="8"/>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EPC合同约定，承包人合理化建议，经设计单位同意，并经发包人批准的设计变更，调整合同价款，如何适用？超出设计图纸范围的能否调整合同价款？</w:t>
      </w:r>
    </w:p>
    <w:p w14:paraId="190371D5">
      <w:pPr>
        <w:pStyle w:val="8"/>
        <w:keepNext w:val="0"/>
        <w:keepLines w:val="0"/>
        <w:pageBreakBefore w:val="0"/>
        <w:widowControl/>
        <w:kinsoku/>
        <w:wordWrap/>
        <w:overflowPunct/>
        <w:topLinePunct w:val="0"/>
        <w:autoSpaceDE w:val="0"/>
        <w:autoSpaceDN w:val="0"/>
        <w:bidi w:val="0"/>
        <w:adjustRightInd w:val="0"/>
        <w:snapToGrid/>
        <w:spacing w:line="360" w:lineRule="exact"/>
        <w:ind w:firstLine="0" w:firstLine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（八）EPC项目财政评审问题</w:t>
      </w:r>
    </w:p>
    <w:p w14:paraId="52E46131">
      <w:pPr>
        <w:pStyle w:val="8"/>
        <w:keepNext w:val="0"/>
        <w:keepLines w:val="0"/>
        <w:pageBreakBefore w:val="0"/>
        <w:numPr>
          <w:ilvl w:val="0"/>
          <w:numId w:val="9"/>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EPC项目财政评审时按当地定额，计取了二次搬运费、夜间施工费、冬雨季施工费，现结算审计不按财评给定费率计取，是否合理？</w:t>
      </w:r>
    </w:p>
    <w:p w14:paraId="7A63E2F9">
      <w:pPr>
        <w:pStyle w:val="8"/>
        <w:keepNext w:val="0"/>
        <w:keepLines w:val="0"/>
        <w:pageBreakBefore w:val="0"/>
        <w:numPr>
          <w:ilvl w:val="0"/>
          <w:numId w:val="9"/>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EPC项目约定乙方招标设备，甲方给了限价单，但限价单限制了品牌，是否合理？</w:t>
      </w:r>
    </w:p>
    <w:p w14:paraId="6445CFD6">
      <w:pPr>
        <w:pStyle w:val="8"/>
        <w:keepNext w:val="0"/>
        <w:keepLines w:val="0"/>
        <w:pageBreakBefore w:val="0"/>
        <w:numPr>
          <w:ilvl w:val="0"/>
          <w:numId w:val="9"/>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EPC无信息价材料，认质认价，手续是齐全，审计能否推翻？</w:t>
      </w:r>
    </w:p>
    <w:p w14:paraId="25052A2B">
      <w:pPr>
        <w:pStyle w:val="8"/>
        <w:keepNext w:val="0"/>
        <w:keepLines w:val="0"/>
        <w:pageBreakBefore w:val="0"/>
        <w:numPr>
          <w:ilvl w:val="0"/>
          <w:numId w:val="9"/>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EPC下浮率招标结算按财评后下浮，未实现事前控制，如何解决？</w:t>
      </w:r>
    </w:p>
    <w:p w14:paraId="2C1CC8E2">
      <w:pPr>
        <w:pStyle w:val="8"/>
        <w:keepNext w:val="0"/>
        <w:keepLines w:val="0"/>
        <w:pageBreakBefore w:val="0"/>
        <w:numPr>
          <w:ilvl w:val="0"/>
          <w:numId w:val="9"/>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EPC项目中标签约后是否必须财政评审？</w:t>
      </w:r>
    </w:p>
    <w:p w14:paraId="6B0C2516">
      <w:pPr>
        <w:pStyle w:val="8"/>
        <w:keepNext w:val="0"/>
        <w:keepLines w:val="0"/>
        <w:pageBreakBefore w:val="0"/>
        <w:numPr>
          <w:ilvl w:val="0"/>
          <w:numId w:val="9"/>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EPC模拟清单中标价与财评按定额计取的预算单价不一致，如何处理？</w:t>
      </w:r>
    </w:p>
    <w:p w14:paraId="57CA8A96">
      <w:pPr>
        <w:pStyle w:val="8"/>
        <w:keepNext w:val="0"/>
        <w:keepLines w:val="0"/>
        <w:pageBreakBefore w:val="0"/>
        <w:numPr>
          <w:ilvl w:val="0"/>
          <w:numId w:val="9"/>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EPC结算原则为概算下浮，但原概算有缺漏项，总包如何争取？</w:t>
      </w:r>
    </w:p>
    <w:p w14:paraId="2DBF411C">
      <w:pPr>
        <w:pStyle w:val="8"/>
        <w:keepNext w:val="0"/>
        <w:keepLines w:val="0"/>
        <w:pageBreakBefore w:val="0"/>
        <w:numPr>
          <w:ilvl w:val="0"/>
          <w:numId w:val="9"/>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业主延迟开工是否改变基期价格调整合同价款？</w:t>
      </w:r>
    </w:p>
    <w:p w14:paraId="1DD363AB">
      <w:pPr>
        <w:pStyle w:val="8"/>
        <w:keepNext w:val="0"/>
        <w:keepLines w:val="0"/>
        <w:pageBreakBefore w:val="0"/>
        <w:numPr>
          <w:ilvl w:val="0"/>
          <w:numId w:val="9"/>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EPC项目业主要求材料用大品牌但不办认价手续，乙方按要求材料送样，业主监理签字确认，后财评按财政局发布的价格审核价格争议大，如何处理？</w:t>
      </w:r>
    </w:p>
    <w:p w14:paraId="5ED5F90C">
      <w:pPr>
        <w:pStyle w:val="8"/>
        <w:keepNext w:val="0"/>
        <w:keepLines w:val="0"/>
        <w:pageBreakBefore w:val="0"/>
        <w:numPr>
          <w:ilvl w:val="0"/>
          <w:numId w:val="9"/>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EPC项目财评要求，中标结果公示期后三个月内提交施工图预算进行评审，若超过时间，财政部门不予评审，是否合理？</w:t>
      </w:r>
    </w:p>
    <w:p w14:paraId="1944CD53">
      <w:pPr>
        <w:pStyle w:val="8"/>
        <w:keepNext w:val="0"/>
        <w:keepLines w:val="0"/>
        <w:pageBreakBefore w:val="0"/>
        <w:numPr>
          <w:ilvl w:val="0"/>
          <w:numId w:val="9"/>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EPC项目采用建安费总价定额下浮，安全文明施工费、规费为不可竞争费，不参与下浮。可单独按不下浮费用计取，或在限额总价模式下超原定总价计取此部分费用，如何处理？</w:t>
      </w:r>
    </w:p>
    <w:p w14:paraId="73F08724">
      <w:pPr>
        <w:pStyle w:val="8"/>
        <w:keepNext w:val="0"/>
        <w:keepLines w:val="0"/>
        <w:pageBreakBefore w:val="0"/>
        <w:widowControl/>
        <w:kinsoku/>
        <w:wordWrap/>
        <w:overflowPunct/>
        <w:topLinePunct w:val="0"/>
        <w:autoSpaceDE w:val="0"/>
        <w:autoSpaceDN w:val="0"/>
        <w:bidi w:val="0"/>
        <w:adjustRightInd w:val="0"/>
        <w:snapToGrid/>
        <w:spacing w:line="360" w:lineRule="exact"/>
        <w:ind w:firstLine="0" w:firstLine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（九）EPC项目审计疑难问题</w:t>
      </w:r>
    </w:p>
    <w:p w14:paraId="156236AE">
      <w:pPr>
        <w:pStyle w:val="8"/>
        <w:keepNext w:val="0"/>
        <w:keepLines w:val="0"/>
        <w:pageBreakBefore w:val="0"/>
        <w:numPr>
          <w:ilvl w:val="0"/>
          <w:numId w:val="10"/>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EPC总价合同，竣工结算实际工程量小于合同总价，有什么依据按照原合同价结算？</w:t>
      </w:r>
    </w:p>
    <w:p w14:paraId="3851E730">
      <w:pPr>
        <w:pStyle w:val="8"/>
        <w:keepNext w:val="0"/>
        <w:keepLines w:val="0"/>
        <w:pageBreakBefore w:val="0"/>
        <w:numPr>
          <w:ilvl w:val="0"/>
          <w:numId w:val="10"/>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EPC项目实际工程量与施工图工程量不一致能否核增或核减？</w:t>
      </w:r>
    </w:p>
    <w:p w14:paraId="5A16DEFE">
      <w:pPr>
        <w:pStyle w:val="8"/>
        <w:keepNext w:val="0"/>
        <w:keepLines w:val="0"/>
        <w:pageBreakBefore w:val="0"/>
        <w:numPr>
          <w:ilvl w:val="0"/>
          <w:numId w:val="10"/>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EPC项目没有报预算，是按照经审定的施工图审核单价，还是按照竣工图+实际现场完成的工程量审核单价？</w:t>
      </w:r>
    </w:p>
    <w:p w14:paraId="1DF3AA44">
      <w:pPr>
        <w:pStyle w:val="8"/>
        <w:keepNext w:val="0"/>
        <w:keepLines w:val="0"/>
        <w:pageBreakBefore w:val="0"/>
        <w:numPr>
          <w:ilvl w:val="0"/>
          <w:numId w:val="10"/>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EPC项目施工方案能否作为计量依据（如二次结构深化）？</w:t>
      </w:r>
    </w:p>
    <w:p w14:paraId="2C12A0E2">
      <w:pPr>
        <w:pStyle w:val="8"/>
        <w:keepNext w:val="0"/>
        <w:keepLines w:val="0"/>
        <w:pageBreakBefore w:val="0"/>
        <w:numPr>
          <w:ilvl w:val="0"/>
          <w:numId w:val="10"/>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EPC合同条款约定勘察风险由总包承担，但实际勘察结果导致重大设计变更，如何处理？</w:t>
      </w:r>
    </w:p>
    <w:p w14:paraId="796ABFF4">
      <w:pPr>
        <w:pStyle w:val="8"/>
        <w:keepNext w:val="0"/>
        <w:keepLines w:val="0"/>
        <w:pageBreakBefore w:val="0"/>
        <w:numPr>
          <w:ilvl w:val="0"/>
          <w:numId w:val="10"/>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设计不合理造成拆改，费用转扣设计院比例如何协商？</w:t>
      </w:r>
    </w:p>
    <w:p w14:paraId="33392363">
      <w:pPr>
        <w:pStyle w:val="8"/>
        <w:keepNext w:val="0"/>
        <w:keepLines w:val="0"/>
        <w:pageBreakBefore w:val="0"/>
        <w:numPr>
          <w:ilvl w:val="0"/>
          <w:numId w:val="10"/>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EPC可研招标后施工图与合同设定条件差异大，甲方扣费与乙方反对如何解决？</w:t>
      </w:r>
    </w:p>
    <w:p w14:paraId="0CBC34F5">
      <w:pPr>
        <w:pStyle w:val="8"/>
        <w:keepNext w:val="0"/>
        <w:keepLines w:val="0"/>
        <w:pageBreakBefore w:val="0"/>
        <w:numPr>
          <w:ilvl w:val="0"/>
          <w:numId w:val="10"/>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EPC总价合同约定材料调价导致施工预算超发改委批复概算，概算是否可调？</w:t>
      </w:r>
    </w:p>
    <w:p w14:paraId="66FBE983">
      <w:pPr>
        <w:pStyle w:val="8"/>
        <w:keepNext w:val="0"/>
        <w:keepLines w:val="0"/>
        <w:pageBreakBefore w:val="0"/>
        <w:numPr>
          <w:ilvl w:val="0"/>
          <w:numId w:val="10"/>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EPC项目审计方要求施工图量增加，价款不变，施工图量减少要扣减，是否合理？</w:t>
      </w:r>
    </w:p>
    <w:p w14:paraId="797ADBDD">
      <w:pPr>
        <w:pStyle w:val="8"/>
        <w:keepNext w:val="0"/>
        <w:keepLines w:val="0"/>
        <w:pageBreakBefore w:val="0"/>
        <w:numPr>
          <w:ilvl w:val="0"/>
          <w:numId w:val="10"/>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EPC项目审计要求施工图预算与结算差距大，而审计人员偏向小结算，能否提出异议并协商解决？</w:t>
      </w:r>
    </w:p>
    <w:p w14:paraId="20782D2E">
      <w:pPr>
        <w:pStyle w:val="8"/>
        <w:keepNext w:val="0"/>
        <w:keepLines w:val="0"/>
        <w:pageBreakBefore w:val="0"/>
        <w:numPr>
          <w:ilvl w:val="0"/>
          <w:numId w:val="10"/>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EPC项目定额计价预转固时，无价材料单价可通过审计询价、第三方询价等方式确定。若价格有差异，如何与业主协商采用合理价格，确保双方利益？</w:t>
      </w:r>
    </w:p>
    <w:p w14:paraId="2A4093A3">
      <w:pPr>
        <w:pStyle w:val="8"/>
        <w:keepNext w:val="0"/>
        <w:keepLines w:val="0"/>
        <w:pageBreakBefore w:val="0"/>
        <w:numPr>
          <w:ilvl w:val="0"/>
          <w:numId w:val="10"/>
        </w:numPr>
        <w:kinsoku/>
        <w:wordWrap/>
        <w:overflowPunct/>
        <w:topLinePunct w:val="0"/>
        <w:bidi w:val="0"/>
        <w:snapToGrid/>
        <w:spacing w:line="360" w:lineRule="exact"/>
        <w:ind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EPC项目施工图预算超过了原控制价，甲方要求乙方提供一个不违背合同但又能把超出的部分付给乙方的合理方案，如何处理？</w:t>
      </w:r>
    </w:p>
    <w:p w14:paraId="7C96A9AE">
      <w:pPr>
        <w:keepNext w:val="0"/>
        <w:keepLines w:val="0"/>
        <w:pageBreakBefore w:val="0"/>
        <w:kinsoku/>
        <w:wordWrap/>
        <w:overflowPunct/>
        <w:topLinePunct w:val="0"/>
        <w:bidi w:val="0"/>
        <w:snapToGrid/>
        <w:spacing w:line="36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二、培训对象</w:t>
      </w:r>
    </w:p>
    <w:p w14:paraId="3B73C1F4">
      <w:pPr>
        <w:keepNext w:val="0"/>
        <w:keepLines w:val="0"/>
        <w:pageBreakBefore w:val="0"/>
        <w:kinsoku/>
        <w:wordWrap/>
        <w:overflowPunct/>
        <w:topLinePunct w:val="0"/>
        <w:bidi w:val="0"/>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各地政府建设项目监管部门、工程交易中心、投资项目评审中心；各业主单位从事项目管理、合同管理、工程项目建设、开发、审计等相关部门人员；各建筑施工企业、工程公司、总承包公司、设计院、成套设备公司、国际招标公司、设备材料供应商、律师事务所及各公司的总经理、副总经理、部门经理、项目经理、市场开发、法务专员等相关部门负责人、参与EPC项目管理的所有管理者。</w:t>
      </w:r>
    </w:p>
    <w:p w14:paraId="5B221251">
      <w:pPr>
        <w:numPr>
          <w:ilvl w:val="0"/>
          <w:numId w:val="0"/>
        </w:numPr>
        <w:spacing w:line="360" w:lineRule="auto"/>
        <w:rPr>
          <w:rFonts w:hint="eastAsia" w:ascii="仿宋" w:hAnsi="仿宋" w:eastAsia="仿宋" w:cs="仿宋"/>
          <w:b/>
          <w:bCs/>
          <w:sz w:val="24"/>
        </w:rPr>
      </w:pPr>
      <w:r>
        <w:rPr>
          <w:rFonts w:hint="eastAsia" w:ascii="仿宋" w:hAnsi="仿宋" w:eastAsia="仿宋" w:cs="仿宋"/>
          <w:b/>
          <w:bCs/>
          <w:sz w:val="24"/>
          <w:lang w:val="en-US" w:eastAsia="zh-CN"/>
        </w:rPr>
        <w:t>三、</w:t>
      </w:r>
      <w:r>
        <w:rPr>
          <w:rFonts w:hint="eastAsia" w:ascii="仿宋" w:hAnsi="仿宋" w:eastAsia="仿宋" w:cs="仿宋"/>
          <w:b/>
          <w:bCs/>
          <w:sz w:val="24"/>
        </w:rPr>
        <w:t>时间、地点</w:t>
      </w:r>
    </w:p>
    <w:p w14:paraId="181773B3">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2025年09月18日-09月20日 （18日全天报到）   南京市</w:t>
      </w:r>
    </w:p>
    <w:p w14:paraId="01B42C90">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2025年10月16日-10月18日 （16日全天报到）   长沙市</w:t>
      </w:r>
    </w:p>
    <w:p w14:paraId="7FBC4672">
      <w:pPr>
        <w:numPr>
          <w:ilvl w:val="0"/>
          <w:numId w:val="0"/>
        </w:numPr>
        <w:spacing w:line="360" w:lineRule="auto"/>
        <w:rPr>
          <w:rFonts w:hint="eastAsia" w:ascii="仿宋" w:hAnsi="仿宋" w:eastAsia="仿宋" w:cs="仿宋"/>
          <w:b/>
          <w:bCs/>
          <w:sz w:val="24"/>
        </w:rPr>
      </w:pPr>
      <w:r>
        <w:rPr>
          <w:rFonts w:hint="eastAsia" w:ascii="仿宋" w:hAnsi="仿宋" w:eastAsia="仿宋" w:cs="仿宋"/>
          <w:b/>
          <w:bCs/>
          <w:kern w:val="2"/>
          <w:sz w:val="24"/>
          <w:szCs w:val="24"/>
          <w:lang w:val="en-US" w:eastAsia="zh-CN" w:bidi="ar-SA"/>
        </w:rPr>
        <w:t>四、</w:t>
      </w:r>
      <w:r>
        <w:rPr>
          <w:rFonts w:hint="eastAsia" w:ascii="仿宋" w:hAnsi="仿宋" w:eastAsia="仿宋" w:cs="仿宋"/>
          <w:b/>
          <w:bCs/>
          <w:sz w:val="24"/>
        </w:rPr>
        <w:t>相关费用</w:t>
      </w:r>
    </w:p>
    <w:p w14:paraId="06F0169F">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A.3280元/人（含专家费、资料费、电子课件、场地、会议期间午餐），住宿统一安排，费用自理。</w:t>
      </w:r>
    </w:p>
    <w:p w14:paraId="682CE2D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B.5680元/人（含全过程工程咨询师(高级、中级)证书及网上学习3天专业课程、资料费、电子课件、会议期间午餐），住宿统一安排，费用自理。</w:t>
      </w:r>
    </w:p>
    <w:p w14:paraId="37241135">
      <w:pPr>
        <w:spacing w:line="360" w:lineRule="auto"/>
        <w:ind w:firstLine="480" w:firstLineChars="20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C.50000元/单位，本课程培训期内30人次参加，可分批参加，并赠送全过程工程咨询师证书2本。（具体培训时间由主办方规定）</w:t>
      </w:r>
    </w:p>
    <w:p w14:paraId="1A476E18">
      <w:pPr>
        <w:numPr>
          <w:ilvl w:val="0"/>
          <w:numId w:val="11"/>
        </w:numPr>
        <w:spacing w:line="360" w:lineRule="auto"/>
        <w:ind w:firstLine="480" w:firstLineChars="20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以上内容线上培训费用：19800元一个企业学习账号，单位投屏播放，统一观看。</w:t>
      </w:r>
    </w:p>
    <w:p w14:paraId="50E7C658">
      <w:pPr>
        <w:numPr>
          <w:ilvl w:val="0"/>
          <w:numId w:val="11"/>
        </w:num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4800元/人（含全过程工程咨询师(高级、中级)证书及网上学习3天课程）。</w:t>
      </w:r>
    </w:p>
    <w:p w14:paraId="376C10F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备注：申报证书需提供报名表一份、2寸照电子照片（蓝底免冠彩照）、身份证复印件一份、学历证书复印件一份，在职单位证明（原件）一份，审核通过后出准考证，每个月最后一个周末为网上考试时间。</w:t>
      </w:r>
    </w:p>
    <w:p w14:paraId="46D6F10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颁证机构：</w:t>
      </w:r>
    </w:p>
    <w:p w14:paraId="5872FFF3">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国家职业资格培训鉴定实验基地（http://www.nptb.org/）是人力资源和社会保障部在天津建立的综合性职业标准开发机构，主要承担国家新职业标准研发和推广任务，开展培训鉴定实验项目和课题研究，进行新职业教材和课程设计，建立新职业考核标准、考试题库。</w:t>
      </w:r>
    </w:p>
    <w:p w14:paraId="793FCB02">
      <w:pPr>
        <w:spacing w:line="360" w:lineRule="auto"/>
        <w:rPr>
          <w:rFonts w:hint="eastAsia" w:ascii="仿宋" w:hAnsi="仿宋" w:eastAsia="仿宋" w:cs="仿宋"/>
          <w:b/>
          <w:bCs/>
          <w:sz w:val="24"/>
        </w:rPr>
      </w:pPr>
      <w:r>
        <w:rPr>
          <w:rFonts w:hint="eastAsia" w:ascii="仿宋" w:hAnsi="仿宋" w:eastAsia="仿宋" w:cs="仿宋"/>
          <w:kern w:val="0"/>
          <w:sz w:val="24"/>
        </w:rPr>
        <w:drawing>
          <wp:anchor distT="0" distB="0" distL="114300" distR="114300" simplePos="0" relativeHeight="251660288" behindDoc="1" locked="0" layoutInCell="1" allowOverlap="1">
            <wp:simplePos x="0" y="0"/>
            <wp:positionH relativeFrom="column">
              <wp:posOffset>3803650</wp:posOffset>
            </wp:positionH>
            <wp:positionV relativeFrom="paragraph">
              <wp:posOffset>276225</wp:posOffset>
            </wp:positionV>
            <wp:extent cx="2679700" cy="1905000"/>
            <wp:effectExtent l="0" t="0" r="0" b="0"/>
            <wp:wrapNone/>
            <wp:docPr id="2" name="图片 2" descr="建术公章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建术公章12"/>
                    <pic:cNvPicPr>
                      <a:picLocks noChangeAspect="1"/>
                    </pic:cNvPicPr>
                  </pic:nvPicPr>
                  <pic:blipFill>
                    <a:blip r:embed="rId4"/>
                    <a:stretch>
                      <a:fillRect/>
                    </a:stretch>
                  </pic:blipFill>
                  <pic:spPr>
                    <a:xfrm>
                      <a:off x="0" y="0"/>
                      <a:ext cx="2679700" cy="1905000"/>
                    </a:xfrm>
                    <a:prstGeom prst="rect">
                      <a:avLst/>
                    </a:prstGeom>
                    <a:noFill/>
                    <a:ln>
                      <a:noFill/>
                    </a:ln>
                  </pic:spPr>
                </pic:pic>
              </a:graphicData>
            </a:graphic>
          </wp:anchor>
        </w:drawing>
      </w:r>
      <w:r>
        <w:rPr>
          <w:rFonts w:hint="eastAsia" w:ascii="仿宋" w:hAnsi="仿宋" w:eastAsia="仿宋" w:cs="仿宋"/>
          <w:b/>
          <w:bCs/>
          <w:sz w:val="24"/>
          <w:lang w:val="en-US" w:eastAsia="zh-CN"/>
        </w:rPr>
        <w:t>五</w:t>
      </w:r>
      <w:r>
        <w:rPr>
          <w:rFonts w:hint="eastAsia" w:ascii="仿宋" w:hAnsi="仿宋" w:eastAsia="仿宋" w:cs="仿宋"/>
          <w:b/>
          <w:bCs/>
          <w:sz w:val="24"/>
        </w:rPr>
        <w:t>、联系方式</w:t>
      </w:r>
    </w:p>
    <w:p w14:paraId="6F8DD69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报名负责人：聂红军 主任18211071700（微信）   </w:t>
      </w:r>
    </w:p>
    <w:p w14:paraId="60429DEC">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电    话：13141289128        邮    箱：zqgphwz@126.com  </w:t>
      </w:r>
    </w:p>
    <w:p w14:paraId="3F86550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qq咨询：3177524020          网    址：http://www.zqgpchina.cn</w:t>
      </w:r>
    </w:p>
    <w:p w14:paraId="7A65439D">
      <w:pPr>
        <w:ind w:firstLine="480" w:firstLineChars="200"/>
        <w:rPr>
          <w:rFonts w:hint="eastAsia" w:ascii="仿宋" w:hAnsi="仿宋" w:eastAsia="仿宋" w:cs="仿宋"/>
          <w:kern w:val="0"/>
          <w:sz w:val="24"/>
        </w:rPr>
      </w:pPr>
    </w:p>
    <w:p w14:paraId="13D43ED1">
      <w:pPr>
        <w:ind w:firstLine="480" w:firstLineChars="200"/>
        <w:rPr>
          <w:rFonts w:hint="eastAsia" w:ascii="仿宋" w:hAnsi="仿宋" w:eastAsia="仿宋" w:cs="仿宋"/>
          <w:kern w:val="0"/>
          <w:sz w:val="24"/>
        </w:rPr>
      </w:pPr>
      <w:r>
        <w:rPr>
          <w:sz w:val="24"/>
        </w:rPr>
        <mc:AlternateContent>
          <mc:Choice Requires="wps">
            <w:drawing>
              <wp:anchor distT="0" distB="0" distL="114300" distR="114300" simplePos="0" relativeHeight="251661312" behindDoc="1" locked="0" layoutInCell="1" allowOverlap="1">
                <wp:simplePos x="0" y="0"/>
                <wp:positionH relativeFrom="column">
                  <wp:posOffset>3795395</wp:posOffset>
                </wp:positionH>
                <wp:positionV relativeFrom="paragraph">
                  <wp:posOffset>23495</wp:posOffset>
                </wp:positionV>
                <wp:extent cx="2590800" cy="692150"/>
                <wp:effectExtent l="0" t="0" r="0" b="0"/>
                <wp:wrapNone/>
                <wp:docPr id="3" name="文本框 3"/>
                <wp:cNvGraphicFramePr/>
                <a:graphic xmlns:a="http://schemas.openxmlformats.org/drawingml/2006/main">
                  <a:graphicData uri="http://schemas.microsoft.com/office/word/2010/wordprocessingShape">
                    <wps:wsp>
                      <wps:cNvSpPr txBox="1"/>
                      <wps:spPr>
                        <a:xfrm>
                          <a:off x="4554855" y="9659620"/>
                          <a:ext cx="2590800" cy="692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6577D">
                            <w:pPr>
                              <w:jc w:val="center"/>
                              <w:rPr>
                                <w:rFonts w:hint="eastAsia" w:ascii="仿宋" w:hAnsi="仿宋" w:eastAsia="仿宋" w:cs="仿宋"/>
                                <w:kern w:val="0"/>
                                <w:sz w:val="24"/>
                              </w:rPr>
                            </w:pPr>
                            <w:r>
                              <w:rPr>
                                <w:rFonts w:hint="eastAsia" w:ascii="仿宋" w:hAnsi="仿宋" w:eastAsia="仿宋" w:cs="仿宋"/>
                                <w:kern w:val="0"/>
                                <w:sz w:val="24"/>
                              </w:rPr>
                              <w:t>北京建术信息科技研究院有限公司                                              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8</w:t>
                            </w:r>
                            <w:r>
                              <w:rPr>
                                <w:rFonts w:hint="eastAsia" w:ascii="仿宋" w:hAnsi="仿宋" w:eastAsia="仿宋" w:cs="仿宋"/>
                                <w:kern w:val="0"/>
                                <w:sz w:val="24"/>
                              </w:rPr>
                              <w:t>月</w:t>
                            </w:r>
                            <w:r>
                              <w:rPr>
                                <w:rFonts w:hint="eastAsia" w:ascii="仿宋" w:hAnsi="仿宋" w:eastAsia="仿宋" w:cs="仿宋"/>
                                <w:kern w:val="0"/>
                                <w:sz w:val="24"/>
                                <w:lang w:val="en-US" w:eastAsia="zh-CN"/>
                              </w:rPr>
                              <w:t>22</w:t>
                            </w:r>
                            <w:r>
                              <w:rPr>
                                <w:rFonts w:hint="eastAsia" w:ascii="仿宋" w:hAnsi="仿宋" w:eastAsia="仿宋" w:cs="仿宋"/>
                                <w:kern w:val="0"/>
                                <w:sz w:val="24"/>
                              </w:rPr>
                              <w:t>日</w:t>
                            </w:r>
                          </w:p>
                          <w:p w14:paraId="1E3BB4E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85pt;margin-top:1.85pt;height:54.5pt;width:204pt;z-index:-251655168;mso-width-relative:page;mso-height-relative:page;" filled="f" stroked="f" coordsize="21600,21600" o:gfxdata="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h0GyNoAAAAKAQAADwAAAAAAAAAB&#10;ACAAAAAiAAAAZHJzL2Rvd25yZXYueG1sUEsBAhQAFAAAAAgAh07iQGQ01YlHAgAAcgQAAA4AAAAA&#10;AAAAAQAgAAAAKQEAAGRycy9lMm9Eb2MueG1sUEsFBgAAAAAGAAYAWQEAAOIFAAAAAA==&#10;">
                <v:fill on="f" focussize="0,0"/>
                <v:stroke on="f" weight="0.5pt"/>
                <v:imagedata o:title=""/>
                <o:lock v:ext="edit" aspectratio="f"/>
                <v:textbox>
                  <w:txbxContent>
                    <w:p w14:paraId="1AF6577D">
                      <w:pPr>
                        <w:jc w:val="center"/>
                        <w:rPr>
                          <w:rFonts w:hint="eastAsia" w:ascii="仿宋" w:hAnsi="仿宋" w:eastAsia="仿宋" w:cs="仿宋"/>
                          <w:kern w:val="0"/>
                          <w:sz w:val="24"/>
                        </w:rPr>
                      </w:pPr>
                      <w:r>
                        <w:rPr>
                          <w:rFonts w:hint="eastAsia" w:ascii="仿宋" w:hAnsi="仿宋" w:eastAsia="仿宋" w:cs="仿宋"/>
                          <w:kern w:val="0"/>
                          <w:sz w:val="24"/>
                        </w:rPr>
                        <w:t>北京建术信息科技研究院有限公司                                              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8</w:t>
                      </w:r>
                      <w:r>
                        <w:rPr>
                          <w:rFonts w:hint="eastAsia" w:ascii="仿宋" w:hAnsi="仿宋" w:eastAsia="仿宋" w:cs="仿宋"/>
                          <w:kern w:val="0"/>
                          <w:sz w:val="24"/>
                        </w:rPr>
                        <w:t>月</w:t>
                      </w:r>
                      <w:r>
                        <w:rPr>
                          <w:rFonts w:hint="eastAsia" w:ascii="仿宋" w:hAnsi="仿宋" w:eastAsia="仿宋" w:cs="仿宋"/>
                          <w:kern w:val="0"/>
                          <w:sz w:val="24"/>
                          <w:lang w:val="en-US" w:eastAsia="zh-CN"/>
                        </w:rPr>
                        <w:t>22</w:t>
                      </w:r>
                      <w:r>
                        <w:rPr>
                          <w:rFonts w:hint="eastAsia" w:ascii="仿宋" w:hAnsi="仿宋" w:eastAsia="仿宋" w:cs="仿宋"/>
                          <w:kern w:val="0"/>
                          <w:sz w:val="24"/>
                        </w:rPr>
                        <w:t>日</w:t>
                      </w:r>
                    </w:p>
                    <w:p w14:paraId="1E3BB4ED"/>
                  </w:txbxContent>
                </v:textbox>
              </v:shape>
            </w:pict>
          </mc:Fallback>
        </mc:AlternateContent>
      </w:r>
    </w:p>
    <w:p w14:paraId="14C6CB79">
      <w:pPr>
        <w:spacing w:line="400" w:lineRule="exact"/>
        <w:ind w:right="80" w:rightChars="38"/>
        <w:rPr>
          <w:rStyle w:val="6"/>
          <w:rFonts w:hint="eastAsia" w:ascii="仿宋" w:hAnsi="仿宋" w:eastAsia="仿宋" w:cs="仿宋"/>
          <w:color w:val="000000"/>
          <w:sz w:val="28"/>
          <w:szCs w:val="28"/>
        </w:rPr>
      </w:pPr>
    </w:p>
    <w:p w14:paraId="4582D703">
      <w:pPr>
        <w:rPr>
          <w:rFonts w:hint="eastAsia" w:ascii="仿宋" w:hAnsi="仿宋" w:eastAsia="仿宋" w:cs="仿宋"/>
        </w:rPr>
      </w:pPr>
    </w:p>
    <w:p w14:paraId="72E34AE6">
      <w:pPr>
        <w:spacing w:line="400" w:lineRule="exact"/>
        <w:ind w:right="80" w:rightChars="38"/>
        <w:rPr>
          <w:rStyle w:val="6"/>
          <w:rFonts w:hint="eastAsia" w:ascii="仿宋" w:hAnsi="仿宋" w:eastAsia="仿宋" w:cs="仿宋"/>
          <w:color w:val="000000"/>
          <w:sz w:val="28"/>
          <w:szCs w:val="28"/>
        </w:rPr>
      </w:pPr>
      <w:r>
        <w:rPr>
          <w:rStyle w:val="6"/>
          <w:rFonts w:hint="eastAsia" w:ascii="仿宋" w:hAnsi="仿宋" w:eastAsia="仿宋" w:cs="仿宋"/>
          <w:color w:val="000000"/>
          <w:sz w:val="28"/>
          <w:szCs w:val="28"/>
        </w:rPr>
        <w:t xml:space="preserve">附件2：                   </w:t>
      </w:r>
    </w:p>
    <w:p w14:paraId="1111EDE4">
      <w:pPr>
        <w:spacing w:line="400" w:lineRule="exact"/>
        <w:ind w:right="80" w:rightChars="38"/>
        <w:jc w:val="center"/>
        <w:rPr>
          <w:rFonts w:hint="eastAsia" w:ascii="仿宋" w:hAnsi="仿宋" w:eastAsia="仿宋" w:cs="仿宋"/>
          <w:color w:val="000000"/>
          <w:sz w:val="28"/>
          <w:szCs w:val="28"/>
        </w:rPr>
      </w:pPr>
      <w:r>
        <w:rPr>
          <w:rFonts w:hint="eastAsia" w:ascii="仿宋" w:hAnsi="仿宋" w:eastAsia="仿宋" w:cs="仿宋"/>
          <w:b/>
          <w:bCs/>
          <w:color w:val="auto"/>
          <w:sz w:val="28"/>
          <w:szCs w:val="28"/>
        </w:rPr>
        <w:t>EPC工程总承包全流程核心环节疑难问题解析与风险防控实务专题培训</w:t>
      </w:r>
      <w:r>
        <w:rPr>
          <w:rFonts w:hint="eastAsia" w:ascii="仿宋" w:hAnsi="仿宋" w:eastAsia="仿宋" w:cs="仿宋"/>
          <w:b/>
          <w:bCs/>
          <w:color w:val="auto"/>
          <w:sz w:val="28"/>
          <w:szCs w:val="28"/>
          <w:lang w:val="en-US" w:eastAsia="zh-CN"/>
        </w:rPr>
        <w:t>班</w:t>
      </w:r>
      <w:r>
        <w:rPr>
          <w:rFonts w:hint="eastAsia" w:ascii="仿宋" w:hAnsi="仿宋" w:eastAsia="仿宋" w:cs="仿宋"/>
          <w:b/>
          <w:bCs w:val="0"/>
          <w:color w:val="000000"/>
          <w:sz w:val="28"/>
          <w:szCs w:val="28"/>
        </w:rPr>
        <w:t>报名回执表</w:t>
      </w:r>
    </w:p>
    <w:tbl>
      <w:tblPr>
        <w:tblStyle w:val="4"/>
        <w:tblpPr w:leftFromText="180" w:rightFromText="180" w:vertAnchor="text" w:horzAnchor="page" w:tblpXSpec="center" w:tblpY="187"/>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935"/>
        <w:gridCol w:w="1208"/>
        <w:gridCol w:w="1417"/>
        <w:gridCol w:w="986"/>
        <w:gridCol w:w="996"/>
        <w:gridCol w:w="504"/>
        <w:gridCol w:w="948"/>
      </w:tblGrid>
      <w:tr w14:paraId="7ADB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32" w:type="dxa"/>
            <w:noWrap/>
            <w:vAlign w:val="center"/>
          </w:tcPr>
          <w:p w14:paraId="1B921B3B">
            <w:pPr>
              <w:spacing w:line="360" w:lineRule="exact"/>
              <w:ind w:right="80" w:rightChars="38"/>
              <w:rPr>
                <w:rFonts w:hint="eastAsia" w:ascii="仿宋" w:hAnsi="仿宋" w:eastAsia="仿宋" w:cs="仿宋"/>
                <w:bCs/>
                <w:sz w:val="24"/>
              </w:rPr>
            </w:pPr>
            <w:r>
              <w:rPr>
                <w:rFonts w:hint="eastAsia" w:ascii="仿宋" w:hAnsi="仿宋" w:eastAsia="仿宋" w:cs="仿宋"/>
                <w:bCs/>
                <w:sz w:val="24"/>
              </w:rPr>
              <w:t>单位名称</w:t>
            </w:r>
          </w:p>
        </w:tc>
        <w:tc>
          <w:tcPr>
            <w:tcW w:w="4546" w:type="dxa"/>
            <w:gridSpan w:val="4"/>
            <w:noWrap/>
            <w:vAlign w:val="center"/>
          </w:tcPr>
          <w:p w14:paraId="792ABA81">
            <w:pPr>
              <w:spacing w:line="360" w:lineRule="exact"/>
              <w:ind w:right="80" w:rightChars="38"/>
              <w:rPr>
                <w:rFonts w:hint="eastAsia" w:ascii="仿宋" w:hAnsi="仿宋" w:eastAsia="仿宋" w:cs="仿宋"/>
                <w:bCs/>
                <w:sz w:val="24"/>
              </w:rPr>
            </w:pPr>
          </w:p>
        </w:tc>
        <w:tc>
          <w:tcPr>
            <w:tcW w:w="996" w:type="dxa"/>
            <w:noWrap/>
            <w:vAlign w:val="center"/>
          </w:tcPr>
          <w:p w14:paraId="0B6C9FD6">
            <w:pPr>
              <w:spacing w:line="360" w:lineRule="exact"/>
              <w:ind w:right="80" w:rightChars="38"/>
              <w:rPr>
                <w:rFonts w:hint="eastAsia" w:ascii="仿宋" w:hAnsi="仿宋" w:eastAsia="仿宋" w:cs="仿宋"/>
                <w:bCs/>
                <w:sz w:val="24"/>
              </w:rPr>
            </w:pPr>
            <w:r>
              <w:rPr>
                <w:rFonts w:hint="eastAsia" w:ascii="仿宋" w:hAnsi="仿宋" w:eastAsia="仿宋" w:cs="仿宋"/>
                <w:bCs/>
                <w:sz w:val="24"/>
              </w:rPr>
              <w:t>邮编</w:t>
            </w:r>
          </w:p>
        </w:tc>
        <w:tc>
          <w:tcPr>
            <w:tcW w:w="1452" w:type="dxa"/>
            <w:gridSpan w:val="2"/>
            <w:noWrap/>
            <w:vAlign w:val="center"/>
          </w:tcPr>
          <w:p w14:paraId="63E0C871">
            <w:pPr>
              <w:spacing w:line="360" w:lineRule="exact"/>
              <w:ind w:left="149" w:right="80" w:rightChars="38" w:hanging="148" w:hangingChars="62"/>
              <w:rPr>
                <w:rFonts w:hint="eastAsia" w:ascii="仿宋" w:hAnsi="仿宋" w:eastAsia="仿宋" w:cs="仿宋"/>
                <w:bCs/>
                <w:sz w:val="24"/>
              </w:rPr>
            </w:pPr>
          </w:p>
        </w:tc>
      </w:tr>
      <w:tr w14:paraId="5C1A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932" w:type="dxa"/>
            <w:noWrap/>
            <w:vAlign w:val="center"/>
          </w:tcPr>
          <w:p w14:paraId="49B02B1F">
            <w:pPr>
              <w:spacing w:line="360" w:lineRule="exact"/>
              <w:ind w:right="80" w:rightChars="38"/>
              <w:rPr>
                <w:rFonts w:hint="eastAsia" w:ascii="仿宋" w:hAnsi="仿宋" w:eastAsia="仿宋" w:cs="仿宋"/>
                <w:bCs/>
                <w:sz w:val="24"/>
              </w:rPr>
            </w:pPr>
            <w:r>
              <w:rPr>
                <w:rFonts w:hint="eastAsia" w:ascii="仿宋" w:hAnsi="仿宋" w:eastAsia="仿宋" w:cs="仿宋"/>
                <w:bCs/>
                <w:sz w:val="24"/>
              </w:rPr>
              <w:t>详细地址</w:t>
            </w:r>
          </w:p>
        </w:tc>
        <w:tc>
          <w:tcPr>
            <w:tcW w:w="6994" w:type="dxa"/>
            <w:gridSpan w:val="7"/>
            <w:noWrap/>
            <w:vAlign w:val="center"/>
          </w:tcPr>
          <w:p w14:paraId="4307BAAA">
            <w:pPr>
              <w:spacing w:line="360" w:lineRule="exact"/>
              <w:ind w:right="80" w:rightChars="38"/>
              <w:rPr>
                <w:rFonts w:hint="eastAsia" w:ascii="仿宋" w:hAnsi="仿宋" w:eastAsia="仿宋" w:cs="仿宋"/>
                <w:bCs/>
                <w:sz w:val="24"/>
              </w:rPr>
            </w:pPr>
          </w:p>
        </w:tc>
      </w:tr>
      <w:tr w14:paraId="5D49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32" w:type="dxa"/>
            <w:noWrap/>
            <w:vAlign w:val="center"/>
          </w:tcPr>
          <w:p w14:paraId="24CCAEF8">
            <w:pPr>
              <w:spacing w:line="360" w:lineRule="exact"/>
              <w:ind w:right="80" w:rightChars="38"/>
              <w:rPr>
                <w:rFonts w:hint="eastAsia" w:ascii="仿宋" w:hAnsi="仿宋" w:eastAsia="仿宋" w:cs="仿宋"/>
                <w:bCs/>
                <w:sz w:val="24"/>
              </w:rPr>
            </w:pPr>
            <w:r>
              <w:rPr>
                <w:rFonts w:hint="eastAsia" w:ascii="仿宋" w:hAnsi="仿宋" w:eastAsia="仿宋" w:cs="仿宋"/>
                <w:bCs/>
                <w:sz w:val="24"/>
              </w:rPr>
              <w:t>联系人</w:t>
            </w:r>
          </w:p>
        </w:tc>
        <w:tc>
          <w:tcPr>
            <w:tcW w:w="3560" w:type="dxa"/>
            <w:gridSpan w:val="3"/>
            <w:noWrap/>
            <w:vAlign w:val="center"/>
          </w:tcPr>
          <w:p w14:paraId="7DA7C55D">
            <w:pPr>
              <w:spacing w:line="360" w:lineRule="exact"/>
              <w:ind w:right="80" w:rightChars="38"/>
              <w:rPr>
                <w:rFonts w:hint="eastAsia" w:ascii="仿宋" w:hAnsi="仿宋" w:eastAsia="仿宋" w:cs="仿宋"/>
                <w:bCs/>
                <w:sz w:val="24"/>
              </w:rPr>
            </w:pPr>
          </w:p>
        </w:tc>
        <w:tc>
          <w:tcPr>
            <w:tcW w:w="1982" w:type="dxa"/>
            <w:gridSpan w:val="2"/>
            <w:noWrap/>
            <w:vAlign w:val="center"/>
          </w:tcPr>
          <w:p w14:paraId="492B446B">
            <w:pPr>
              <w:keepNext/>
              <w:spacing w:line="360" w:lineRule="exact"/>
              <w:ind w:right="80" w:rightChars="38"/>
              <w:outlineLvl w:val="0"/>
              <w:rPr>
                <w:rFonts w:hint="eastAsia" w:ascii="仿宋" w:hAnsi="仿宋" w:eastAsia="仿宋" w:cs="仿宋"/>
                <w:bCs/>
                <w:sz w:val="24"/>
              </w:rPr>
            </w:pPr>
            <w:r>
              <w:rPr>
                <w:rFonts w:hint="eastAsia" w:ascii="仿宋" w:hAnsi="仿宋" w:eastAsia="仿宋" w:cs="仿宋"/>
                <w:bCs/>
                <w:sz w:val="24"/>
              </w:rPr>
              <w:t>E-mail</w:t>
            </w:r>
          </w:p>
        </w:tc>
        <w:tc>
          <w:tcPr>
            <w:tcW w:w="1452" w:type="dxa"/>
            <w:gridSpan w:val="2"/>
            <w:noWrap/>
            <w:vAlign w:val="center"/>
          </w:tcPr>
          <w:p w14:paraId="1290549C">
            <w:pPr>
              <w:spacing w:line="360" w:lineRule="exact"/>
              <w:ind w:right="80" w:rightChars="38"/>
              <w:rPr>
                <w:rFonts w:hint="eastAsia" w:ascii="仿宋" w:hAnsi="仿宋" w:eastAsia="仿宋" w:cs="仿宋"/>
                <w:bCs/>
                <w:sz w:val="24"/>
              </w:rPr>
            </w:pPr>
          </w:p>
        </w:tc>
      </w:tr>
      <w:tr w14:paraId="42B3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32" w:type="dxa"/>
            <w:noWrap/>
            <w:vAlign w:val="center"/>
          </w:tcPr>
          <w:p w14:paraId="6B1628A7">
            <w:pPr>
              <w:spacing w:line="360" w:lineRule="exact"/>
              <w:ind w:right="80" w:rightChars="38"/>
              <w:rPr>
                <w:rFonts w:hint="eastAsia" w:ascii="仿宋" w:hAnsi="仿宋" w:eastAsia="仿宋" w:cs="仿宋"/>
                <w:bCs/>
                <w:sz w:val="24"/>
              </w:rPr>
            </w:pPr>
            <w:r>
              <w:rPr>
                <w:rFonts w:hint="eastAsia" w:ascii="仿宋" w:hAnsi="仿宋" w:eastAsia="仿宋" w:cs="仿宋"/>
                <w:bCs/>
                <w:sz w:val="24"/>
              </w:rPr>
              <w:t>电话（区号）</w:t>
            </w:r>
          </w:p>
        </w:tc>
        <w:tc>
          <w:tcPr>
            <w:tcW w:w="3560" w:type="dxa"/>
            <w:gridSpan w:val="3"/>
            <w:noWrap/>
            <w:vAlign w:val="center"/>
          </w:tcPr>
          <w:p w14:paraId="752DCA90">
            <w:pPr>
              <w:spacing w:line="360" w:lineRule="exact"/>
              <w:ind w:right="80" w:rightChars="38"/>
              <w:rPr>
                <w:rFonts w:hint="eastAsia" w:ascii="仿宋" w:hAnsi="仿宋" w:eastAsia="仿宋" w:cs="仿宋"/>
                <w:bCs/>
                <w:sz w:val="24"/>
              </w:rPr>
            </w:pPr>
          </w:p>
        </w:tc>
        <w:tc>
          <w:tcPr>
            <w:tcW w:w="1982" w:type="dxa"/>
            <w:gridSpan w:val="2"/>
            <w:noWrap/>
            <w:vAlign w:val="center"/>
          </w:tcPr>
          <w:p w14:paraId="1E53175C">
            <w:pPr>
              <w:spacing w:line="360" w:lineRule="exact"/>
              <w:ind w:right="80" w:rightChars="38"/>
              <w:rPr>
                <w:rFonts w:hint="eastAsia" w:ascii="仿宋" w:hAnsi="仿宋" w:eastAsia="仿宋" w:cs="仿宋"/>
                <w:bCs/>
                <w:sz w:val="24"/>
              </w:rPr>
            </w:pPr>
            <w:r>
              <w:rPr>
                <w:rFonts w:hint="eastAsia" w:ascii="仿宋" w:hAnsi="仿宋" w:eastAsia="仿宋" w:cs="仿宋"/>
                <w:bCs/>
                <w:sz w:val="24"/>
              </w:rPr>
              <w:t>传真</w:t>
            </w:r>
          </w:p>
        </w:tc>
        <w:tc>
          <w:tcPr>
            <w:tcW w:w="1452" w:type="dxa"/>
            <w:gridSpan w:val="2"/>
            <w:noWrap/>
            <w:vAlign w:val="center"/>
          </w:tcPr>
          <w:p w14:paraId="7F853526">
            <w:pPr>
              <w:spacing w:line="360" w:lineRule="exact"/>
              <w:ind w:right="80" w:rightChars="38"/>
              <w:rPr>
                <w:rFonts w:hint="eastAsia" w:ascii="仿宋" w:hAnsi="仿宋" w:eastAsia="仿宋" w:cs="仿宋"/>
                <w:bCs/>
                <w:sz w:val="24"/>
              </w:rPr>
            </w:pPr>
          </w:p>
        </w:tc>
      </w:tr>
      <w:tr w14:paraId="69BD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14:paraId="50A23489">
            <w:pPr>
              <w:spacing w:line="360" w:lineRule="exact"/>
              <w:ind w:right="80" w:rightChars="38"/>
              <w:jc w:val="center"/>
              <w:rPr>
                <w:rFonts w:hint="eastAsia" w:ascii="仿宋" w:hAnsi="仿宋" w:eastAsia="仿宋" w:cs="仿宋"/>
                <w:bCs/>
                <w:sz w:val="24"/>
              </w:rPr>
            </w:pPr>
            <w:r>
              <w:rPr>
                <w:rFonts w:hint="eastAsia" w:ascii="仿宋" w:hAnsi="仿宋" w:eastAsia="仿宋" w:cs="仿宋"/>
                <w:bCs/>
                <w:sz w:val="24"/>
              </w:rPr>
              <w:t>参班代表姓名</w:t>
            </w:r>
          </w:p>
        </w:tc>
        <w:tc>
          <w:tcPr>
            <w:tcW w:w="935" w:type="dxa"/>
            <w:noWrap/>
            <w:vAlign w:val="center"/>
          </w:tcPr>
          <w:p w14:paraId="573C80CA">
            <w:pPr>
              <w:spacing w:line="360" w:lineRule="exact"/>
              <w:ind w:right="80" w:rightChars="38"/>
              <w:jc w:val="center"/>
              <w:rPr>
                <w:rFonts w:hint="eastAsia" w:ascii="仿宋" w:hAnsi="仿宋" w:eastAsia="仿宋" w:cs="仿宋"/>
                <w:bCs/>
                <w:sz w:val="24"/>
              </w:rPr>
            </w:pPr>
            <w:r>
              <w:rPr>
                <w:rFonts w:hint="eastAsia" w:ascii="仿宋" w:hAnsi="仿宋" w:eastAsia="仿宋" w:cs="仿宋"/>
                <w:bCs/>
                <w:sz w:val="24"/>
              </w:rPr>
              <w:t>性别</w:t>
            </w:r>
          </w:p>
        </w:tc>
        <w:tc>
          <w:tcPr>
            <w:tcW w:w="1208" w:type="dxa"/>
            <w:noWrap/>
            <w:vAlign w:val="center"/>
          </w:tcPr>
          <w:p w14:paraId="1C681F6E">
            <w:pPr>
              <w:spacing w:line="360" w:lineRule="exact"/>
              <w:ind w:right="80" w:rightChars="38"/>
              <w:jc w:val="center"/>
              <w:rPr>
                <w:rFonts w:hint="eastAsia" w:ascii="仿宋" w:hAnsi="仿宋" w:eastAsia="仿宋" w:cs="仿宋"/>
                <w:bCs/>
                <w:sz w:val="24"/>
              </w:rPr>
            </w:pPr>
            <w:r>
              <w:rPr>
                <w:rFonts w:hint="eastAsia" w:ascii="仿宋" w:hAnsi="仿宋" w:eastAsia="仿宋" w:cs="仿宋"/>
                <w:bCs/>
                <w:sz w:val="24"/>
              </w:rPr>
              <w:t>部门</w:t>
            </w:r>
          </w:p>
        </w:tc>
        <w:tc>
          <w:tcPr>
            <w:tcW w:w="1417" w:type="dxa"/>
            <w:noWrap/>
            <w:vAlign w:val="center"/>
          </w:tcPr>
          <w:p w14:paraId="042518B3">
            <w:pPr>
              <w:spacing w:line="360" w:lineRule="exact"/>
              <w:ind w:right="80" w:rightChars="38"/>
              <w:jc w:val="center"/>
              <w:rPr>
                <w:rFonts w:hint="eastAsia" w:ascii="仿宋" w:hAnsi="仿宋" w:eastAsia="仿宋" w:cs="仿宋"/>
                <w:bCs/>
                <w:sz w:val="24"/>
              </w:rPr>
            </w:pPr>
            <w:r>
              <w:rPr>
                <w:rFonts w:hint="eastAsia" w:ascii="仿宋" w:hAnsi="仿宋" w:eastAsia="仿宋" w:cs="仿宋"/>
                <w:bCs/>
                <w:sz w:val="24"/>
              </w:rPr>
              <w:t>职务</w:t>
            </w:r>
          </w:p>
        </w:tc>
        <w:tc>
          <w:tcPr>
            <w:tcW w:w="1982" w:type="dxa"/>
            <w:gridSpan w:val="2"/>
            <w:noWrap/>
            <w:vAlign w:val="center"/>
          </w:tcPr>
          <w:p w14:paraId="52D7D9CC">
            <w:pPr>
              <w:spacing w:line="360" w:lineRule="exact"/>
              <w:ind w:right="80" w:rightChars="38"/>
              <w:jc w:val="center"/>
              <w:rPr>
                <w:rFonts w:hint="eastAsia" w:ascii="仿宋" w:hAnsi="仿宋" w:eastAsia="仿宋" w:cs="仿宋"/>
                <w:bCs/>
                <w:sz w:val="24"/>
              </w:rPr>
            </w:pPr>
            <w:r>
              <w:rPr>
                <w:rFonts w:hint="eastAsia" w:ascii="仿宋" w:hAnsi="仿宋" w:eastAsia="仿宋" w:cs="仿宋"/>
                <w:bCs/>
                <w:sz w:val="24"/>
              </w:rPr>
              <w:t>手机</w:t>
            </w:r>
          </w:p>
        </w:tc>
        <w:tc>
          <w:tcPr>
            <w:tcW w:w="1452" w:type="dxa"/>
            <w:gridSpan w:val="2"/>
            <w:noWrap/>
            <w:vAlign w:val="center"/>
          </w:tcPr>
          <w:p w14:paraId="219BE48B">
            <w:pPr>
              <w:spacing w:line="360" w:lineRule="exact"/>
              <w:ind w:right="80" w:rightChars="38"/>
              <w:jc w:val="center"/>
              <w:rPr>
                <w:rFonts w:hint="eastAsia" w:ascii="仿宋" w:hAnsi="仿宋" w:eastAsia="仿宋" w:cs="仿宋"/>
                <w:bCs/>
                <w:sz w:val="24"/>
              </w:rPr>
            </w:pPr>
            <w:r>
              <w:rPr>
                <w:rFonts w:hint="eastAsia" w:ascii="仿宋" w:hAnsi="仿宋" w:eastAsia="仿宋" w:cs="仿宋"/>
                <w:bCs/>
                <w:sz w:val="24"/>
              </w:rPr>
              <w:t>E-mail</w:t>
            </w:r>
          </w:p>
        </w:tc>
      </w:tr>
      <w:tr w14:paraId="4BFE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14:paraId="5A4C5586">
            <w:pPr>
              <w:spacing w:line="360" w:lineRule="exact"/>
              <w:ind w:right="80" w:rightChars="38"/>
              <w:rPr>
                <w:rFonts w:hint="eastAsia" w:ascii="仿宋" w:hAnsi="仿宋" w:eastAsia="仿宋" w:cs="仿宋"/>
                <w:bCs/>
                <w:sz w:val="24"/>
              </w:rPr>
            </w:pPr>
          </w:p>
        </w:tc>
        <w:tc>
          <w:tcPr>
            <w:tcW w:w="935" w:type="dxa"/>
            <w:noWrap/>
            <w:vAlign w:val="center"/>
          </w:tcPr>
          <w:p w14:paraId="3522F41A">
            <w:pPr>
              <w:spacing w:line="360" w:lineRule="exact"/>
              <w:ind w:right="80" w:rightChars="38"/>
              <w:rPr>
                <w:rFonts w:hint="eastAsia" w:ascii="仿宋" w:hAnsi="仿宋" w:eastAsia="仿宋" w:cs="仿宋"/>
                <w:bCs/>
                <w:sz w:val="24"/>
              </w:rPr>
            </w:pPr>
          </w:p>
        </w:tc>
        <w:tc>
          <w:tcPr>
            <w:tcW w:w="1208" w:type="dxa"/>
            <w:noWrap/>
            <w:vAlign w:val="center"/>
          </w:tcPr>
          <w:p w14:paraId="3604E3EE">
            <w:pPr>
              <w:spacing w:line="360" w:lineRule="exact"/>
              <w:ind w:right="80" w:rightChars="38"/>
              <w:rPr>
                <w:rFonts w:hint="eastAsia" w:ascii="仿宋" w:hAnsi="仿宋" w:eastAsia="仿宋" w:cs="仿宋"/>
                <w:bCs/>
                <w:sz w:val="24"/>
              </w:rPr>
            </w:pPr>
          </w:p>
        </w:tc>
        <w:tc>
          <w:tcPr>
            <w:tcW w:w="1417" w:type="dxa"/>
            <w:noWrap/>
            <w:vAlign w:val="center"/>
          </w:tcPr>
          <w:p w14:paraId="068495A0">
            <w:pPr>
              <w:spacing w:line="360" w:lineRule="exact"/>
              <w:ind w:right="80" w:rightChars="38"/>
              <w:rPr>
                <w:rFonts w:hint="eastAsia" w:ascii="仿宋" w:hAnsi="仿宋" w:eastAsia="仿宋" w:cs="仿宋"/>
                <w:bCs/>
                <w:sz w:val="24"/>
              </w:rPr>
            </w:pPr>
          </w:p>
        </w:tc>
        <w:tc>
          <w:tcPr>
            <w:tcW w:w="1982" w:type="dxa"/>
            <w:gridSpan w:val="2"/>
            <w:noWrap/>
            <w:vAlign w:val="center"/>
          </w:tcPr>
          <w:p w14:paraId="29C41831">
            <w:pPr>
              <w:spacing w:line="360" w:lineRule="exact"/>
              <w:ind w:right="80" w:rightChars="38"/>
              <w:rPr>
                <w:rFonts w:hint="eastAsia" w:ascii="仿宋" w:hAnsi="仿宋" w:eastAsia="仿宋" w:cs="仿宋"/>
                <w:bCs/>
                <w:sz w:val="24"/>
              </w:rPr>
            </w:pPr>
          </w:p>
        </w:tc>
        <w:tc>
          <w:tcPr>
            <w:tcW w:w="1452" w:type="dxa"/>
            <w:gridSpan w:val="2"/>
            <w:noWrap/>
            <w:vAlign w:val="center"/>
          </w:tcPr>
          <w:p w14:paraId="51A8F3C6">
            <w:pPr>
              <w:spacing w:line="360" w:lineRule="exact"/>
              <w:ind w:right="80" w:rightChars="38"/>
              <w:rPr>
                <w:rFonts w:hint="eastAsia" w:ascii="仿宋" w:hAnsi="仿宋" w:eastAsia="仿宋" w:cs="仿宋"/>
                <w:bCs/>
                <w:sz w:val="24"/>
              </w:rPr>
            </w:pPr>
          </w:p>
        </w:tc>
      </w:tr>
      <w:tr w14:paraId="7C52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14:paraId="5EBB74DF">
            <w:pPr>
              <w:spacing w:line="360" w:lineRule="exact"/>
              <w:ind w:right="80" w:rightChars="38"/>
              <w:rPr>
                <w:rFonts w:hint="eastAsia" w:ascii="仿宋" w:hAnsi="仿宋" w:eastAsia="仿宋" w:cs="仿宋"/>
                <w:bCs/>
                <w:sz w:val="24"/>
              </w:rPr>
            </w:pPr>
          </w:p>
        </w:tc>
        <w:tc>
          <w:tcPr>
            <w:tcW w:w="935" w:type="dxa"/>
            <w:noWrap/>
            <w:vAlign w:val="center"/>
          </w:tcPr>
          <w:p w14:paraId="00DC43BA">
            <w:pPr>
              <w:spacing w:line="360" w:lineRule="exact"/>
              <w:ind w:right="80" w:rightChars="38"/>
              <w:rPr>
                <w:rFonts w:hint="eastAsia" w:ascii="仿宋" w:hAnsi="仿宋" w:eastAsia="仿宋" w:cs="仿宋"/>
                <w:bCs/>
                <w:sz w:val="24"/>
              </w:rPr>
            </w:pPr>
          </w:p>
        </w:tc>
        <w:tc>
          <w:tcPr>
            <w:tcW w:w="1208" w:type="dxa"/>
            <w:noWrap/>
            <w:vAlign w:val="center"/>
          </w:tcPr>
          <w:p w14:paraId="652F26ED">
            <w:pPr>
              <w:spacing w:line="360" w:lineRule="exact"/>
              <w:ind w:right="80" w:rightChars="38"/>
              <w:rPr>
                <w:rFonts w:hint="eastAsia" w:ascii="仿宋" w:hAnsi="仿宋" w:eastAsia="仿宋" w:cs="仿宋"/>
                <w:bCs/>
                <w:sz w:val="24"/>
              </w:rPr>
            </w:pPr>
          </w:p>
        </w:tc>
        <w:tc>
          <w:tcPr>
            <w:tcW w:w="1417" w:type="dxa"/>
            <w:noWrap/>
            <w:vAlign w:val="center"/>
          </w:tcPr>
          <w:p w14:paraId="1910EAC4">
            <w:pPr>
              <w:spacing w:line="360" w:lineRule="exact"/>
              <w:ind w:right="80" w:rightChars="38"/>
              <w:rPr>
                <w:rFonts w:hint="eastAsia" w:ascii="仿宋" w:hAnsi="仿宋" w:eastAsia="仿宋" w:cs="仿宋"/>
                <w:bCs/>
                <w:sz w:val="24"/>
              </w:rPr>
            </w:pPr>
          </w:p>
        </w:tc>
        <w:tc>
          <w:tcPr>
            <w:tcW w:w="1982" w:type="dxa"/>
            <w:gridSpan w:val="2"/>
            <w:noWrap/>
            <w:vAlign w:val="center"/>
          </w:tcPr>
          <w:p w14:paraId="5D0D5E89">
            <w:pPr>
              <w:spacing w:line="360" w:lineRule="exact"/>
              <w:ind w:right="80" w:rightChars="38"/>
              <w:rPr>
                <w:rFonts w:hint="eastAsia" w:ascii="仿宋" w:hAnsi="仿宋" w:eastAsia="仿宋" w:cs="仿宋"/>
                <w:bCs/>
                <w:sz w:val="24"/>
              </w:rPr>
            </w:pPr>
          </w:p>
        </w:tc>
        <w:tc>
          <w:tcPr>
            <w:tcW w:w="1452" w:type="dxa"/>
            <w:gridSpan w:val="2"/>
            <w:noWrap/>
            <w:vAlign w:val="center"/>
          </w:tcPr>
          <w:p w14:paraId="291A8415">
            <w:pPr>
              <w:spacing w:line="360" w:lineRule="exact"/>
              <w:ind w:right="80" w:rightChars="38"/>
              <w:rPr>
                <w:rFonts w:hint="eastAsia" w:ascii="仿宋" w:hAnsi="仿宋" w:eastAsia="仿宋" w:cs="仿宋"/>
                <w:bCs/>
                <w:sz w:val="24"/>
              </w:rPr>
            </w:pPr>
          </w:p>
        </w:tc>
      </w:tr>
      <w:tr w14:paraId="2F4B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14:paraId="71384043">
            <w:pPr>
              <w:spacing w:line="360" w:lineRule="exact"/>
              <w:ind w:right="80" w:rightChars="38"/>
              <w:rPr>
                <w:rFonts w:hint="eastAsia" w:ascii="仿宋" w:hAnsi="仿宋" w:eastAsia="仿宋" w:cs="仿宋"/>
                <w:bCs/>
                <w:sz w:val="24"/>
              </w:rPr>
            </w:pPr>
          </w:p>
        </w:tc>
        <w:tc>
          <w:tcPr>
            <w:tcW w:w="935" w:type="dxa"/>
            <w:noWrap/>
            <w:vAlign w:val="center"/>
          </w:tcPr>
          <w:p w14:paraId="71D1714B">
            <w:pPr>
              <w:spacing w:line="360" w:lineRule="exact"/>
              <w:ind w:right="80" w:rightChars="38"/>
              <w:rPr>
                <w:rFonts w:hint="eastAsia" w:ascii="仿宋" w:hAnsi="仿宋" w:eastAsia="仿宋" w:cs="仿宋"/>
                <w:bCs/>
                <w:sz w:val="24"/>
              </w:rPr>
            </w:pPr>
          </w:p>
        </w:tc>
        <w:tc>
          <w:tcPr>
            <w:tcW w:w="1208" w:type="dxa"/>
            <w:noWrap/>
            <w:vAlign w:val="center"/>
          </w:tcPr>
          <w:p w14:paraId="334C3AD7">
            <w:pPr>
              <w:spacing w:line="360" w:lineRule="exact"/>
              <w:ind w:right="80" w:rightChars="38"/>
              <w:rPr>
                <w:rFonts w:hint="eastAsia" w:ascii="仿宋" w:hAnsi="仿宋" w:eastAsia="仿宋" w:cs="仿宋"/>
                <w:bCs/>
                <w:sz w:val="24"/>
              </w:rPr>
            </w:pPr>
          </w:p>
        </w:tc>
        <w:tc>
          <w:tcPr>
            <w:tcW w:w="1417" w:type="dxa"/>
            <w:noWrap/>
            <w:vAlign w:val="center"/>
          </w:tcPr>
          <w:p w14:paraId="144A3516">
            <w:pPr>
              <w:spacing w:line="360" w:lineRule="exact"/>
              <w:ind w:right="80" w:rightChars="38"/>
              <w:rPr>
                <w:rFonts w:hint="eastAsia" w:ascii="仿宋" w:hAnsi="仿宋" w:eastAsia="仿宋" w:cs="仿宋"/>
                <w:bCs/>
                <w:sz w:val="24"/>
              </w:rPr>
            </w:pPr>
          </w:p>
        </w:tc>
        <w:tc>
          <w:tcPr>
            <w:tcW w:w="1982" w:type="dxa"/>
            <w:gridSpan w:val="2"/>
            <w:noWrap/>
            <w:vAlign w:val="center"/>
          </w:tcPr>
          <w:p w14:paraId="4F67FCA0">
            <w:pPr>
              <w:spacing w:line="360" w:lineRule="exact"/>
              <w:ind w:right="80" w:rightChars="38"/>
              <w:rPr>
                <w:rFonts w:hint="eastAsia" w:ascii="仿宋" w:hAnsi="仿宋" w:eastAsia="仿宋" w:cs="仿宋"/>
                <w:bCs/>
                <w:sz w:val="24"/>
              </w:rPr>
            </w:pPr>
          </w:p>
        </w:tc>
        <w:tc>
          <w:tcPr>
            <w:tcW w:w="1452" w:type="dxa"/>
            <w:gridSpan w:val="2"/>
            <w:noWrap/>
            <w:vAlign w:val="center"/>
          </w:tcPr>
          <w:p w14:paraId="53F84C2B">
            <w:pPr>
              <w:spacing w:line="360" w:lineRule="exact"/>
              <w:ind w:right="80" w:rightChars="38"/>
              <w:rPr>
                <w:rFonts w:hint="eastAsia" w:ascii="仿宋" w:hAnsi="仿宋" w:eastAsia="仿宋" w:cs="仿宋"/>
                <w:bCs/>
                <w:sz w:val="24"/>
              </w:rPr>
            </w:pPr>
          </w:p>
        </w:tc>
      </w:tr>
      <w:tr w14:paraId="1CE0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14:paraId="5DF8057A">
            <w:pPr>
              <w:spacing w:line="360" w:lineRule="exact"/>
              <w:ind w:right="80" w:rightChars="38"/>
              <w:rPr>
                <w:rFonts w:hint="eastAsia" w:ascii="仿宋" w:hAnsi="仿宋" w:eastAsia="仿宋" w:cs="仿宋"/>
                <w:bCs/>
                <w:sz w:val="24"/>
              </w:rPr>
            </w:pPr>
          </w:p>
        </w:tc>
        <w:tc>
          <w:tcPr>
            <w:tcW w:w="935" w:type="dxa"/>
            <w:noWrap/>
            <w:vAlign w:val="center"/>
          </w:tcPr>
          <w:p w14:paraId="7A67476C">
            <w:pPr>
              <w:spacing w:line="360" w:lineRule="exact"/>
              <w:ind w:right="80" w:rightChars="38"/>
              <w:rPr>
                <w:rFonts w:hint="eastAsia" w:ascii="仿宋" w:hAnsi="仿宋" w:eastAsia="仿宋" w:cs="仿宋"/>
                <w:bCs/>
                <w:sz w:val="24"/>
              </w:rPr>
            </w:pPr>
          </w:p>
        </w:tc>
        <w:tc>
          <w:tcPr>
            <w:tcW w:w="1208" w:type="dxa"/>
            <w:noWrap/>
            <w:vAlign w:val="center"/>
          </w:tcPr>
          <w:p w14:paraId="3F21270F">
            <w:pPr>
              <w:spacing w:line="360" w:lineRule="exact"/>
              <w:ind w:right="80" w:rightChars="38"/>
              <w:rPr>
                <w:rFonts w:hint="eastAsia" w:ascii="仿宋" w:hAnsi="仿宋" w:eastAsia="仿宋" w:cs="仿宋"/>
                <w:bCs/>
                <w:sz w:val="24"/>
              </w:rPr>
            </w:pPr>
          </w:p>
        </w:tc>
        <w:tc>
          <w:tcPr>
            <w:tcW w:w="1417" w:type="dxa"/>
            <w:noWrap/>
            <w:vAlign w:val="center"/>
          </w:tcPr>
          <w:p w14:paraId="3316DC15">
            <w:pPr>
              <w:spacing w:line="360" w:lineRule="exact"/>
              <w:ind w:right="80" w:rightChars="38"/>
              <w:rPr>
                <w:rFonts w:hint="eastAsia" w:ascii="仿宋" w:hAnsi="仿宋" w:eastAsia="仿宋" w:cs="仿宋"/>
                <w:bCs/>
                <w:sz w:val="24"/>
              </w:rPr>
            </w:pPr>
          </w:p>
        </w:tc>
        <w:tc>
          <w:tcPr>
            <w:tcW w:w="1982" w:type="dxa"/>
            <w:gridSpan w:val="2"/>
            <w:noWrap/>
            <w:vAlign w:val="center"/>
          </w:tcPr>
          <w:p w14:paraId="6685E7E1">
            <w:pPr>
              <w:spacing w:line="360" w:lineRule="exact"/>
              <w:ind w:right="80" w:rightChars="38"/>
              <w:rPr>
                <w:rFonts w:hint="eastAsia" w:ascii="仿宋" w:hAnsi="仿宋" w:eastAsia="仿宋" w:cs="仿宋"/>
                <w:bCs/>
                <w:sz w:val="24"/>
              </w:rPr>
            </w:pPr>
          </w:p>
        </w:tc>
        <w:tc>
          <w:tcPr>
            <w:tcW w:w="1452" w:type="dxa"/>
            <w:gridSpan w:val="2"/>
            <w:noWrap/>
            <w:vAlign w:val="center"/>
          </w:tcPr>
          <w:p w14:paraId="66D508A5">
            <w:pPr>
              <w:spacing w:line="360" w:lineRule="exact"/>
              <w:ind w:right="80" w:rightChars="38"/>
              <w:rPr>
                <w:rFonts w:hint="eastAsia" w:ascii="仿宋" w:hAnsi="仿宋" w:eastAsia="仿宋" w:cs="仿宋"/>
                <w:bCs/>
                <w:sz w:val="24"/>
              </w:rPr>
            </w:pPr>
          </w:p>
        </w:tc>
      </w:tr>
      <w:tr w14:paraId="0E98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14:paraId="391DB521">
            <w:pPr>
              <w:spacing w:line="360" w:lineRule="exact"/>
              <w:ind w:right="80" w:rightChars="38"/>
              <w:rPr>
                <w:rFonts w:hint="eastAsia" w:ascii="仿宋" w:hAnsi="仿宋" w:eastAsia="仿宋" w:cs="仿宋"/>
                <w:bCs/>
                <w:sz w:val="24"/>
              </w:rPr>
            </w:pPr>
          </w:p>
        </w:tc>
        <w:tc>
          <w:tcPr>
            <w:tcW w:w="935" w:type="dxa"/>
            <w:noWrap/>
            <w:vAlign w:val="center"/>
          </w:tcPr>
          <w:p w14:paraId="539A3B22">
            <w:pPr>
              <w:spacing w:line="360" w:lineRule="exact"/>
              <w:ind w:right="80" w:rightChars="38"/>
              <w:rPr>
                <w:rFonts w:hint="eastAsia" w:ascii="仿宋" w:hAnsi="仿宋" w:eastAsia="仿宋" w:cs="仿宋"/>
                <w:bCs/>
                <w:sz w:val="24"/>
              </w:rPr>
            </w:pPr>
          </w:p>
        </w:tc>
        <w:tc>
          <w:tcPr>
            <w:tcW w:w="1208" w:type="dxa"/>
            <w:noWrap/>
            <w:vAlign w:val="center"/>
          </w:tcPr>
          <w:p w14:paraId="4ED09FDD">
            <w:pPr>
              <w:spacing w:line="360" w:lineRule="exact"/>
              <w:ind w:right="80" w:rightChars="38"/>
              <w:rPr>
                <w:rFonts w:hint="eastAsia" w:ascii="仿宋" w:hAnsi="仿宋" w:eastAsia="仿宋" w:cs="仿宋"/>
                <w:bCs/>
                <w:sz w:val="24"/>
              </w:rPr>
            </w:pPr>
          </w:p>
        </w:tc>
        <w:tc>
          <w:tcPr>
            <w:tcW w:w="1417" w:type="dxa"/>
            <w:noWrap/>
            <w:vAlign w:val="center"/>
          </w:tcPr>
          <w:p w14:paraId="43FD280F">
            <w:pPr>
              <w:spacing w:line="360" w:lineRule="exact"/>
              <w:ind w:right="80" w:rightChars="38"/>
              <w:rPr>
                <w:rFonts w:hint="eastAsia" w:ascii="仿宋" w:hAnsi="仿宋" w:eastAsia="仿宋" w:cs="仿宋"/>
                <w:bCs/>
                <w:sz w:val="24"/>
              </w:rPr>
            </w:pPr>
          </w:p>
        </w:tc>
        <w:tc>
          <w:tcPr>
            <w:tcW w:w="1982" w:type="dxa"/>
            <w:gridSpan w:val="2"/>
            <w:noWrap/>
            <w:vAlign w:val="center"/>
          </w:tcPr>
          <w:p w14:paraId="7E42AA8E">
            <w:pPr>
              <w:spacing w:line="360" w:lineRule="exact"/>
              <w:ind w:right="80" w:rightChars="38"/>
              <w:rPr>
                <w:rFonts w:hint="eastAsia" w:ascii="仿宋" w:hAnsi="仿宋" w:eastAsia="仿宋" w:cs="仿宋"/>
                <w:bCs/>
                <w:sz w:val="24"/>
              </w:rPr>
            </w:pPr>
          </w:p>
        </w:tc>
        <w:tc>
          <w:tcPr>
            <w:tcW w:w="1452" w:type="dxa"/>
            <w:gridSpan w:val="2"/>
            <w:noWrap/>
            <w:vAlign w:val="center"/>
          </w:tcPr>
          <w:p w14:paraId="4988246B">
            <w:pPr>
              <w:spacing w:line="360" w:lineRule="exact"/>
              <w:ind w:right="80" w:rightChars="38"/>
              <w:rPr>
                <w:rFonts w:hint="eastAsia" w:ascii="仿宋" w:hAnsi="仿宋" w:eastAsia="仿宋" w:cs="仿宋"/>
                <w:bCs/>
                <w:sz w:val="24"/>
              </w:rPr>
            </w:pPr>
          </w:p>
        </w:tc>
      </w:tr>
      <w:tr w14:paraId="5DDD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14:paraId="013A0E1C">
            <w:pPr>
              <w:spacing w:line="360" w:lineRule="exact"/>
              <w:ind w:right="80" w:rightChars="38"/>
              <w:rPr>
                <w:rFonts w:hint="eastAsia" w:ascii="仿宋" w:hAnsi="仿宋" w:eastAsia="仿宋" w:cs="仿宋"/>
                <w:bCs/>
                <w:sz w:val="24"/>
              </w:rPr>
            </w:pPr>
          </w:p>
        </w:tc>
        <w:tc>
          <w:tcPr>
            <w:tcW w:w="935" w:type="dxa"/>
            <w:noWrap/>
            <w:vAlign w:val="center"/>
          </w:tcPr>
          <w:p w14:paraId="3746106F">
            <w:pPr>
              <w:spacing w:line="360" w:lineRule="exact"/>
              <w:ind w:right="80" w:rightChars="38"/>
              <w:rPr>
                <w:rFonts w:hint="eastAsia" w:ascii="仿宋" w:hAnsi="仿宋" w:eastAsia="仿宋" w:cs="仿宋"/>
                <w:bCs/>
                <w:sz w:val="24"/>
              </w:rPr>
            </w:pPr>
          </w:p>
        </w:tc>
        <w:tc>
          <w:tcPr>
            <w:tcW w:w="1208" w:type="dxa"/>
            <w:noWrap/>
            <w:vAlign w:val="center"/>
          </w:tcPr>
          <w:p w14:paraId="07668CC4">
            <w:pPr>
              <w:spacing w:line="360" w:lineRule="exact"/>
              <w:ind w:right="80" w:rightChars="38"/>
              <w:rPr>
                <w:rFonts w:hint="eastAsia" w:ascii="仿宋" w:hAnsi="仿宋" w:eastAsia="仿宋" w:cs="仿宋"/>
                <w:bCs/>
                <w:sz w:val="24"/>
              </w:rPr>
            </w:pPr>
          </w:p>
        </w:tc>
        <w:tc>
          <w:tcPr>
            <w:tcW w:w="1417" w:type="dxa"/>
            <w:noWrap/>
            <w:vAlign w:val="center"/>
          </w:tcPr>
          <w:p w14:paraId="296A31D1">
            <w:pPr>
              <w:spacing w:line="360" w:lineRule="exact"/>
              <w:ind w:right="80" w:rightChars="38"/>
              <w:rPr>
                <w:rFonts w:hint="eastAsia" w:ascii="仿宋" w:hAnsi="仿宋" w:eastAsia="仿宋" w:cs="仿宋"/>
                <w:bCs/>
                <w:sz w:val="24"/>
              </w:rPr>
            </w:pPr>
          </w:p>
        </w:tc>
        <w:tc>
          <w:tcPr>
            <w:tcW w:w="1982" w:type="dxa"/>
            <w:gridSpan w:val="2"/>
            <w:noWrap/>
            <w:vAlign w:val="center"/>
          </w:tcPr>
          <w:p w14:paraId="3CDC04D5">
            <w:pPr>
              <w:spacing w:line="360" w:lineRule="exact"/>
              <w:ind w:right="80" w:rightChars="38"/>
              <w:rPr>
                <w:rFonts w:hint="eastAsia" w:ascii="仿宋" w:hAnsi="仿宋" w:eastAsia="仿宋" w:cs="仿宋"/>
                <w:bCs/>
                <w:sz w:val="24"/>
              </w:rPr>
            </w:pPr>
          </w:p>
        </w:tc>
        <w:tc>
          <w:tcPr>
            <w:tcW w:w="1452" w:type="dxa"/>
            <w:gridSpan w:val="2"/>
            <w:noWrap/>
            <w:vAlign w:val="center"/>
          </w:tcPr>
          <w:p w14:paraId="4DB8C191">
            <w:pPr>
              <w:spacing w:line="360" w:lineRule="exact"/>
              <w:ind w:right="80" w:rightChars="38"/>
              <w:rPr>
                <w:rFonts w:hint="eastAsia" w:ascii="仿宋" w:hAnsi="仿宋" w:eastAsia="仿宋" w:cs="仿宋"/>
                <w:bCs/>
                <w:sz w:val="24"/>
              </w:rPr>
            </w:pPr>
          </w:p>
        </w:tc>
      </w:tr>
      <w:tr w14:paraId="6344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32" w:type="dxa"/>
            <w:noWrap/>
            <w:vAlign w:val="center"/>
          </w:tcPr>
          <w:p w14:paraId="3783132C">
            <w:pPr>
              <w:spacing w:line="360" w:lineRule="exact"/>
              <w:ind w:right="80" w:rightChars="38"/>
              <w:rPr>
                <w:rFonts w:hint="eastAsia" w:ascii="仿宋" w:hAnsi="仿宋" w:eastAsia="仿宋" w:cs="仿宋"/>
                <w:bCs/>
                <w:sz w:val="24"/>
              </w:rPr>
            </w:pPr>
          </w:p>
        </w:tc>
        <w:tc>
          <w:tcPr>
            <w:tcW w:w="935" w:type="dxa"/>
            <w:noWrap/>
            <w:vAlign w:val="center"/>
          </w:tcPr>
          <w:p w14:paraId="3B57A864">
            <w:pPr>
              <w:spacing w:line="360" w:lineRule="exact"/>
              <w:ind w:right="80" w:rightChars="38"/>
              <w:rPr>
                <w:rFonts w:hint="eastAsia" w:ascii="仿宋" w:hAnsi="仿宋" w:eastAsia="仿宋" w:cs="仿宋"/>
                <w:bCs/>
                <w:sz w:val="24"/>
              </w:rPr>
            </w:pPr>
          </w:p>
        </w:tc>
        <w:tc>
          <w:tcPr>
            <w:tcW w:w="1208" w:type="dxa"/>
            <w:noWrap/>
            <w:vAlign w:val="center"/>
          </w:tcPr>
          <w:p w14:paraId="18306C3D">
            <w:pPr>
              <w:spacing w:line="360" w:lineRule="exact"/>
              <w:ind w:right="80" w:rightChars="38"/>
              <w:rPr>
                <w:rFonts w:hint="eastAsia" w:ascii="仿宋" w:hAnsi="仿宋" w:eastAsia="仿宋" w:cs="仿宋"/>
                <w:bCs/>
                <w:sz w:val="24"/>
              </w:rPr>
            </w:pPr>
          </w:p>
        </w:tc>
        <w:tc>
          <w:tcPr>
            <w:tcW w:w="1417" w:type="dxa"/>
            <w:noWrap/>
            <w:vAlign w:val="center"/>
          </w:tcPr>
          <w:p w14:paraId="46774953">
            <w:pPr>
              <w:spacing w:line="360" w:lineRule="exact"/>
              <w:ind w:right="80" w:rightChars="38"/>
              <w:rPr>
                <w:rFonts w:hint="eastAsia" w:ascii="仿宋" w:hAnsi="仿宋" w:eastAsia="仿宋" w:cs="仿宋"/>
                <w:bCs/>
                <w:sz w:val="24"/>
              </w:rPr>
            </w:pPr>
          </w:p>
        </w:tc>
        <w:tc>
          <w:tcPr>
            <w:tcW w:w="1982" w:type="dxa"/>
            <w:gridSpan w:val="2"/>
            <w:noWrap/>
            <w:vAlign w:val="center"/>
          </w:tcPr>
          <w:p w14:paraId="27EFB4A4">
            <w:pPr>
              <w:spacing w:line="360" w:lineRule="exact"/>
              <w:ind w:right="80" w:rightChars="38"/>
              <w:rPr>
                <w:rFonts w:hint="eastAsia" w:ascii="仿宋" w:hAnsi="仿宋" w:eastAsia="仿宋" w:cs="仿宋"/>
                <w:bCs/>
                <w:sz w:val="24"/>
              </w:rPr>
            </w:pPr>
          </w:p>
        </w:tc>
        <w:tc>
          <w:tcPr>
            <w:tcW w:w="1452" w:type="dxa"/>
            <w:gridSpan w:val="2"/>
            <w:noWrap/>
            <w:vAlign w:val="center"/>
          </w:tcPr>
          <w:p w14:paraId="55BCEA60">
            <w:pPr>
              <w:spacing w:line="360" w:lineRule="exact"/>
              <w:ind w:right="80" w:rightChars="38"/>
              <w:rPr>
                <w:rFonts w:hint="eastAsia" w:ascii="仿宋" w:hAnsi="仿宋" w:eastAsia="仿宋" w:cs="仿宋"/>
                <w:bCs/>
                <w:sz w:val="24"/>
              </w:rPr>
            </w:pPr>
          </w:p>
        </w:tc>
      </w:tr>
      <w:tr w14:paraId="4414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32" w:type="dxa"/>
            <w:noWrap/>
            <w:vAlign w:val="center"/>
          </w:tcPr>
          <w:p w14:paraId="2BB4D6ED">
            <w:pPr>
              <w:spacing w:line="360" w:lineRule="exact"/>
              <w:ind w:right="80" w:rightChars="38"/>
              <w:rPr>
                <w:rFonts w:hint="eastAsia" w:ascii="仿宋" w:hAnsi="仿宋" w:eastAsia="仿宋" w:cs="仿宋"/>
                <w:bCs/>
                <w:sz w:val="24"/>
              </w:rPr>
            </w:pPr>
          </w:p>
        </w:tc>
        <w:tc>
          <w:tcPr>
            <w:tcW w:w="935" w:type="dxa"/>
            <w:noWrap/>
            <w:vAlign w:val="center"/>
          </w:tcPr>
          <w:p w14:paraId="6BC5B5B0">
            <w:pPr>
              <w:spacing w:line="360" w:lineRule="exact"/>
              <w:ind w:right="80" w:rightChars="38"/>
              <w:rPr>
                <w:rFonts w:hint="eastAsia" w:ascii="仿宋" w:hAnsi="仿宋" w:eastAsia="仿宋" w:cs="仿宋"/>
                <w:bCs/>
                <w:sz w:val="24"/>
              </w:rPr>
            </w:pPr>
          </w:p>
        </w:tc>
        <w:tc>
          <w:tcPr>
            <w:tcW w:w="1208" w:type="dxa"/>
            <w:noWrap/>
            <w:vAlign w:val="center"/>
          </w:tcPr>
          <w:p w14:paraId="38ED388F">
            <w:pPr>
              <w:spacing w:line="360" w:lineRule="exact"/>
              <w:ind w:right="80" w:rightChars="38"/>
              <w:rPr>
                <w:rFonts w:hint="eastAsia" w:ascii="仿宋" w:hAnsi="仿宋" w:eastAsia="仿宋" w:cs="仿宋"/>
                <w:bCs/>
                <w:sz w:val="24"/>
              </w:rPr>
            </w:pPr>
          </w:p>
        </w:tc>
        <w:tc>
          <w:tcPr>
            <w:tcW w:w="1417" w:type="dxa"/>
            <w:noWrap/>
            <w:vAlign w:val="center"/>
          </w:tcPr>
          <w:p w14:paraId="3B42EC2F">
            <w:pPr>
              <w:spacing w:line="360" w:lineRule="exact"/>
              <w:ind w:right="80" w:rightChars="38"/>
              <w:rPr>
                <w:rFonts w:hint="eastAsia" w:ascii="仿宋" w:hAnsi="仿宋" w:eastAsia="仿宋" w:cs="仿宋"/>
                <w:bCs/>
                <w:sz w:val="24"/>
              </w:rPr>
            </w:pPr>
          </w:p>
        </w:tc>
        <w:tc>
          <w:tcPr>
            <w:tcW w:w="1982" w:type="dxa"/>
            <w:gridSpan w:val="2"/>
            <w:noWrap/>
            <w:vAlign w:val="center"/>
          </w:tcPr>
          <w:p w14:paraId="45C7FBE7">
            <w:pPr>
              <w:spacing w:line="360" w:lineRule="exact"/>
              <w:ind w:right="80" w:rightChars="38"/>
              <w:rPr>
                <w:rFonts w:hint="eastAsia" w:ascii="仿宋" w:hAnsi="仿宋" w:eastAsia="仿宋" w:cs="仿宋"/>
                <w:bCs/>
                <w:sz w:val="24"/>
              </w:rPr>
            </w:pPr>
          </w:p>
        </w:tc>
        <w:tc>
          <w:tcPr>
            <w:tcW w:w="1452" w:type="dxa"/>
            <w:gridSpan w:val="2"/>
            <w:noWrap/>
            <w:vAlign w:val="center"/>
          </w:tcPr>
          <w:p w14:paraId="49A1829D">
            <w:pPr>
              <w:spacing w:line="360" w:lineRule="exact"/>
              <w:ind w:right="80" w:rightChars="38"/>
              <w:rPr>
                <w:rFonts w:hint="eastAsia" w:ascii="仿宋" w:hAnsi="仿宋" w:eastAsia="仿宋" w:cs="仿宋"/>
                <w:bCs/>
                <w:sz w:val="24"/>
              </w:rPr>
            </w:pPr>
          </w:p>
        </w:tc>
      </w:tr>
      <w:tr w14:paraId="38EB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32" w:type="dxa"/>
            <w:noWrap/>
            <w:vAlign w:val="center"/>
          </w:tcPr>
          <w:p w14:paraId="3D4A79C0">
            <w:pPr>
              <w:spacing w:line="360" w:lineRule="exact"/>
              <w:ind w:right="80" w:rightChars="38"/>
              <w:rPr>
                <w:rFonts w:hint="eastAsia" w:ascii="仿宋" w:hAnsi="仿宋" w:eastAsia="仿宋" w:cs="仿宋"/>
                <w:bCs/>
                <w:sz w:val="24"/>
              </w:rPr>
            </w:pPr>
            <w:r>
              <w:rPr>
                <w:rFonts w:hint="eastAsia" w:ascii="仿宋" w:hAnsi="仿宋" w:eastAsia="仿宋" w:cs="仿宋"/>
                <w:bCs/>
                <w:sz w:val="24"/>
              </w:rPr>
              <w:t>住宿安排</w:t>
            </w:r>
          </w:p>
        </w:tc>
        <w:tc>
          <w:tcPr>
            <w:tcW w:w="6994" w:type="dxa"/>
            <w:gridSpan w:val="7"/>
            <w:noWrap/>
            <w:vAlign w:val="center"/>
          </w:tcPr>
          <w:p w14:paraId="6BCA714F">
            <w:pPr>
              <w:spacing w:line="360" w:lineRule="exact"/>
              <w:ind w:right="80" w:rightChars="38"/>
              <w:rPr>
                <w:rFonts w:hint="eastAsia" w:ascii="仿宋" w:hAnsi="仿宋" w:eastAsia="仿宋" w:cs="仿宋"/>
                <w:bCs/>
                <w:sz w:val="24"/>
              </w:rPr>
            </w:pPr>
            <w:r>
              <w:rPr>
                <w:rFonts w:hint="eastAsia" w:ascii="仿宋" w:hAnsi="仿宋" w:eastAsia="仿宋" w:cs="仿宋"/>
                <w:bCs/>
                <w:sz w:val="24"/>
              </w:rPr>
              <w:t>□单间    □标间   订房数量</w:t>
            </w:r>
            <w:r>
              <w:rPr>
                <w:rFonts w:hint="eastAsia" w:ascii="仿宋" w:hAnsi="仿宋" w:eastAsia="仿宋" w:cs="仿宋"/>
                <w:bCs/>
                <w:sz w:val="24"/>
                <w:u w:val="single"/>
              </w:rPr>
              <w:t xml:space="preserve">    </w:t>
            </w:r>
            <w:r>
              <w:rPr>
                <w:rFonts w:hint="eastAsia" w:ascii="仿宋" w:hAnsi="仿宋" w:eastAsia="仿宋" w:cs="仿宋"/>
                <w:bCs/>
                <w:sz w:val="24"/>
              </w:rPr>
              <w:t>间    □否    □自行安排</w:t>
            </w:r>
          </w:p>
        </w:tc>
      </w:tr>
      <w:tr w14:paraId="348F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932" w:type="dxa"/>
            <w:noWrap/>
            <w:vAlign w:val="center"/>
          </w:tcPr>
          <w:p w14:paraId="0B04DD1F">
            <w:pPr>
              <w:spacing w:line="360" w:lineRule="exact"/>
              <w:ind w:right="80" w:rightChars="38"/>
              <w:rPr>
                <w:rFonts w:hint="eastAsia" w:ascii="仿宋" w:hAnsi="仿宋" w:eastAsia="仿宋" w:cs="仿宋"/>
                <w:bCs/>
                <w:sz w:val="24"/>
              </w:rPr>
            </w:pPr>
            <w:r>
              <w:rPr>
                <w:rFonts w:hint="eastAsia" w:ascii="仿宋" w:hAnsi="仿宋" w:eastAsia="仿宋" w:cs="仿宋"/>
                <w:bCs/>
                <w:sz w:val="24"/>
              </w:rPr>
              <w:t>参会地点</w:t>
            </w:r>
          </w:p>
        </w:tc>
        <w:tc>
          <w:tcPr>
            <w:tcW w:w="4546" w:type="dxa"/>
            <w:gridSpan w:val="4"/>
            <w:noWrap/>
            <w:vAlign w:val="center"/>
          </w:tcPr>
          <w:p w14:paraId="711825F8">
            <w:pPr>
              <w:spacing w:line="360" w:lineRule="exact"/>
              <w:ind w:left="240" w:right="80" w:rightChars="38" w:hanging="240" w:hangingChars="100"/>
              <w:rPr>
                <w:rFonts w:hint="default" w:ascii="仿宋" w:hAnsi="仿宋" w:eastAsia="仿宋" w:cs="仿宋"/>
                <w:bCs/>
                <w:sz w:val="24"/>
                <w:lang w:val="en-US" w:eastAsia="zh-CN"/>
              </w:rPr>
            </w:pPr>
            <w:r>
              <w:rPr>
                <w:rFonts w:hint="eastAsia" w:ascii="仿宋" w:hAnsi="仿宋" w:eastAsia="仿宋" w:cs="仿宋"/>
                <w:bCs/>
                <w:sz w:val="24"/>
              </w:rPr>
              <w:t xml:space="preserve"> </w:t>
            </w:r>
            <w:r>
              <w:rPr>
                <w:rFonts w:hint="eastAsia" w:ascii="仿宋" w:hAnsi="仿宋" w:eastAsia="仿宋" w:cs="仿宋"/>
                <w:bCs/>
                <w:sz w:val="24"/>
                <w:lang w:val="en-US" w:eastAsia="zh-CN"/>
              </w:rPr>
              <w:t xml:space="preserve">    </w:t>
            </w:r>
            <w:r>
              <w:rPr>
                <w:rFonts w:hint="eastAsia" w:ascii="仿宋" w:hAnsi="仿宋" w:eastAsia="仿宋" w:cs="仿宋"/>
                <w:bCs/>
                <w:sz w:val="24"/>
              </w:rPr>
              <w:t>□</w:t>
            </w:r>
            <w:r>
              <w:rPr>
                <w:rFonts w:hint="eastAsia" w:ascii="仿宋" w:hAnsi="仿宋" w:eastAsia="仿宋" w:cs="仿宋"/>
                <w:bCs/>
                <w:sz w:val="24"/>
                <w:lang w:val="en-US" w:eastAsia="zh-CN"/>
              </w:rPr>
              <w:t xml:space="preserve">南京  </w:t>
            </w:r>
            <w:r>
              <w:rPr>
                <w:rFonts w:hint="eastAsia" w:ascii="仿宋" w:hAnsi="仿宋" w:eastAsia="仿宋" w:cs="仿宋"/>
                <w:bCs/>
                <w:sz w:val="24"/>
              </w:rPr>
              <w:t>□</w:t>
            </w:r>
            <w:r>
              <w:rPr>
                <w:rFonts w:hint="eastAsia" w:ascii="仿宋" w:hAnsi="仿宋" w:eastAsia="仿宋" w:cs="仿宋"/>
                <w:bCs/>
                <w:sz w:val="24"/>
                <w:lang w:val="en-US" w:eastAsia="zh-CN"/>
              </w:rPr>
              <w:t>长沙</w:t>
            </w:r>
          </w:p>
        </w:tc>
        <w:tc>
          <w:tcPr>
            <w:tcW w:w="1500" w:type="dxa"/>
            <w:gridSpan w:val="2"/>
            <w:noWrap/>
            <w:vAlign w:val="center"/>
          </w:tcPr>
          <w:p w14:paraId="057397B6">
            <w:pPr>
              <w:spacing w:line="360" w:lineRule="exact"/>
              <w:ind w:right="80" w:rightChars="38"/>
              <w:rPr>
                <w:rFonts w:hint="eastAsia" w:ascii="仿宋" w:hAnsi="仿宋" w:eastAsia="仿宋" w:cs="仿宋"/>
                <w:bCs/>
                <w:sz w:val="24"/>
              </w:rPr>
            </w:pPr>
            <w:r>
              <w:rPr>
                <w:rFonts w:hint="eastAsia" w:ascii="仿宋" w:hAnsi="仿宋" w:eastAsia="仿宋" w:cs="仿宋"/>
                <w:bCs/>
                <w:sz w:val="24"/>
              </w:rPr>
              <w:t>培训费用</w:t>
            </w:r>
          </w:p>
        </w:tc>
        <w:tc>
          <w:tcPr>
            <w:tcW w:w="948" w:type="dxa"/>
            <w:noWrap/>
            <w:vAlign w:val="center"/>
          </w:tcPr>
          <w:p w14:paraId="5AF7EEE2">
            <w:pPr>
              <w:spacing w:line="360" w:lineRule="exact"/>
              <w:ind w:right="80" w:rightChars="38"/>
              <w:rPr>
                <w:rFonts w:hint="eastAsia" w:ascii="仿宋" w:hAnsi="仿宋" w:eastAsia="仿宋" w:cs="仿宋"/>
                <w:bCs/>
                <w:sz w:val="24"/>
              </w:rPr>
            </w:pPr>
          </w:p>
        </w:tc>
      </w:tr>
      <w:tr w14:paraId="17291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932" w:type="dxa"/>
            <w:noWrap/>
            <w:vAlign w:val="center"/>
          </w:tcPr>
          <w:p w14:paraId="4BDF911C">
            <w:pPr>
              <w:spacing w:line="360" w:lineRule="exact"/>
              <w:ind w:right="80" w:rightChars="38"/>
              <w:rPr>
                <w:rFonts w:hint="eastAsia" w:ascii="仿宋" w:hAnsi="仿宋" w:eastAsia="仿宋" w:cs="仿宋"/>
                <w:bCs/>
                <w:sz w:val="24"/>
              </w:rPr>
            </w:pPr>
            <w:r>
              <w:rPr>
                <w:rFonts w:hint="eastAsia" w:ascii="仿宋" w:hAnsi="仿宋" w:eastAsia="仿宋" w:cs="仿宋"/>
                <w:bCs/>
                <w:sz w:val="24"/>
              </w:rPr>
              <w:t>付款方式</w:t>
            </w:r>
          </w:p>
        </w:tc>
        <w:tc>
          <w:tcPr>
            <w:tcW w:w="6994" w:type="dxa"/>
            <w:gridSpan w:val="7"/>
            <w:noWrap/>
            <w:vAlign w:val="center"/>
          </w:tcPr>
          <w:p w14:paraId="53AEECEC">
            <w:pPr>
              <w:spacing w:line="360" w:lineRule="exact"/>
              <w:ind w:right="80" w:rightChars="38" w:firstLine="240" w:firstLineChars="100"/>
              <w:rPr>
                <w:rFonts w:hint="eastAsia" w:ascii="仿宋" w:hAnsi="仿宋" w:eastAsia="仿宋" w:cs="仿宋"/>
                <w:bCs/>
                <w:sz w:val="24"/>
              </w:rPr>
            </w:pPr>
            <w:r>
              <w:rPr>
                <w:rFonts w:hint="eastAsia" w:ascii="仿宋" w:hAnsi="仿宋" w:eastAsia="仿宋" w:cs="仿宋"/>
                <w:bCs/>
                <w:sz w:val="24"/>
              </w:rPr>
              <w:t>□通过银行        □刷卡      □现金   □微信/支付宝</w:t>
            </w:r>
          </w:p>
        </w:tc>
      </w:tr>
      <w:tr w14:paraId="11E8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32" w:type="dxa"/>
            <w:noWrap/>
            <w:vAlign w:val="center"/>
          </w:tcPr>
          <w:p w14:paraId="5EFF5203">
            <w:pPr>
              <w:ind w:right="80" w:rightChars="38"/>
              <w:rPr>
                <w:rFonts w:hint="eastAsia" w:ascii="仿宋" w:hAnsi="仿宋" w:eastAsia="仿宋" w:cs="仿宋"/>
                <w:b/>
                <w:bCs/>
                <w:sz w:val="24"/>
                <w:lang w:val="zh-CN" w:bidi="zh-CN"/>
              </w:rPr>
            </w:pPr>
            <w:r>
              <w:rPr>
                <w:rFonts w:hint="eastAsia" w:ascii="仿宋" w:hAnsi="仿宋" w:eastAsia="仿宋" w:cs="仿宋"/>
                <w:b/>
                <w:bCs/>
                <w:sz w:val="24"/>
              </w:rPr>
              <w:t>发票类别</w:t>
            </w:r>
          </w:p>
        </w:tc>
        <w:tc>
          <w:tcPr>
            <w:tcW w:w="6994" w:type="dxa"/>
            <w:gridSpan w:val="7"/>
            <w:noWrap/>
            <w:vAlign w:val="top"/>
          </w:tcPr>
          <w:p w14:paraId="3400856C">
            <w:pPr>
              <w:ind w:right="80" w:rightChars="38"/>
              <w:rPr>
                <w:rFonts w:hint="eastAsia" w:ascii="仿宋" w:hAnsi="仿宋" w:eastAsia="仿宋" w:cs="仿宋"/>
                <w:b/>
                <w:bCs/>
                <w:sz w:val="24"/>
              </w:rPr>
            </w:pPr>
            <w:r>
              <w:rPr>
                <w:rFonts w:hint="eastAsia" w:ascii="仿宋" w:hAnsi="仿宋" w:eastAsia="仿宋" w:cs="仿宋"/>
                <w:b/>
                <w:bCs/>
                <w:sz w:val="24"/>
              </w:rPr>
              <w:t>增值税（</w:t>
            </w:r>
            <w:r>
              <w:rPr>
                <w:rFonts w:hint="eastAsia" w:ascii="仿宋" w:hAnsi="仿宋" w:eastAsia="仿宋" w:cs="仿宋"/>
                <w:bCs/>
                <w:sz w:val="24"/>
              </w:rPr>
              <w:t>□</w:t>
            </w:r>
            <w:r>
              <w:rPr>
                <w:rFonts w:hint="eastAsia" w:ascii="仿宋" w:hAnsi="仿宋" w:eastAsia="仿宋" w:cs="仿宋"/>
                <w:b/>
                <w:bCs/>
                <w:sz w:val="24"/>
              </w:rPr>
              <w:t>普通□专用）发票,开票信息如下：</w:t>
            </w:r>
          </w:p>
          <w:p w14:paraId="4EAF9541">
            <w:pPr>
              <w:ind w:right="80" w:rightChars="38"/>
              <w:rPr>
                <w:rFonts w:hint="eastAsia" w:ascii="仿宋" w:hAnsi="仿宋" w:eastAsia="仿宋" w:cs="仿宋"/>
                <w:b/>
                <w:bCs/>
                <w:sz w:val="24"/>
              </w:rPr>
            </w:pPr>
            <w:r>
              <w:rPr>
                <w:rFonts w:hint="eastAsia" w:ascii="仿宋" w:hAnsi="仿宋" w:eastAsia="仿宋" w:cs="仿宋"/>
                <w:b/>
                <w:bCs/>
                <w:sz w:val="24"/>
              </w:rPr>
              <w:t>单 位 名 称：</w:t>
            </w:r>
          </w:p>
          <w:p w14:paraId="38BE4139">
            <w:pPr>
              <w:ind w:right="80" w:rightChars="38"/>
              <w:rPr>
                <w:rFonts w:hint="eastAsia" w:ascii="仿宋" w:hAnsi="仿宋" w:eastAsia="仿宋" w:cs="仿宋"/>
                <w:b/>
                <w:bCs/>
                <w:sz w:val="24"/>
              </w:rPr>
            </w:pPr>
            <w:r>
              <w:rPr>
                <w:rFonts w:hint="eastAsia" w:ascii="仿宋" w:hAnsi="仿宋" w:eastAsia="仿宋" w:cs="仿宋"/>
                <w:b/>
                <w:bCs/>
                <w:sz w:val="24"/>
              </w:rPr>
              <w:t>税       号：</w:t>
            </w:r>
          </w:p>
          <w:p w14:paraId="6C346413">
            <w:pPr>
              <w:ind w:right="80" w:rightChars="38"/>
              <w:rPr>
                <w:rFonts w:hint="eastAsia" w:ascii="仿宋" w:hAnsi="仿宋" w:eastAsia="仿宋" w:cs="仿宋"/>
                <w:b/>
                <w:bCs/>
                <w:sz w:val="24"/>
              </w:rPr>
            </w:pPr>
            <w:r>
              <w:rPr>
                <w:rFonts w:hint="eastAsia" w:ascii="仿宋" w:hAnsi="仿宋" w:eastAsia="仿宋" w:cs="仿宋"/>
                <w:b/>
                <w:bCs/>
                <w:sz w:val="24"/>
              </w:rPr>
              <w:t>地址、 电话：</w:t>
            </w:r>
          </w:p>
          <w:p w14:paraId="03FBDAFD">
            <w:pPr>
              <w:ind w:right="80" w:rightChars="38"/>
              <w:rPr>
                <w:rFonts w:hint="eastAsia" w:ascii="仿宋" w:hAnsi="仿宋" w:eastAsia="仿宋" w:cs="仿宋"/>
                <w:bCs/>
                <w:sz w:val="24"/>
              </w:rPr>
            </w:pPr>
            <w:r>
              <w:rPr>
                <w:rFonts w:hint="eastAsia" w:ascii="仿宋" w:hAnsi="仿宋" w:eastAsia="仿宋" w:cs="仿宋"/>
                <w:b/>
                <w:bCs/>
                <w:sz w:val="24"/>
              </w:rPr>
              <w:t>开户行、账号：</w:t>
            </w:r>
          </w:p>
        </w:tc>
      </w:tr>
      <w:tr w14:paraId="3910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32" w:type="dxa"/>
            <w:noWrap/>
            <w:vAlign w:val="center"/>
          </w:tcPr>
          <w:p w14:paraId="68D94449">
            <w:pPr>
              <w:spacing w:line="360" w:lineRule="exact"/>
              <w:ind w:right="80" w:rightChars="38"/>
              <w:rPr>
                <w:rFonts w:hint="eastAsia" w:ascii="仿宋" w:hAnsi="仿宋" w:eastAsia="仿宋" w:cs="仿宋"/>
                <w:bCs/>
                <w:sz w:val="24"/>
                <w:lang w:val="zh-CN" w:bidi="zh-CN"/>
              </w:rPr>
            </w:pPr>
            <w:r>
              <w:rPr>
                <w:rFonts w:hint="eastAsia" w:ascii="仿宋" w:hAnsi="仿宋" w:eastAsia="仿宋" w:cs="仿宋"/>
                <w:bCs/>
                <w:sz w:val="24"/>
              </w:rPr>
              <w:t>指定收款账户</w:t>
            </w:r>
          </w:p>
        </w:tc>
        <w:tc>
          <w:tcPr>
            <w:tcW w:w="6994" w:type="dxa"/>
            <w:gridSpan w:val="7"/>
            <w:noWrap/>
            <w:vAlign w:val="center"/>
          </w:tcPr>
          <w:p w14:paraId="1CCD8A80">
            <w:pPr>
              <w:spacing w:line="340" w:lineRule="exact"/>
              <w:ind w:right="80" w:rightChars="38"/>
              <w:rPr>
                <w:rFonts w:hint="eastAsia" w:ascii="仿宋" w:hAnsi="仿宋" w:eastAsia="仿宋" w:cs="仿宋"/>
                <w:bCs/>
                <w:sz w:val="24"/>
                <w:lang w:val="ru-RU"/>
              </w:rPr>
            </w:pPr>
            <w:r>
              <w:rPr>
                <w:rFonts w:hint="eastAsia" w:ascii="仿宋" w:hAnsi="仿宋" w:eastAsia="仿宋" w:cs="仿宋"/>
                <w:bCs/>
                <w:sz w:val="24"/>
                <w:lang w:val="ru-RU"/>
              </w:rPr>
              <w:t>户  名：北京建术信息科技研究院有限公司</w:t>
            </w:r>
          </w:p>
          <w:p w14:paraId="50BD2415">
            <w:pPr>
              <w:spacing w:line="340" w:lineRule="exact"/>
              <w:ind w:right="80" w:rightChars="38"/>
              <w:rPr>
                <w:rFonts w:hint="eastAsia" w:ascii="仿宋" w:hAnsi="仿宋" w:eastAsia="仿宋" w:cs="仿宋"/>
                <w:bCs/>
                <w:sz w:val="24"/>
                <w:lang w:val="ru-RU"/>
              </w:rPr>
            </w:pPr>
            <w:r>
              <w:rPr>
                <w:rFonts w:hint="eastAsia" w:ascii="仿宋" w:hAnsi="仿宋" w:eastAsia="仿宋" w:cs="仿宋"/>
                <w:bCs/>
                <w:sz w:val="24"/>
                <w:lang w:val="ru-RU"/>
              </w:rPr>
              <w:t>开户行：中国建设银行股份有限公司北京昌平小汤山支行</w:t>
            </w:r>
          </w:p>
          <w:p w14:paraId="05BEA6AA">
            <w:pPr>
              <w:spacing w:line="340" w:lineRule="exact"/>
              <w:ind w:right="80" w:rightChars="38"/>
              <w:rPr>
                <w:rFonts w:hint="eastAsia" w:ascii="仿宋" w:hAnsi="仿宋" w:eastAsia="仿宋" w:cs="仿宋"/>
                <w:bCs/>
                <w:sz w:val="24"/>
              </w:rPr>
            </w:pPr>
            <w:r>
              <w:rPr>
                <w:rFonts w:hint="eastAsia" w:ascii="仿宋" w:hAnsi="仿宋" w:eastAsia="仿宋" w:cs="仿宋"/>
                <w:bCs/>
                <w:sz w:val="24"/>
                <w:lang w:val="ru-RU"/>
              </w:rPr>
              <w:t>账  号：1105 0110 2401 0900 0164</w:t>
            </w:r>
          </w:p>
          <w:p w14:paraId="6F326AC4">
            <w:pPr>
              <w:spacing w:line="360" w:lineRule="exact"/>
              <w:ind w:right="80" w:rightChars="38"/>
              <w:rPr>
                <w:rFonts w:hint="default" w:ascii="仿宋" w:hAnsi="仿宋" w:eastAsia="仿宋" w:cs="仿宋"/>
                <w:bCs/>
                <w:sz w:val="24"/>
                <w:lang w:val="en-US" w:eastAsia="zh-CN" w:bidi="zh-CN"/>
              </w:rPr>
            </w:pPr>
            <w:r>
              <w:rPr>
                <w:rFonts w:hint="eastAsia" w:ascii="仿宋" w:hAnsi="仿宋" w:eastAsia="仿宋" w:cs="仿宋"/>
                <w:sz w:val="24"/>
              </w:rPr>
              <w:t>汇款后，请将银行电汇凭证传真至：010-87</w:t>
            </w:r>
            <w:r>
              <w:rPr>
                <w:rFonts w:hint="eastAsia" w:ascii="仿宋" w:hAnsi="仿宋" w:eastAsia="仿宋" w:cs="仿宋"/>
                <w:sz w:val="24"/>
                <w:lang w:val="en-US" w:eastAsia="zh-CN"/>
              </w:rPr>
              <w:t>697580</w:t>
            </w:r>
            <w:bookmarkStart w:id="0" w:name="_GoBack"/>
            <w:bookmarkEnd w:id="0"/>
          </w:p>
        </w:tc>
      </w:tr>
      <w:tr w14:paraId="5582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32" w:type="dxa"/>
            <w:noWrap/>
            <w:vAlign w:val="center"/>
          </w:tcPr>
          <w:p w14:paraId="76AB2ADE">
            <w:pPr>
              <w:spacing w:line="360" w:lineRule="exact"/>
              <w:ind w:right="80" w:rightChars="38"/>
              <w:rPr>
                <w:rFonts w:hint="eastAsia" w:ascii="仿宋" w:hAnsi="仿宋" w:eastAsia="仿宋" w:cs="仿宋"/>
                <w:bCs/>
                <w:sz w:val="24"/>
              </w:rPr>
            </w:pPr>
            <w:r>
              <w:rPr>
                <w:rFonts w:hint="eastAsia" w:ascii="仿宋" w:hAnsi="仿宋" w:eastAsia="仿宋" w:cs="仿宋"/>
                <w:bCs/>
                <w:sz w:val="24"/>
              </w:rPr>
              <w:t>参会方式</w:t>
            </w:r>
          </w:p>
        </w:tc>
        <w:tc>
          <w:tcPr>
            <w:tcW w:w="6994" w:type="dxa"/>
            <w:gridSpan w:val="7"/>
            <w:noWrap/>
            <w:vAlign w:val="center"/>
          </w:tcPr>
          <w:p w14:paraId="7C99C4F0">
            <w:pPr>
              <w:spacing w:line="360" w:lineRule="exact"/>
              <w:ind w:right="80" w:rightChars="38"/>
              <w:rPr>
                <w:rFonts w:hint="eastAsia" w:ascii="仿宋" w:hAnsi="仿宋" w:eastAsia="仿宋" w:cs="仿宋"/>
                <w:bCs/>
                <w:sz w:val="24"/>
              </w:rPr>
            </w:pPr>
            <w:r>
              <w:rPr>
                <w:rFonts w:hint="eastAsia" w:ascii="仿宋" w:hAnsi="仿宋" w:eastAsia="仿宋" w:cs="仿宋"/>
                <w:bCs/>
                <w:sz w:val="24"/>
              </w:rPr>
              <w:t>请参会单位把参会回执回传至会务组，会务组确认后即发《参会凭证》，其中将详细注明报到时间、报到地点、食宿等具体安排事项。</w:t>
            </w:r>
          </w:p>
        </w:tc>
      </w:tr>
    </w:tbl>
    <w:p w14:paraId="4AD6B90A">
      <w:pPr>
        <w:keepNext w:val="0"/>
        <w:keepLines w:val="0"/>
        <w:pageBreakBefore w:val="0"/>
        <w:widowControl w:val="0"/>
        <w:kinsoku/>
        <w:wordWrap/>
        <w:overflowPunct/>
        <w:topLinePunct w:val="0"/>
        <w:autoSpaceDE/>
        <w:autoSpaceDN/>
        <w:bidi w:val="0"/>
        <w:adjustRightInd/>
        <w:snapToGrid/>
        <w:spacing w:line="480" w:lineRule="exact"/>
        <w:ind w:right="80" w:rightChars="38" w:firstLine="422" w:firstLineChars="200"/>
        <w:jc w:val="left"/>
        <w:textAlignment w:val="auto"/>
        <w:rPr>
          <w:rStyle w:val="6"/>
          <w:rFonts w:hint="eastAsia" w:ascii="仿宋" w:hAnsi="仿宋" w:eastAsia="仿宋" w:cs="仿宋"/>
          <w:color w:val="000000"/>
          <w:lang w:val="zh-CN"/>
        </w:rPr>
      </w:pPr>
      <w:r>
        <w:rPr>
          <w:rStyle w:val="6"/>
          <w:rFonts w:hint="eastAsia" w:ascii="仿宋" w:hAnsi="仿宋" w:eastAsia="仿宋" w:cs="仿宋"/>
          <w:color w:val="000000"/>
          <w:lang w:val="zh-CN"/>
        </w:rPr>
        <w:t>注：为保证培训质量，培训班名额有限，额满为止，请确定人员后及早报名。</w:t>
      </w:r>
    </w:p>
    <w:p w14:paraId="33234BE7">
      <w:pPr>
        <w:ind w:firstLine="420" w:firstLineChars="200"/>
        <w:rPr>
          <w:rFonts w:hint="eastAsia" w:ascii="仿宋" w:hAnsi="仿宋" w:eastAsia="仿宋" w:cs="仿宋"/>
          <w:bCs/>
        </w:rPr>
      </w:pPr>
      <w:r>
        <w:rPr>
          <w:rFonts w:hint="eastAsia" w:ascii="仿宋" w:hAnsi="仿宋" w:eastAsia="仿宋" w:cs="仿宋"/>
          <w:bCs/>
        </w:rPr>
        <w:t xml:space="preserve">报名负责人：聂红军 主任18211071700（微信）   </w:t>
      </w:r>
    </w:p>
    <w:p w14:paraId="6BB87FC6">
      <w:pPr>
        <w:ind w:firstLine="420" w:firstLineChars="200"/>
        <w:rPr>
          <w:rFonts w:hint="eastAsia" w:ascii="仿宋" w:hAnsi="仿宋" w:eastAsia="仿宋" w:cs="仿宋"/>
          <w:bCs/>
        </w:rPr>
      </w:pPr>
      <w:r>
        <w:rPr>
          <w:rFonts w:hint="eastAsia" w:ascii="仿宋" w:hAnsi="仿宋" w:eastAsia="仿宋" w:cs="仿宋"/>
          <w:bCs/>
        </w:rPr>
        <w:t xml:space="preserve">电    话：13141289128        邮    箱：zqgphwz@126.com  </w:t>
      </w:r>
    </w:p>
    <w:p w14:paraId="676CD3E8">
      <w:pPr>
        <w:ind w:firstLine="420" w:firstLineChars="200"/>
        <w:rPr>
          <w:rFonts w:hint="eastAsia" w:ascii="仿宋" w:hAnsi="仿宋" w:eastAsia="仿宋" w:cs="仿宋"/>
        </w:rPr>
      </w:pPr>
      <w:r>
        <w:rPr>
          <w:rFonts w:hint="eastAsia" w:ascii="仿宋" w:hAnsi="仿宋" w:eastAsia="仿宋" w:cs="仿宋"/>
          <w:bCs/>
        </w:rPr>
        <w:t>qq咨询：3177524020          网    址：http://www.zqgpchina.cn</w:t>
      </w:r>
    </w:p>
    <w:sectPr>
      <w:pgSz w:w="11906" w:h="16838"/>
      <w:pgMar w:top="1270" w:right="1349" w:bottom="127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F6026"/>
    <w:multiLevelType w:val="multilevel"/>
    <w:tmpl w:val="0B1F602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7B165B6"/>
    <w:multiLevelType w:val="multilevel"/>
    <w:tmpl w:val="27B165B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A24513F"/>
    <w:multiLevelType w:val="multilevel"/>
    <w:tmpl w:val="2A24513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2C22579B"/>
    <w:multiLevelType w:val="multilevel"/>
    <w:tmpl w:val="2C22579B"/>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389D1562"/>
    <w:multiLevelType w:val="multilevel"/>
    <w:tmpl w:val="389D156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411801FC"/>
    <w:multiLevelType w:val="multilevel"/>
    <w:tmpl w:val="411801F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4B436AF7"/>
    <w:multiLevelType w:val="singleLevel"/>
    <w:tmpl w:val="4B436AF7"/>
    <w:lvl w:ilvl="0" w:tentative="0">
      <w:start w:val="4"/>
      <w:numFmt w:val="upperLetter"/>
      <w:lvlText w:val="%1."/>
      <w:lvlJc w:val="left"/>
      <w:pPr>
        <w:tabs>
          <w:tab w:val="left" w:pos="312"/>
        </w:tabs>
      </w:pPr>
    </w:lvl>
  </w:abstractNum>
  <w:abstractNum w:abstractNumId="7">
    <w:nsid w:val="574C569D"/>
    <w:multiLevelType w:val="multilevel"/>
    <w:tmpl w:val="574C569D"/>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5BC32167"/>
    <w:multiLevelType w:val="multilevel"/>
    <w:tmpl w:val="5BC3216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6E7E2780"/>
    <w:multiLevelType w:val="multilevel"/>
    <w:tmpl w:val="6E7E278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7CB63412"/>
    <w:multiLevelType w:val="multilevel"/>
    <w:tmpl w:val="7CB63412"/>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0"/>
  </w:num>
  <w:num w:numId="2">
    <w:abstractNumId w:val="1"/>
  </w:num>
  <w:num w:numId="3">
    <w:abstractNumId w:val="8"/>
  </w:num>
  <w:num w:numId="4">
    <w:abstractNumId w:val="2"/>
  </w:num>
  <w:num w:numId="5">
    <w:abstractNumId w:val="4"/>
  </w:num>
  <w:num w:numId="6">
    <w:abstractNumId w:val="9"/>
  </w:num>
  <w:num w:numId="7">
    <w:abstractNumId w:val="3"/>
  </w:num>
  <w:num w:numId="8">
    <w:abstractNumId w:val="0"/>
  </w:num>
  <w:num w:numId="9">
    <w:abstractNumId w:val="5"/>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MWU4NjE2ZThjZWFmNTIyNjY1N2Y2MGM4NGU0YzgifQ=="/>
  </w:docVars>
  <w:rsids>
    <w:rsidRoot w:val="52BA4540"/>
    <w:rsid w:val="03A64800"/>
    <w:rsid w:val="06625025"/>
    <w:rsid w:val="11F64E25"/>
    <w:rsid w:val="14535E5C"/>
    <w:rsid w:val="15E2762C"/>
    <w:rsid w:val="16361799"/>
    <w:rsid w:val="2FD1171D"/>
    <w:rsid w:val="366D1B57"/>
    <w:rsid w:val="3B2553EF"/>
    <w:rsid w:val="433429C6"/>
    <w:rsid w:val="52BA4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rPr>
      <w:rFonts w:ascii="Times New Roman" w:hAnsi="Times New Roman"/>
    </w:rPr>
  </w:style>
  <w:style w:type="paragraph" w:styleId="3">
    <w:name w:val="Body Text First Indent 2"/>
    <w:basedOn w:val="2"/>
    <w:qFormat/>
    <w:uiPriority w:val="99"/>
    <w:pPr>
      <w:ind w:firstLine="420" w:firstLineChars="200"/>
    </w:pPr>
    <w:rPr>
      <w:sz w:val="24"/>
    </w:rPr>
  </w:style>
  <w:style w:type="character" w:styleId="6">
    <w:name w:val="Strong"/>
    <w:basedOn w:val="5"/>
    <w:qFormat/>
    <w:uiPriority w:val="22"/>
    <w:rPr>
      <w:rFonts w:ascii="Times New Roman" w:hAnsi="Times New Roman" w:eastAsia="宋体" w:cs="Times New Roman"/>
      <w:b/>
      <w:bCs/>
    </w:rPr>
  </w:style>
  <w:style w:type="character" w:styleId="7">
    <w:name w:val="Hyperlink"/>
    <w:basedOn w:val="5"/>
    <w:qFormat/>
    <w:uiPriority w:val="0"/>
    <w:rPr>
      <w:color w:val="0000FF"/>
      <w:u w:val="single"/>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6002</Words>
  <Characters>6351</Characters>
  <Lines>0</Lines>
  <Paragraphs>0</Paragraphs>
  <TotalTime>4</TotalTime>
  <ScaleCrop>false</ScaleCrop>
  <LinksUpToDate>false</LinksUpToDate>
  <CharactersWithSpaces>6469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2024-05-13T06:46:00Z</dcterms:created>
  <dc:creator>姣 儿</dc:creator>
  <cp:lastModifiedBy>聂红军</cp:lastModifiedBy>
  <dcterms:modified xsi:type="dcterms:W3CDTF">2025-08-25T00:29:10Z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BE42BFB28D3D47B0982AF6E5B6245E36_13</vt:lpwstr>
  </property>
  <property fmtid="{D5CDD505-2E9C-101B-9397-08002B2CF9AE}" pid="4" name="KSOTemplateDocerSaveRecord">
    <vt:lpwstr>eyJoZGlkIjoiZTUyMWM5NTU3NmQwMzYzZGY2NjUyMjZkNDUzMDVhNDkiLCJ1c2VySWQiOiI0OTM4MTE0ODQifQ==</vt:lpwstr>
  </property>
</Properties>
</file>